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sz w:val="60"/>
          <w:szCs w:val="60"/>
        </w:rPr>
      </w:pPr>
      <w:r>
        <w:rPr>
          <w:rFonts w:ascii="Verdana" w:hAnsi="Verdana"/>
          <w:b w:val="1"/>
          <w:bCs w:val="1"/>
          <w:sz w:val="60"/>
          <w:szCs w:val="60"/>
          <w:u w:color="000000"/>
          <w:rtl w:val="0"/>
        </w:rPr>
        <w:t>A Human-Scale Ramayana:</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i w:val="1"/>
          <w:iCs w:val="1"/>
        </w:rPr>
      </w:pPr>
      <w:r>
        <w:rPr>
          <w:rFonts w:ascii="Verdana" w:hAnsi="Verdana"/>
          <w:i w:val="1"/>
          <w:iCs w:val="1"/>
          <w:sz w:val="24"/>
          <w:szCs w:val="24"/>
          <w:u w:color="000000"/>
          <w:rtl w:val="0"/>
          <w:lang w:val="en-US"/>
        </w:rPr>
        <w:t>A Corrected Chronology, Its Archaeological Context, and the Textual Case for Reading Its Figures as Human Beings</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rtl w:val="0"/>
          <w:lang w:val="it-IT"/>
        </w:rPr>
        <w:t xml:space="preserve">Figshare </w:t>
      </w: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"https://doi.org/10.6084/m9.figshare.32892863"</w:instrText>
      </w:r>
      <w:r>
        <w:rPr>
          <w:rStyle w:val="Hyperlink.0"/>
          <w:rFonts w:ascii="Verdana" w:cs="Verdana" w:hAnsi="Verdana" w:eastAsia="Verdana"/>
        </w:rPr>
        <w:fldChar w:fldCharType="separate" w:fldLock="0"/>
      </w:r>
      <w:r>
        <w:rPr>
          <w:rStyle w:val="Hyperlink.0"/>
          <w:rFonts w:ascii="Verdana" w:hAnsi="Verdana"/>
          <w:rtl w:val="0"/>
          <w:lang w:val="en-US"/>
        </w:rPr>
        <w:t>https://doi.org/10.6084/m9.figshare.32892863</w:t>
      </w:r>
      <w:r>
        <w:rPr>
          <w:rFonts w:ascii="Verdana" w:cs="Verdana" w:hAnsi="Verdana" w:eastAsia="Verdana"/>
        </w:rPr>
        <w:fldChar w:fldCharType="end" w:fldLock="0"/>
      </w:r>
      <w:r>
        <w:rPr>
          <w:rFonts w:ascii="Verdana" w:hAnsi="Verdana"/>
          <w:rtl w:val="0"/>
          <w:lang w:val="it-IT"/>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b w:val="1"/>
          <w:bCs w:val="1"/>
          <w:u w:color="000000"/>
          <w:rtl w:val="0"/>
          <w:lang w:val="en-US"/>
        </w:rPr>
        <w:t>Anthony Vondoom</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lang w:val="it-IT"/>
        </w:rPr>
        <w:t>Independent Researcher, Sirmione, Italy</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Fonts w:ascii="Verdana" w:hAnsi="Verdana"/>
          <w:u w:color="000000"/>
          <w:rtl w:val="0"/>
        </w:rPr>
        <w:t>ORCID: 0009-0003-4953-1427</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u w:color="000000"/>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"mailto:anthony.vondoom@outlook.com"</w:instrText>
      </w:r>
      <w:r>
        <w:rPr>
          <w:rStyle w:val="Hyperlink.0"/>
          <w:rFonts w:ascii="Verdana" w:cs="Verdana" w:hAnsi="Verdana" w:eastAsia="Verdana"/>
        </w:rPr>
        <w:fldChar w:fldCharType="separate" w:fldLock="0"/>
      </w:r>
      <w:r>
        <w:rPr>
          <w:rStyle w:val="Hyperlink.0"/>
          <w:rFonts w:ascii="Verdana" w:hAnsi="Verdana"/>
          <w:rtl w:val="0"/>
          <w:lang w:val="nl-NL"/>
        </w:rPr>
        <w:t>anthony.vondoom@outlook.com</w:t>
      </w:r>
      <w:r>
        <w:rPr>
          <w:rFonts w:ascii="Verdana" w:cs="Verdana" w:hAnsi="Verdana" w:eastAsia="Verdana"/>
        </w:rPr>
        <w:fldChar w:fldCharType="end" w:fldLock="0"/>
      </w:r>
      <w:r>
        <w:rPr>
          <w:rFonts w:ascii="Verdana" w:hAnsi="Verdana"/>
          <w:u w:color="000000"/>
          <w:rtl w:val="0"/>
          <w:lang w:val="it-IT"/>
        </w:rPr>
        <w:t xml:space="preserve"> </w:t>
      </w:r>
      <w:r>
        <w:rPr>
          <w:rFonts w:ascii="Verdana" w:hAnsi="Verdana"/>
          <w:u w:color="000000"/>
          <w:rtl w:val="0"/>
        </w:rPr>
        <w:t xml:space="preserve">  </w:t>
      </w:r>
    </w:p>
    <w:p>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cs="Verdana" w:hAnsi="Verdana" w:eastAsia="Verdana"/>
        </w:rPr>
      </w:pPr>
      <w:r>
        <w:rPr>
          <w:rStyle w:val="Hyperlink.0"/>
          <w:rFonts w:ascii="Verdana" w:cs="Verdana" w:hAnsi="Verdana" w:eastAsia="Verdana"/>
        </w:rPr>
        <w:fldChar w:fldCharType="begin" w:fldLock="0"/>
      </w:r>
      <w:r>
        <w:rPr>
          <w:rStyle w:val="Hyperlink.0"/>
          <w:rFonts w:ascii="Verdana" w:cs="Verdana" w:hAnsi="Verdana" w:eastAsia="Verdana"/>
        </w:rPr>
        <w:instrText xml:space="preserve"> HYPERLINK "http://www.dssm.academy"</w:instrText>
      </w:r>
      <w:r>
        <w:rPr>
          <w:rStyle w:val="Hyperlink.0"/>
          <w:rFonts w:ascii="Verdana" w:cs="Verdana" w:hAnsi="Verdana" w:eastAsia="Verdana"/>
        </w:rPr>
        <w:fldChar w:fldCharType="separate" w:fldLock="0"/>
      </w:r>
      <w:r>
        <w:rPr>
          <w:rStyle w:val="Hyperlink.0"/>
          <w:rFonts w:ascii="Verdana" w:hAnsi="Verdana"/>
          <w:rtl w:val="0"/>
          <w:lang w:val="it-IT"/>
        </w:rPr>
        <w:t>www.</w:t>
      </w:r>
      <w:r>
        <w:rPr>
          <w:rStyle w:val="Hyperlink.0"/>
          <w:rFonts w:ascii="Verdana" w:hAnsi="Verdana"/>
          <w:rtl w:val="0"/>
          <w:lang w:val="it-IT"/>
        </w:rPr>
        <w:t>dssm.academy</w:t>
      </w:r>
      <w:r>
        <w:rPr>
          <w:rFonts w:ascii="Verdana" w:cs="Verdana" w:hAnsi="Verdana" w:eastAsia="Verdana"/>
        </w:rPr>
        <w:fldChar w:fldCharType="end" w:fldLock="0"/>
      </w:r>
      <w:r>
        <w:rPr>
          <w:rFonts w:ascii="Verdana" w:hAnsi="Verdana"/>
          <w:u w:color="000000"/>
          <w:rtl w:val="0"/>
          <w:lang w:val="it-IT"/>
        </w:rPr>
        <w:t xml:space="preserve"> </w:t>
      </w:r>
    </w:p>
    <w:p>
      <w:pPr>
        <w:pStyle w:val="Heading"/>
        <w:spacing w:before="300" w:after="150"/>
        <w:rPr>
          <w:rFonts w:ascii="Verdana" w:cs="Verdana" w:hAnsi="Verdana" w:eastAsia="Verdana"/>
        </w:rPr>
      </w:pPr>
      <w:r>
        <w:rPr>
          <w:rFonts w:ascii="Verdana" w:hAnsi="Verdana"/>
          <w:rtl w:val="0"/>
          <w:lang w:val="de-DE"/>
        </w:rPr>
        <w:t>Abstract</w:t>
      </w:r>
    </w:p>
    <w:p>
      <w:pPr>
        <w:pStyle w:val="Heading"/>
        <w:spacing w:before="300" w:after="150"/>
        <w:rPr>
          <w:rFonts w:ascii="Verdana" w:cs="Verdana" w:hAnsi="Verdana" w:eastAsia="Verdana"/>
          <w:b w:val="0"/>
          <w:bCs w:val="0"/>
        </w:rPr>
      </w:pPr>
      <w:r>
        <w:rPr>
          <w:rFonts w:ascii="Verdana" w:hAnsi="Verdana"/>
          <w:b w:val="0"/>
          <w:bCs w:val="0"/>
          <w:rtl w:val="0"/>
          <w:lang w:val="en-US"/>
        </w:rPr>
        <w:t xml:space="preserve">The conventional </w:t>
      </w:r>
      <w:r>
        <w:rPr>
          <w:rFonts w:ascii="Verdana" w:hAnsi="Verdana" w:hint="default"/>
          <w:b w:val="0"/>
          <w:bCs w:val="0"/>
          <w:rtl w:val="0"/>
        </w:rPr>
        <w:t>×</w:t>
      </w:r>
      <w:r>
        <w:rPr>
          <w:rFonts w:ascii="Verdana" w:hAnsi="Verdana"/>
          <w:b w:val="0"/>
          <w:bCs w:val="0"/>
          <w:rtl w:val="0"/>
          <w:lang w:val="en-US"/>
        </w:rPr>
        <w:t xml:space="preserve">360 divine-year reading of Puranic Yuga chronology (Manusmriti 1.67) places the Ramayana roughly 800,000 years in the past, a depth at which its participants would need lifespans of hundreds of thousands of years </w:t>
      </w:r>
      <w:r>
        <w:rPr>
          <w:rFonts w:ascii="Verdana" w:hAnsi="Verdana" w:hint="default"/>
          <w:b w:val="0"/>
          <w:bCs w:val="0"/>
          <w:rtl w:val="0"/>
          <w:lang w:val="en-US"/>
        </w:rPr>
        <w:t xml:space="preserve">— </w:t>
      </w:r>
      <w:r>
        <w:rPr>
          <w:rFonts w:ascii="Verdana" w:hAnsi="Verdana"/>
          <w:b w:val="0"/>
          <w:bCs w:val="0"/>
          <w:rtl w:val="0"/>
          <w:lang w:val="en-US"/>
        </w:rPr>
        <w:t xml:space="preserve">a requirement in tension with the text's own consistent treatment of Rama, Sita, and Ravana as mortal beings throughout. This paper proposes that the </w:t>
      </w:r>
      <w:r>
        <w:rPr>
          <w:rFonts w:ascii="Verdana" w:hAnsi="Verdana" w:hint="default"/>
          <w:b w:val="0"/>
          <w:bCs w:val="0"/>
          <w:rtl w:val="0"/>
        </w:rPr>
        <w:t>×</w:t>
      </w:r>
      <w:r>
        <w:rPr>
          <w:rFonts w:ascii="Verdana" w:hAnsi="Verdana"/>
          <w:b w:val="0"/>
          <w:bCs w:val="0"/>
          <w:rtl w:val="0"/>
          <w:lang w:val="en-US"/>
        </w:rPr>
        <w:t xml:space="preserve">360 output was preserved through transmission as a day-count rather than a year-count, and should be reconverted to solar years using a 365.25-day year, yielding a corrected Kali Yuga of 1,182.75 years and a corrected Mahayuga of approximately 11,827.5 years. This retains the </w:t>
      </w:r>
      <w:r>
        <w:rPr>
          <w:rFonts w:ascii="Verdana" w:hAnsi="Verdana" w:hint="default"/>
          <w:b w:val="0"/>
          <w:bCs w:val="0"/>
          <w:rtl w:val="0"/>
        </w:rPr>
        <w:t>×</w:t>
      </w:r>
      <w:r>
        <w:rPr>
          <w:rFonts w:ascii="Verdana" w:hAnsi="Verdana"/>
          <w:b w:val="0"/>
          <w:bCs w:val="0"/>
          <w:rtl w:val="0"/>
          <w:lang w:val="en-US"/>
        </w:rPr>
        <w:t xml:space="preserve">360 conversion as textually correct, distinguishing it from the alternative solutions of Sri Yukteswar and Saroj Bala, which resolve the same problem by discarding the multiplier outright. Anchoring the corrected Kali Yuga's duration to the Younger Dryas cold interval is the only tested configuration under which the present era correctly falls within Kali Yuga, as the tradition itself requires; published estimates of the Younger Dryas interval's duration range from approximately 1,200 to 1,300 years, and the corrected figure of 1,182.75 years sits just below this range rather than comfortably inside it, a precision this paper reports rather than obscures. Two methodologically independent, uncorrelated estimates </w:t>
      </w:r>
      <w:r>
        <w:rPr>
          <w:rFonts w:ascii="Verdana" w:hAnsi="Verdana" w:hint="default"/>
          <w:b w:val="0"/>
          <w:bCs w:val="0"/>
          <w:rtl w:val="0"/>
          <w:lang w:val="en-US"/>
        </w:rPr>
        <w:t xml:space="preserve">— </w:t>
      </w:r>
      <w:r>
        <w:rPr>
          <w:rFonts w:ascii="Verdana" w:hAnsi="Verdana"/>
          <w:b w:val="0"/>
          <w:bCs w:val="0"/>
          <w:rtl w:val="0"/>
          <w:lang w:val="en-US"/>
        </w:rPr>
        <w:t>Pushkar Bhatnagar's planetary-conjunction dating of Rama (5114 BCE) and the geological submergence date of the India</w:t>
      </w:r>
      <w:r>
        <w:rPr>
          <w:rFonts w:ascii="Verdana" w:hAnsi="Verdana" w:hint="default"/>
          <w:b w:val="0"/>
          <w:bCs w:val="0"/>
          <w:rtl w:val="0"/>
        </w:rPr>
        <w:t>–</w:t>
      </w:r>
      <w:r>
        <w:rPr>
          <w:rFonts w:ascii="Verdana" w:hAnsi="Verdana"/>
          <w:b w:val="0"/>
          <w:bCs w:val="0"/>
          <w:rtl w:val="0"/>
          <w:lang w:val="en-US"/>
        </w:rPr>
        <w:t>Sri Lanka land bridge (</w:t>
      </w:r>
      <w:r>
        <w:rPr>
          <w:rFonts w:ascii="Verdana" w:hAnsi="Verdana" w:hint="default"/>
          <w:b w:val="0"/>
          <w:bCs w:val="0"/>
          <w:rtl w:val="0"/>
        </w:rPr>
        <w:t>≈</w:t>
      </w:r>
      <w:r>
        <w:rPr>
          <w:rFonts w:ascii="Verdana" w:hAnsi="Verdana"/>
          <w:b w:val="0"/>
          <w:bCs w:val="0"/>
          <w:rtl w:val="0"/>
          <w:lang w:val="fr-FR"/>
        </w:rPr>
        <w:t xml:space="preserve">5000 BCE) </w:t>
      </w:r>
      <w:r>
        <w:rPr>
          <w:rFonts w:ascii="Verdana" w:hAnsi="Verdana" w:hint="default"/>
          <w:b w:val="0"/>
          <w:bCs w:val="0"/>
          <w:rtl w:val="0"/>
          <w:lang w:val="en-US"/>
        </w:rPr>
        <w:t xml:space="preserve">— </w:t>
      </w:r>
      <w:r>
        <w:rPr>
          <w:rFonts w:ascii="Verdana" w:hAnsi="Verdana"/>
          <w:b w:val="0"/>
          <w:bCs w:val="0"/>
          <w:rtl w:val="0"/>
          <w:lang w:val="en-US"/>
        </w:rPr>
        <w:t xml:space="preserve">both fall within 150 years of this model's specific predicted Krita/Treta boundary (4,969 BCE); under a null model treating each estimate as uniformly distributed across the 11,827.5-year cycle, the probability of both independently landing this close to the same specific predicted point by chance is approximately 0.06%. A third estimate, Nilesh Oak's precessional dating (12,209 BCE), does not fall near this boundary and is reported as a genuine discrepancy, not folded into the convergence claim. The paper then establishes the independently attested archaeological context for this window (Mehrgarh, the Ubaid 1/Eridu phase, and Egypt's Early Fayum and Merimde Neolithic), clarifies Ravana's textual category (Rakshasa, not Deva, sage-descended, a Shiva devotee consistent with Shiva's position outside the Deva-Rakshasa rivalry), and closes with the textual case for treating Ravana's own children, Indrajit and Sita, as evidence that the tradition consistently depicts its figures operating on ordinary human timescales </w:t>
      </w:r>
      <w:r>
        <w:rPr>
          <w:rFonts w:ascii="Verdana" w:hAnsi="Verdana" w:hint="default"/>
          <w:b w:val="0"/>
          <w:bCs w:val="0"/>
          <w:rtl w:val="0"/>
          <w:lang w:val="en-US"/>
        </w:rPr>
        <w:t xml:space="preserve">— </w:t>
      </w:r>
      <w:r>
        <w:rPr>
          <w:rFonts w:ascii="Verdana" w:hAnsi="Verdana"/>
          <w:b w:val="0"/>
          <w:bCs w:val="0"/>
          <w:rtl w:val="0"/>
          <w:lang w:val="en-US"/>
        </w:rPr>
        <w:t xml:space="preserve">subject to birth, prophecy, and death within a single lifetime </w:t>
      </w:r>
      <w:r>
        <w:rPr>
          <w:rFonts w:ascii="Verdana" w:hAnsi="Verdana" w:hint="default"/>
          <w:b w:val="0"/>
          <w:bCs w:val="0"/>
          <w:rtl w:val="0"/>
          <w:lang w:val="en-US"/>
        </w:rPr>
        <w:t xml:space="preserve">— </w:t>
      </w:r>
      <w:r>
        <w:rPr>
          <w:rFonts w:ascii="Verdana" w:hAnsi="Verdana"/>
          <w:b w:val="0"/>
          <w:bCs w:val="0"/>
          <w:rtl w:val="0"/>
          <w:lang w:val="en-US"/>
        </w:rPr>
        <w:t xml:space="preserve">rather than as beings whose stories require the mythological depth the conventional </w:t>
      </w:r>
      <w:r>
        <w:rPr>
          <w:rFonts w:ascii="Verdana" w:hAnsi="Verdana" w:hint="default"/>
          <w:b w:val="0"/>
          <w:bCs w:val="0"/>
          <w:rtl w:val="0"/>
        </w:rPr>
        <w:t>×</w:t>
      </w:r>
      <w:r>
        <w:rPr>
          <w:rFonts w:ascii="Verdana" w:hAnsi="Verdana"/>
          <w:b w:val="0"/>
          <w:bCs w:val="0"/>
          <w:rtl w:val="0"/>
          <w:lang w:val="en-US"/>
        </w:rPr>
        <w:t>360 reading implies.</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r>
        <w:rPr>
          <w:rFonts w:ascii="Times Roman" w:hAnsi="Times Roman"/>
          <w:b w:val="1"/>
          <w:bCs w:val="1"/>
          <w:rtl w:val="0"/>
          <w:lang w:val="en-US"/>
        </w:rPr>
        <w:t>Keywords:</w:t>
      </w:r>
      <w:r>
        <w:rPr>
          <w:rFonts w:ascii="Times Roman" w:hAnsi="Times Roman"/>
          <w:rtl w:val="0"/>
          <w:lang w:val="en-US"/>
        </w:rPr>
        <w:t xml:space="preserve"> Chaturyuga chronology; Yuga cycle reinterpretation; Ramayana dating; Younger Dryas; archaeoastronomy; Puranic cosmology; Manusmriti; comparative chronology; Mehrgarh; Ravana</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rPr>
          <w:rFonts w:ascii="Times Roman" w:cs="Times Roman" w:hAnsi="Times Roman" w:eastAsia="Times Roman"/>
        </w:rPr>
      </w:pPr>
    </w:p>
    <w:p>
      <w:pPr>
        <w:pStyle w:val="Heading"/>
        <w:spacing w:before="300" w:after="150"/>
        <w:rPr>
          <w:rFonts w:ascii="Verdana" w:cs="Verdana" w:hAnsi="Verdana" w:eastAsia="Verdana"/>
        </w:rPr>
      </w:pPr>
      <w:r>
        <w:rPr>
          <w:rFonts w:ascii="Verdana" w:hAnsi="Verdana"/>
          <w:rtl w:val="0"/>
          <w:lang w:val="en-US"/>
        </w:rPr>
        <w:t>1. A Chronological Correction, Tested Quantitatively</w:t>
      </w:r>
    </w:p>
    <w:p>
      <w:pPr>
        <w:pStyle w:val="Heading"/>
        <w:spacing w:before="300" w:after="150"/>
        <w:rPr>
          <w:rFonts w:ascii="Verdana" w:cs="Verdana" w:hAnsi="Verdana" w:eastAsia="Verdana"/>
        </w:rPr>
      </w:pPr>
      <w:r>
        <w:rPr>
          <w:rFonts w:ascii="Verdana" w:hAnsi="Verdana"/>
          <w:b w:val="0"/>
          <w:bCs w:val="0"/>
          <w:rtl w:val="0"/>
          <w:lang w:val="en-US"/>
        </w:rPr>
        <w:t xml:space="preserve">The Puranic Chaturyuga cycle assigns the four Yugas </w:t>
      </w:r>
      <w:r>
        <w:rPr>
          <w:rFonts w:ascii="Verdana" w:hAnsi="Verdana" w:hint="default"/>
          <w:b w:val="0"/>
          <w:bCs w:val="0"/>
          <w:rtl w:val="0"/>
          <w:lang w:val="en-US"/>
        </w:rPr>
        <w:t xml:space="preserve">— </w:t>
      </w:r>
      <w:r>
        <w:rPr>
          <w:rFonts w:ascii="Verdana" w:hAnsi="Verdana"/>
          <w:b w:val="0"/>
          <w:bCs w:val="0"/>
          <w:rtl w:val="0"/>
        </w:rPr>
        <w:t xml:space="preserve">Krita, Treta, Dvapara, Kali </w:t>
      </w:r>
      <w:r>
        <w:rPr>
          <w:rFonts w:ascii="Verdana" w:hAnsi="Verdana" w:hint="default"/>
          <w:b w:val="0"/>
          <w:bCs w:val="0"/>
          <w:rtl w:val="0"/>
          <w:lang w:val="en-US"/>
        </w:rPr>
        <w:t xml:space="preserve">— </w:t>
      </w:r>
      <w:r>
        <w:rPr>
          <w:rFonts w:ascii="Verdana" w:hAnsi="Verdana"/>
          <w:b w:val="0"/>
          <w:bCs w:val="0"/>
          <w:rtl w:val="0"/>
          <w:lang w:val="en-US"/>
        </w:rPr>
        <w:t>a combined divine-year total of 12,000 years, converted by the Manusmriti's stated rule (1 divine year = 360 human years) into a Mahayuga of 4,320,000 years. This conversion rule is textually well-attested and internally consistent on its own terms; it is not the product of scribal error. Taken at face value, it places Rama's Treta Yuga hundreds of thousands of years in the past, a depth incompatible with the text's own treatment of its central figures as mortal humans who are born, age, and die within the ordinary span of a single life.</w:t>
      </w:r>
    </w:p>
    <w:p>
      <w:pPr>
        <w:pStyle w:val="Heading"/>
        <w:spacing w:before="300" w:after="150"/>
        <w:rPr>
          <w:rFonts w:ascii="Verdana" w:cs="Verdana" w:hAnsi="Verdana" w:eastAsia="Verdana"/>
        </w:rPr>
      </w:pPr>
      <w:r>
        <w:rPr>
          <w:rFonts w:ascii="Verdana" w:hAnsi="Verdana"/>
          <w:b w:val="0"/>
          <w:bCs w:val="0"/>
          <w:rtl w:val="0"/>
          <w:lang w:val="en-US"/>
        </w:rPr>
        <w:t xml:space="preserve">This paper's proposal is that the </w:t>
      </w:r>
      <w:r>
        <w:rPr>
          <w:rFonts w:ascii="Verdana" w:hAnsi="Verdana" w:hint="default"/>
          <w:b w:val="0"/>
          <w:bCs w:val="0"/>
          <w:rtl w:val="0"/>
        </w:rPr>
        <w:t>×</w:t>
      </w:r>
      <w:r>
        <w:rPr>
          <w:rFonts w:ascii="Verdana" w:hAnsi="Verdana"/>
          <w:b w:val="0"/>
          <w:bCs w:val="0"/>
          <w:rtl w:val="0"/>
          <w:lang w:val="en-US"/>
        </w:rPr>
        <w:t>360 output was preserved through transmission as a day-count, and should be reconverted to solar years (</w:t>
      </w:r>
      <w:r>
        <w:rPr>
          <w:rFonts w:ascii="Verdana" w:hAnsi="Verdana" w:hint="default"/>
          <w:b w:val="0"/>
          <w:bCs w:val="0"/>
          <w:rtl w:val="0"/>
        </w:rPr>
        <w:t>÷</w:t>
      </w:r>
      <w:r>
        <w:rPr>
          <w:rFonts w:ascii="Verdana" w:hAnsi="Verdana"/>
          <w:b w:val="0"/>
          <w:bCs w:val="0"/>
          <w:rtl w:val="0"/>
          <w:lang w:val="en-US"/>
        </w:rPr>
        <w:t xml:space="preserve">365.25), yielding a corrected Kali Yuga of 1,182.75 years and a corrected Mahayuga of approximately 11,827.5 years. This retains the </w:t>
      </w:r>
      <w:r>
        <w:rPr>
          <w:rFonts w:ascii="Verdana" w:hAnsi="Verdana" w:hint="default"/>
          <w:b w:val="0"/>
          <w:bCs w:val="0"/>
          <w:rtl w:val="0"/>
        </w:rPr>
        <w:t>×</w:t>
      </w:r>
      <w:r>
        <w:rPr>
          <w:rFonts w:ascii="Verdana" w:hAnsi="Verdana"/>
          <w:b w:val="0"/>
          <w:bCs w:val="0"/>
          <w:rtl w:val="0"/>
          <w:lang w:val="en-US"/>
        </w:rPr>
        <w:t>360 step as correct, which distinguishes it from Sri Yukteswar's and Saroj Bala's solutions, both of which discard the multiplier and treat the pre-conversion divine-year totals (a 12,000-year Mahayuga) as the human-year figures directly.</w:t>
      </w:r>
    </w:p>
    <w:p>
      <w:pPr>
        <w:pStyle w:val="Heading 2"/>
        <w:spacing w:before="250" w:after="120"/>
        <w:rPr>
          <w:rFonts w:ascii="Verdana" w:cs="Verdana" w:hAnsi="Verdana" w:eastAsia="Verdana"/>
        </w:rPr>
      </w:pPr>
      <w:r>
        <w:rPr>
          <w:rFonts w:ascii="Verdana" w:hAnsi="Verdana"/>
          <w:rtl w:val="0"/>
          <w:lang w:val="en-US"/>
        </w:rPr>
        <w:t>1.1 Separating What Is Chosen From What Follows</w:t>
      </w:r>
    </w:p>
    <w:p>
      <w:pPr>
        <w:pStyle w:val="Heading 2"/>
        <w:spacing w:before="250" w:after="120"/>
        <w:rPr>
          <w:rFonts w:ascii="Verdana" w:cs="Verdana" w:hAnsi="Verdana" w:eastAsia="Verdana"/>
        </w:rPr>
      </w:pPr>
      <w:r>
        <w:rPr>
          <w:rFonts w:ascii="Verdana" w:hAnsi="Verdana"/>
          <w:b w:val="0"/>
          <w:bCs w:val="0"/>
          <w:rtl w:val="0"/>
          <w:lang w:val="en-US"/>
        </w:rPr>
        <w:t>Any chronology built on a single fixed point in the past has to get that point from somewhere, and it is worth being explicit about exactly where this one comes from, because two different kinds of claim are involved here and they should not be blurred together. The first kind of claim is a choice: which moment in the past should anchor the cycle. The second kind of claim is arithmetic: once that moment is chosen, every other date in the cycle follows automatically, with no further room to adjust.</w:t>
      </w:r>
    </w:p>
    <w:p>
      <w:pPr>
        <w:pStyle w:val="Heading 2"/>
        <w:spacing w:before="250" w:after="120"/>
        <w:rPr>
          <w:rFonts w:ascii="Verdana" w:cs="Verdana" w:hAnsi="Verdana" w:eastAsia="Verdana"/>
        </w:rPr>
      </w:pPr>
      <w:r>
        <w:rPr>
          <w:rFonts w:ascii="Verdana" w:hAnsi="Verdana"/>
          <w:b w:val="0"/>
          <w:bCs w:val="0"/>
          <w:rtl w:val="0"/>
          <w:lang w:val="en-US"/>
        </w:rPr>
        <w:t xml:space="preserve">The choice made in this paper is to anchor the end of Kali Yuga to the end of the Younger Dryas cold interval, a real, independently dated climate event, rather than to the traditional 3102 BCE epoch or to any other candidate date. Published estimates of the Younger Dryas interval's duration cluster in a range of approximately 1,200 to 1,300 years, depending mainly on which study's chosen end-boundary is used (11,700 BP in some sources, 11,600 BP in others). The corrected Kali Yuga, derived independently in the previous section from the </w:t>
      </w:r>
      <w:r>
        <w:rPr>
          <w:rFonts w:ascii="Verdana" w:hAnsi="Verdana" w:hint="default"/>
          <w:b w:val="0"/>
          <w:bCs w:val="0"/>
          <w:rtl w:val="0"/>
        </w:rPr>
        <w:t>÷</w:t>
      </w:r>
      <w:r>
        <w:rPr>
          <w:rFonts w:ascii="Verdana" w:hAnsi="Verdana"/>
          <w:b w:val="0"/>
          <w:bCs w:val="0"/>
          <w:rtl w:val="0"/>
          <w:lang w:val="en-US"/>
        </w:rPr>
        <w:t xml:space="preserve">365.25 reinterpretation, comes to 1,182.75 years </w:t>
      </w:r>
      <w:r>
        <w:rPr>
          <w:rFonts w:ascii="Verdana" w:hAnsi="Verdana" w:hint="default"/>
          <w:b w:val="0"/>
          <w:bCs w:val="0"/>
          <w:rtl w:val="0"/>
          <w:lang w:val="en-US"/>
        </w:rPr>
        <w:t xml:space="preserve">— </w:t>
      </w:r>
      <w:r>
        <w:rPr>
          <w:rFonts w:ascii="Verdana" w:hAnsi="Verdana"/>
          <w:b w:val="0"/>
          <w:bCs w:val="0"/>
          <w:rtl w:val="0"/>
          <w:lang w:val="en-US"/>
        </w:rPr>
        <w:t>slightly below this entire published range, missing the lower bound (1,200 years) by approximately 17 years (</w:t>
      </w:r>
      <w:r>
        <w:rPr>
          <w:rFonts w:ascii="Verdana" w:hAnsi="Verdana" w:hint="default"/>
          <w:b w:val="0"/>
          <w:bCs w:val="0"/>
          <w:rtl w:val="0"/>
        </w:rPr>
        <w:t>≈</w:t>
      </w:r>
      <w:r>
        <w:rPr>
          <w:rFonts w:ascii="Verdana" w:hAnsi="Verdana"/>
          <w:b w:val="0"/>
          <w:bCs w:val="0"/>
          <w:rtl w:val="0"/>
          <w:lang w:val="en-US"/>
        </w:rPr>
        <w:t>1.4%) and the upper bound (1,300 years) by approximately 117 years (</w:t>
      </w:r>
      <w:r>
        <w:rPr>
          <w:rFonts w:ascii="Verdana" w:hAnsi="Verdana" w:hint="default"/>
          <w:b w:val="0"/>
          <w:bCs w:val="0"/>
          <w:rtl w:val="0"/>
        </w:rPr>
        <w:t>≈</w:t>
      </w:r>
      <w:r>
        <w:rPr>
          <w:rFonts w:ascii="Verdana" w:hAnsi="Verdana"/>
          <w:b w:val="0"/>
          <w:bCs w:val="0"/>
          <w:rtl w:val="0"/>
          <w:lang w:val="en-US"/>
        </w:rPr>
        <w:t>9%). This is disclosed precisely rather than described as a clean match: the corrected figure sits just outside the low end of the published range, closer to it than to any other commonly cited duration, but not comfortably inside it. Two other candidate anchors were tested first and both failed a basic test: anchoring Kali Yuga's start to the traditional 3102 BCE epoch and applying the corrected durations sequentially places Kali Yuga's end at 1,919 BCE, meaning the tradition's own present-age claim would be false by roughly 3,945 years; anchoring Kali Yuga's end to a round 12,000 BCE and projecting forward through repeating cycles places 2026 CE inside a Krita (Golden Age) period instead. Only the Younger Dryas anchor passes the basic test that the present era fall within Kali Yuga, and it remains the anchor used here because the proximity, while not exact, is closer than any alternative candidate produced. This is disclosed plainly as a choice made because it works acceptably well, not because the text or the geology forced it into being the only possible reading, and not because the numerical match is as tight as this paper's other quantitative claims.</w:t>
      </w:r>
    </w:p>
    <w:p>
      <w:pPr>
        <w:pStyle w:val="Heading 2"/>
        <w:spacing w:before="250" w:after="120"/>
        <w:rPr>
          <w:rFonts w:ascii="Verdana" w:cs="Verdana" w:hAnsi="Verdana" w:eastAsia="Verdana"/>
        </w:rPr>
      </w:pPr>
      <w:r>
        <w:rPr>
          <w:rFonts w:ascii="Verdana" w:hAnsi="Verdana"/>
          <w:b w:val="0"/>
          <w:bCs w:val="0"/>
          <w:rtl w:val="0"/>
          <w:lang w:val="en-US"/>
        </w:rPr>
        <w:t xml:space="preserve">Once that single choice is made, however, nothing else in the model is adjustable. The length of each Yuga, the order in which they run, and the total length of the cycle are all fixed by the </w:t>
      </w:r>
      <w:r>
        <w:rPr>
          <w:rFonts w:ascii="Verdana" w:hAnsi="Verdana" w:hint="default"/>
          <w:b w:val="0"/>
          <w:bCs w:val="0"/>
          <w:rtl w:val="0"/>
        </w:rPr>
        <w:t>÷</w:t>
      </w:r>
      <w:r>
        <w:rPr>
          <w:rFonts w:ascii="Verdana" w:hAnsi="Verdana"/>
          <w:b w:val="0"/>
          <w:bCs w:val="0"/>
          <w:rtl w:val="0"/>
          <w:lang w:val="en-US"/>
        </w:rPr>
        <w:t xml:space="preserve">365.25 arithmetic established earlier; from the one anchor point, every other boundary in the cycle </w:t>
      </w:r>
      <w:r>
        <w:rPr>
          <w:rFonts w:ascii="Verdana" w:hAnsi="Verdana" w:hint="default"/>
          <w:b w:val="0"/>
          <w:bCs w:val="0"/>
          <w:rtl w:val="0"/>
          <w:lang w:val="en-US"/>
        </w:rPr>
        <w:t xml:space="preserve">— </w:t>
      </w:r>
      <w:r>
        <w:rPr>
          <w:rFonts w:ascii="Verdana" w:hAnsi="Verdana"/>
          <w:b w:val="0"/>
          <w:bCs w:val="0"/>
          <w:rtl w:val="0"/>
          <w:lang w:val="en-US"/>
        </w:rPr>
        <w:t xml:space="preserve">including the Krita/Treta boundary at 4,969 BCE </w:t>
      </w:r>
      <w:r>
        <w:rPr>
          <w:rFonts w:ascii="Verdana" w:hAnsi="Verdana" w:hint="default"/>
          <w:b w:val="0"/>
          <w:bCs w:val="0"/>
          <w:rtl w:val="0"/>
          <w:lang w:val="en-US"/>
        </w:rPr>
        <w:t xml:space="preserve">— </w:t>
      </w:r>
      <w:r>
        <w:rPr>
          <w:rFonts w:ascii="Verdana" w:hAnsi="Verdana"/>
          <w:b w:val="0"/>
          <w:bCs w:val="0"/>
          <w:rtl w:val="0"/>
          <w:lang w:val="en-US"/>
        </w:rPr>
        <w:t>is arrived at by addition and subtraction, not by further choice. This is the distinction that matters for what follows: Bhatnagar's date and the land bridge's date were not available to be fitted against, because the boundary they are being compared to was already fixed by the anchor choice before their proximity to it was even examined. A model can be built on a chosen starting point and still make a prediction that either succeeds or fails once that point is set; what would be illegitimate is adjusting the starting point itself after seeing how close the comparison dates come. That did not happen here, and Section 1.2 tests this claim quantitatively.</w:t>
      </w:r>
    </w:p>
    <w:p>
      <w:pPr>
        <w:pStyle w:val="Heading 2"/>
        <w:spacing w:before="250" w:after="120"/>
        <w:rPr>
          <w:rFonts w:ascii="Verdana" w:cs="Verdana" w:hAnsi="Verdana" w:eastAsia="Verdana"/>
        </w:rPr>
      </w:pPr>
      <w:r>
        <w:rPr>
          <w:rFonts w:ascii="Verdana" w:hAnsi="Verdana"/>
          <w:rtl w:val="0"/>
          <w:lang w:val="en-US"/>
        </w:rPr>
        <w:t>1.2 Testing the Model Against Independent Evidence</w:t>
      </w:r>
    </w:p>
    <w:p>
      <w:pPr>
        <w:pStyle w:val="Heading 2"/>
        <w:spacing w:before="250" w:after="120"/>
        <w:rPr>
          <w:rFonts w:ascii="Verdana" w:cs="Verdana" w:hAnsi="Verdana" w:eastAsia="Verdana"/>
        </w:rPr>
      </w:pPr>
      <w:r>
        <w:rPr>
          <w:rFonts w:ascii="Verdana" w:hAnsi="Verdana"/>
          <w:b w:val="0"/>
          <w:bCs w:val="0"/>
          <w:rtl w:val="0"/>
          <w:lang w:val="en-US"/>
        </w:rPr>
        <w:t>Under the anchor established in Section 1.1, Rama's Treta Yuga spans approximately 4,969</w:t>
      </w:r>
      <w:r>
        <w:rPr>
          <w:rFonts w:ascii="Verdana" w:hAnsi="Verdana" w:hint="default"/>
          <w:b w:val="0"/>
          <w:bCs w:val="0"/>
          <w:rtl w:val="0"/>
        </w:rPr>
        <w:t>–</w:t>
      </w:r>
      <w:r>
        <w:rPr>
          <w:rFonts w:ascii="Verdana" w:hAnsi="Verdana"/>
          <w:b w:val="0"/>
          <w:bCs w:val="0"/>
          <w:rtl w:val="0"/>
          <w:lang w:val="en-US"/>
        </w:rPr>
        <w:t xml:space="preserve">1,421 BCE, with the Krita/Treta boundary falling at 4,969 BCE. Two estimates, produced by entirely different methods and disciplines, and neither constructed with this model in mind, converge tightly on that boundary. Pushkar Bhatnagar's planetary-conjunction dating of Rama's birth (2004), based on retro-calculated planetary positions described in the Valmiki text, places the date at 5114 BCE </w:t>
      </w:r>
      <w:r>
        <w:rPr>
          <w:rFonts w:ascii="Verdana" w:hAnsi="Verdana" w:hint="default"/>
          <w:b w:val="0"/>
          <w:bCs w:val="0"/>
          <w:rtl w:val="0"/>
          <w:lang w:val="en-US"/>
        </w:rPr>
        <w:t xml:space="preserve">— </w:t>
      </w:r>
      <w:r>
        <w:rPr>
          <w:rFonts w:ascii="Verdana" w:hAnsi="Verdana"/>
          <w:b w:val="0"/>
          <w:bCs w:val="0"/>
          <w:rtl w:val="0"/>
          <w:lang w:val="en-US"/>
        </w:rPr>
        <w:t>145 years before the boundary. The geological dating of the India</w:t>
      </w:r>
      <w:r>
        <w:rPr>
          <w:rFonts w:ascii="Verdana" w:hAnsi="Verdana" w:hint="default"/>
          <w:b w:val="0"/>
          <w:bCs w:val="0"/>
          <w:rtl w:val="0"/>
        </w:rPr>
        <w:t>–</w:t>
      </w:r>
      <w:r>
        <w:rPr>
          <w:rFonts w:ascii="Verdana" w:hAnsi="Verdana"/>
          <w:b w:val="0"/>
          <w:bCs w:val="0"/>
          <w:rtl w:val="0"/>
          <w:lang w:val="en-US"/>
        </w:rPr>
        <w:t xml:space="preserve">Sri Lanka land bridge's submergence across the Palk Strait (Fairbanks, 1989; Hanebuth et al., 2000), based on post-glacial sea-level reconstruction, places this event at approximately 5000 BCE </w:t>
      </w:r>
      <w:r>
        <w:rPr>
          <w:rFonts w:ascii="Verdana" w:hAnsi="Verdana" w:hint="default"/>
          <w:b w:val="0"/>
          <w:bCs w:val="0"/>
          <w:rtl w:val="0"/>
          <w:lang w:val="en-US"/>
        </w:rPr>
        <w:t xml:space="preserve">— </w:t>
      </w:r>
      <w:r>
        <w:rPr>
          <w:rFonts w:ascii="Verdana" w:hAnsi="Verdana"/>
          <w:b w:val="0"/>
          <w:bCs w:val="0"/>
          <w:rtl w:val="0"/>
          <w:lang w:val="en-US"/>
        </w:rPr>
        <w:t>31 years before the same boundary. These two methods share no data, no assumptions, and no disciplinary lineage: one is archaeoastronomy, the other is Quaternary sea-level geology.</w:t>
      </w:r>
    </w:p>
    <w:p>
      <w:pPr>
        <w:pStyle w:val="Heading 2"/>
        <w:spacing w:before="250" w:after="120"/>
        <w:rPr>
          <w:rFonts w:ascii="Verdana" w:cs="Verdana" w:hAnsi="Verdana" w:eastAsia="Verdana"/>
        </w:rPr>
      </w:pPr>
      <w:r>
        <w:rPr>
          <w:rFonts w:ascii="Verdana" w:hAnsi="Verdana"/>
          <w:b w:val="0"/>
          <w:bCs w:val="0"/>
          <w:rtl w:val="0"/>
          <w:lang w:val="en-US"/>
        </w:rPr>
        <w:t xml:space="preserve">To assess whether this proximity is meaningful, a simple null model is applied: if each estimate were, in fact, unrelated to the corrected chronology and effectively randomly placed across the 11,827.5-year Mahayuga cycle, the probability of falling within 150 years of one specific, previously predicted boundary is 300/11,827.5 </w:t>
      </w:r>
      <w:r>
        <w:rPr>
          <w:rFonts w:ascii="Verdana" w:hAnsi="Verdana" w:hint="default"/>
          <w:b w:val="0"/>
          <w:bCs w:val="0"/>
          <w:rtl w:val="0"/>
        </w:rPr>
        <w:t xml:space="preserve">≈ </w:t>
      </w:r>
      <w:r>
        <w:rPr>
          <w:rFonts w:ascii="Verdana" w:hAnsi="Verdana"/>
          <w:b w:val="0"/>
          <w:bCs w:val="0"/>
          <w:rtl w:val="0"/>
          <w:lang w:val="en-US"/>
        </w:rPr>
        <w:t xml:space="preserve">2.5% for a single estimate. The probability of two independent estimates both falling within 150 years of the same specific boundary by chance is approximately 2.5% </w:t>
      </w:r>
      <w:r>
        <w:rPr>
          <w:rFonts w:ascii="Verdana" w:hAnsi="Verdana" w:hint="default"/>
          <w:b w:val="0"/>
          <w:bCs w:val="0"/>
          <w:rtl w:val="0"/>
        </w:rPr>
        <w:t xml:space="preserve">× </w:t>
      </w:r>
      <w:r>
        <w:rPr>
          <w:rFonts w:ascii="Verdana" w:hAnsi="Verdana"/>
          <w:b w:val="0"/>
          <w:bCs w:val="0"/>
          <w:rtl w:val="0"/>
        </w:rPr>
        <w:t xml:space="preserve">2.5% </w:t>
      </w:r>
      <w:r>
        <w:rPr>
          <w:rFonts w:ascii="Verdana" w:hAnsi="Verdana" w:hint="default"/>
          <w:b w:val="0"/>
          <w:bCs w:val="0"/>
          <w:rtl w:val="0"/>
        </w:rPr>
        <w:t xml:space="preserve">≈ </w:t>
      </w:r>
      <w:r>
        <w:rPr>
          <w:rFonts w:ascii="Verdana" w:hAnsi="Verdana"/>
          <w:b w:val="0"/>
          <w:bCs w:val="0"/>
          <w:rtl w:val="0"/>
          <w:lang w:val="en-US"/>
        </w:rPr>
        <w:t xml:space="preserve">0.06%, or roughly 1 in 1,600. This calculation assumes the independence of the two methods, which is reasonable given their disciplinary separation but is not itself proven, and it treats the predicted boundary as fixed in advance rather than fitted after the fact </w:t>
      </w:r>
      <w:r>
        <w:rPr>
          <w:rFonts w:ascii="Verdana" w:hAnsi="Verdana" w:hint="default"/>
          <w:b w:val="0"/>
          <w:bCs w:val="0"/>
          <w:rtl w:val="0"/>
          <w:lang w:val="en-US"/>
        </w:rPr>
        <w:t xml:space="preserve">— </w:t>
      </w:r>
      <w:r>
        <w:rPr>
          <w:rFonts w:ascii="Verdana" w:hAnsi="Verdana"/>
          <w:b w:val="0"/>
          <w:bCs w:val="0"/>
          <w:rtl w:val="0"/>
          <w:lang w:val="en-US"/>
        </w:rPr>
        <w:t>which is accurate, since the boundary follows directly from Section 1.1's Younger Dryas anchor rather than being adjusted to match either estimate.</w:t>
      </w:r>
    </w:p>
    <w:p>
      <w:pPr>
        <w:pStyle w:val="Heading 2"/>
        <w:spacing w:before="250" w:after="120"/>
        <w:rPr>
          <w:rFonts w:ascii="Verdana" w:cs="Verdana" w:hAnsi="Verdana" w:eastAsia="Verdana"/>
        </w:rPr>
      </w:pPr>
      <w:r>
        <w:rPr>
          <w:rFonts w:ascii="Verdana" w:hAnsi="Verdana"/>
          <w:b w:val="0"/>
          <w:bCs w:val="0"/>
          <w:rtl w:val="0"/>
          <w:lang w:val="en-US"/>
        </w:rPr>
        <w:t xml:space="preserve">A third estimate, Nilesh Oak's precessional dating of the Ramayana (12,209 BCE), does not fall near this boundary in either the current or the immediately preceding cycle; extending the model one cycle earlier places the nearest boundary at 13,248 BCE, a discrepancy of 1,039 years. This is reported plainly as a genuine discrepancy and is not included in the convergence calculation above. Reporting it separately, rather than loosely describing all three estimates as </w:t>
      </w:r>
      <w:r>
        <w:rPr>
          <w:rFonts w:ascii="Verdana" w:hAnsi="Verdana" w:hint="default"/>
          <w:b w:val="0"/>
          <w:bCs w:val="0"/>
          <w:rtl w:val="1"/>
          <w:lang w:val="ar-SA" w:bidi="ar-SA"/>
        </w:rPr>
        <w:t>“</w:t>
      </w:r>
      <w:r>
        <w:rPr>
          <w:rFonts w:ascii="Verdana" w:hAnsi="Verdana"/>
          <w:b w:val="0"/>
          <w:bCs w:val="0"/>
          <w:rtl w:val="0"/>
          <w:lang w:val="nl-NL"/>
        </w:rPr>
        <w:t>converging,</w:t>
      </w:r>
      <w:r>
        <w:rPr>
          <w:rFonts w:ascii="Verdana" w:hAnsi="Verdana" w:hint="default"/>
          <w:b w:val="0"/>
          <w:bCs w:val="0"/>
          <w:rtl w:val="0"/>
        </w:rPr>
        <w:t xml:space="preserve">” </w:t>
      </w:r>
      <w:r>
        <w:rPr>
          <w:rFonts w:ascii="Verdana" w:hAnsi="Verdana"/>
          <w:b w:val="0"/>
          <w:bCs w:val="0"/>
          <w:rtl w:val="0"/>
          <w:lang w:val="en-US"/>
        </w:rPr>
        <w:t>is a more precise and more defensible representation of what the evidence actually shows: a tight, statistically improbable convergence between two specific independent methods, alongside one unresolved disagreement from a third.</w:t>
      </w:r>
    </w:p>
    <w:p>
      <w:pPr>
        <w:pStyle w:val="Heading 2"/>
        <w:spacing w:before="250" w:after="120"/>
        <w:rPr>
          <w:rFonts w:ascii="Verdana" w:cs="Verdana" w:hAnsi="Verdana" w:eastAsia="Verdana"/>
        </w:rPr>
      </w:pPr>
      <w:r>
        <w:rPr>
          <w:rFonts w:ascii="Verdana" w:hAnsi="Verdana"/>
          <w:rtl w:val="0"/>
          <w:lang w:val="en-US"/>
        </w:rPr>
        <w:t>1.3 A Robustness Check: Anchoring the Other End of the Interval</w:t>
      </w:r>
    </w:p>
    <w:p>
      <w:pPr>
        <w:pStyle w:val="Heading 2"/>
        <w:spacing w:before="250" w:after="120"/>
        <w:rPr>
          <w:rFonts w:ascii="Verdana" w:cs="Verdana" w:hAnsi="Verdana" w:eastAsia="Verdana"/>
        </w:rPr>
      </w:pPr>
      <w:r>
        <w:rPr>
          <w:rFonts w:ascii="Verdana" w:hAnsi="Verdana"/>
          <w:b w:val="0"/>
          <w:bCs w:val="0"/>
          <w:rtl w:val="0"/>
          <w:lang w:val="en-US"/>
        </w:rPr>
        <w:t xml:space="preserve">Section 1.1 anchors the boundary between one Mahayuga cycle and the next </w:t>
      </w:r>
      <w:r>
        <w:rPr>
          <w:rFonts w:ascii="Verdana" w:hAnsi="Verdana" w:hint="default"/>
          <w:b w:val="0"/>
          <w:bCs w:val="0"/>
          <w:rtl w:val="0"/>
          <w:lang w:val="en-US"/>
        </w:rPr>
        <w:t xml:space="preserve">— </w:t>
      </w:r>
      <w:r>
        <w:rPr>
          <w:rFonts w:ascii="Verdana" w:hAnsi="Verdana"/>
          <w:b w:val="0"/>
          <w:bCs w:val="0"/>
          <w:rtl w:val="0"/>
          <w:lang w:val="en-US"/>
        </w:rPr>
        <w:t xml:space="preserve">simultaneously the end of the preceding cycle's Kali Yuga and the start of the current cycle's Krita Yuga </w:t>
      </w:r>
      <w:r>
        <w:rPr>
          <w:rFonts w:ascii="Verdana" w:hAnsi="Verdana" w:hint="default"/>
          <w:b w:val="0"/>
          <w:bCs w:val="0"/>
          <w:rtl w:val="0"/>
          <w:lang w:val="en-US"/>
        </w:rPr>
        <w:t xml:space="preserve">— </w:t>
      </w:r>
      <w:r>
        <w:rPr>
          <w:rFonts w:ascii="Verdana" w:hAnsi="Verdana"/>
          <w:b w:val="0"/>
          <w:bCs w:val="0"/>
          <w:rtl w:val="0"/>
          <w:lang w:val="en-US"/>
        </w:rPr>
        <w:t>to the end of the Younger Dryas (</w:t>
      </w:r>
      <w:r>
        <w:rPr>
          <w:rFonts w:ascii="Verdana" w:hAnsi="Verdana" w:hint="default"/>
          <w:b w:val="0"/>
          <w:bCs w:val="0"/>
          <w:rtl w:val="0"/>
        </w:rPr>
        <w:t>≈</w:t>
      </w:r>
      <w:r>
        <w:rPr>
          <w:rFonts w:ascii="Verdana" w:hAnsi="Verdana"/>
          <w:b w:val="0"/>
          <w:bCs w:val="0"/>
          <w:rtl w:val="0"/>
          <w:lang w:val="en-US"/>
        </w:rPr>
        <w:t>9,700 BCE). This is a choice, not the only available one: the Younger Dryas is an interval with two dated endpoints, a start (</w:t>
      </w:r>
      <w:r>
        <w:rPr>
          <w:rFonts w:ascii="Verdana" w:hAnsi="Verdana" w:hint="default"/>
          <w:b w:val="0"/>
          <w:bCs w:val="0"/>
          <w:rtl w:val="0"/>
        </w:rPr>
        <w:t>≈</w:t>
      </w:r>
      <w:r>
        <w:rPr>
          <w:rFonts w:ascii="Verdana" w:hAnsi="Verdana"/>
          <w:b w:val="0"/>
          <w:bCs w:val="0"/>
          <w:rtl w:val="0"/>
          <w:lang w:val="en-US"/>
        </w:rPr>
        <w:t>10,900 BCE) and an end (</w:t>
      </w:r>
      <w:r>
        <w:rPr>
          <w:rFonts w:ascii="Verdana" w:hAnsi="Verdana" w:hint="default"/>
          <w:b w:val="0"/>
          <w:bCs w:val="0"/>
          <w:rtl w:val="0"/>
        </w:rPr>
        <w:t>≈</w:t>
      </w:r>
      <w:r>
        <w:rPr>
          <w:rFonts w:ascii="Verdana" w:hAnsi="Verdana"/>
          <w:b w:val="0"/>
          <w:bCs w:val="0"/>
          <w:rtl w:val="0"/>
          <w:lang w:val="en-US"/>
        </w:rPr>
        <w:t>9,700 BCE), and either could reasonably be used as the anchor point. To check whether the model's fit to independent evidence depends on which endpoint is chosen, the alternative is calculated here in full, rather than tested privately and reported only if it happened to look better.</w:t>
      </w:r>
    </w:p>
    <w:p>
      <w:pPr>
        <w:pStyle w:val="Heading 2"/>
        <w:spacing w:before="250" w:after="120"/>
        <w:rPr>
          <w:rFonts w:ascii="Verdana" w:cs="Verdana" w:hAnsi="Verdana" w:eastAsia="Verdana"/>
        </w:rPr>
      </w:pPr>
      <w:r>
        <w:rPr>
          <w:rFonts w:ascii="Verdana" w:hAnsi="Verdana"/>
          <w:b w:val="0"/>
          <w:bCs w:val="0"/>
          <w:rtl w:val="0"/>
          <w:lang w:val="en-US"/>
        </w:rPr>
        <w:t>Anchoring instead so that the preceding cycle's Kali Yuga begins exactly at the Younger Dryas's start (10,900 BCE), the cycle boundary falls at 9,717.25 BCE rather than 9,700 BCE, and the current cycle's Krita/Treta boundary shifts from 4,969 BCE to approximately 4,986.25 BCE. Under this configuration, Bhatnagar's estimate (5114 BCE) misses the boundary by 127.75 years, an improvement on the 145-year gap under the end-anchored version; the land bridge estimate (</w:t>
      </w:r>
      <w:r>
        <w:rPr>
          <w:rFonts w:ascii="Verdana" w:hAnsi="Verdana" w:hint="default"/>
          <w:b w:val="0"/>
          <w:bCs w:val="0"/>
          <w:rtl w:val="0"/>
        </w:rPr>
        <w:t>≈</w:t>
      </w:r>
      <w:r>
        <w:rPr>
          <w:rFonts w:ascii="Verdana" w:hAnsi="Verdana"/>
          <w:b w:val="0"/>
          <w:bCs w:val="0"/>
          <w:rtl w:val="0"/>
          <w:lang w:val="en-US"/>
        </w:rPr>
        <w:t>5000 BCE) misses by 13.75 years, an improvement on the 31-year gap. The present era continues to fall correctly within Kali Yuga (approximately 928 CE to 2110 CE under this configuration), satisfying the same basic requirement as the version used in Section 1.1. Because both independent estimates still fall well within the 150-year window used in Section 1.2's calculation under either configuration, the probability estimate of approximately 0.06% is not materially affected by this choice.</w:t>
      </w:r>
    </w:p>
    <w:p>
      <w:pPr>
        <w:pStyle w:val="Heading 2"/>
        <w:spacing w:before="250" w:after="120"/>
        <w:rPr>
          <w:rFonts w:ascii="Verdana" w:cs="Verdana" w:hAnsi="Verdana" w:eastAsia="Verdana"/>
        </w:rPr>
      </w:pPr>
      <w:r>
        <w:rPr>
          <w:rFonts w:ascii="Verdana" w:hAnsi="Verdana"/>
          <w:b w:val="0"/>
          <w:bCs w:val="0"/>
          <w:rtl w:val="0"/>
          <w:lang w:val="en-US"/>
        </w:rPr>
        <w:t xml:space="preserve">Both configurations are reported here, rather than only the better-fitting one, because reporting only the configuration selected after seeing how well it matched the comparison dates would be exactly the kind of after-the-fact tuning the null-model calculation in Section 1.2 is designed to rule out. That the fit holds, and in fact improves slightly, under a second independently defensible anchoring choice is treated here as a modest additional point in the model's favor </w:t>
      </w:r>
      <w:r>
        <w:rPr>
          <w:rFonts w:ascii="Verdana" w:hAnsi="Verdana" w:hint="default"/>
          <w:b w:val="0"/>
          <w:bCs w:val="0"/>
          <w:rtl w:val="0"/>
          <w:lang w:val="en-US"/>
        </w:rPr>
        <w:t xml:space="preserve">— </w:t>
      </w:r>
      <w:r>
        <w:rPr>
          <w:rFonts w:ascii="Verdana" w:hAnsi="Verdana"/>
          <w:b w:val="0"/>
          <w:bCs w:val="0"/>
          <w:rtl w:val="0"/>
          <w:lang w:val="en-US"/>
        </w:rPr>
        <w:t>not because either configuration is proven correct over the other, but because the model's prediction is not fragile to this particular choice.</w:t>
      </w:r>
    </w:p>
    <w:p>
      <w:pPr>
        <w:pStyle w:val="Heading"/>
        <w:spacing w:before="300" w:after="150"/>
        <w:rPr>
          <w:rFonts w:ascii="Verdana" w:cs="Verdana" w:hAnsi="Verdana" w:eastAsia="Verdana"/>
        </w:rPr>
      </w:pPr>
      <w:r>
        <w:rPr>
          <w:rFonts w:ascii="Verdana" w:hAnsi="Verdana"/>
          <w:rtl w:val="0"/>
          <w:lang w:val="en-US"/>
        </w:rPr>
        <w:t>2. What Independently Existed in This Window</w:t>
      </w:r>
    </w:p>
    <w:p>
      <w:pPr>
        <w:pStyle w:val="Heading"/>
        <w:spacing w:before="300" w:after="150"/>
        <w:rPr>
          <w:rFonts w:ascii="Verdana" w:cs="Verdana" w:hAnsi="Verdana" w:eastAsia="Verdana"/>
        </w:rPr>
      </w:pPr>
      <w:r>
        <w:rPr>
          <w:rFonts w:ascii="Verdana" w:hAnsi="Verdana"/>
          <w:b w:val="0"/>
          <w:bCs w:val="0"/>
          <w:rtl w:val="0"/>
          <w:lang w:val="en-US"/>
        </w:rPr>
        <w:t>No writing system existed anywhere on Earth in 5000</w:t>
      </w:r>
      <w:r>
        <w:rPr>
          <w:rFonts w:ascii="Verdana" w:hAnsi="Verdana" w:hint="default"/>
          <w:b w:val="0"/>
          <w:bCs w:val="0"/>
          <w:rtl w:val="0"/>
        </w:rPr>
        <w:t>–</w:t>
      </w:r>
      <w:r>
        <w:rPr>
          <w:rFonts w:ascii="Verdana" w:hAnsi="Verdana"/>
          <w:b w:val="0"/>
          <w:bCs w:val="0"/>
          <w:rtl w:val="0"/>
          <w:lang w:val="en-US"/>
        </w:rPr>
        <w:t>5500 BCE; the earliest attested writing, proto-cuneiform at Uruk, postdates this window by at least 1,500 years, and no named individual from any tradition can appear in a contemporary written record from this period. What can be independently established is archaeological, showing organized human society at varying stages of development, without kingship, writing, or named figures of any kind.</w:t>
      </w:r>
    </w:p>
    <w:p>
      <w:pPr>
        <w:pStyle w:val="Heading"/>
        <w:spacing w:before="300" w:after="150"/>
        <w:rPr>
          <w:rFonts w:ascii="Verdana" w:cs="Verdana" w:hAnsi="Verdana" w:eastAsia="Verdana"/>
        </w:rPr>
      </w:pPr>
      <w:r>
        <w:rPr>
          <w:rFonts w:ascii="Verdana" w:hAnsi="Verdana"/>
          <w:b w:val="0"/>
          <w:bCs w:val="0"/>
          <w:rtl w:val="0"/>
          <w:lang w:val="en-US"/>
        </w:rPr>
        <w:t>In South Asia, Mehrgarh's Period II (ceramic Neolithic, radiocarbon-dated to approximately 5500</w:t>
      </w:r>
      <w:r>
        <w:rPr>
          <w:rFonts w:ascii="Verdana" w:hAnsi="Verdana" w:hint="default"/>
          <w:b w:val="0"/>
          <w:bCs w:val="0"/>
          <w:rtl w:val="0"/>
        </w:rPr>
        <w:t>–</w:t>
      </w:r>
      <w:r>
        <w:rPr>
          <w:rFonts w:ascii="Verdana" w:hAnsi="Verdana"/>
          <w:b w:val="0"/>
          <w:bCs w:val="0"/>
          <w:rtl w:val="0"/>
          <w:lang w:val="en-US"/>
        </w:rPr>
        <w:t>4800 BCE) shows settled agriculture, domesticated livestock, pottery, early copper metallurgy including the earliest known lost-wax casting, and long-distance trade in turquoise, lapis lazuli, and marine shell. In Mesopotamia, the Ubaid 1/Eridu phase (approximately 5400</w:t>
      </w:r>
      <w:r>
        <w:rPr>
          <w:rFonts w:ascii="Verdana" w:hAnsi="Verdana" w:hint="default"/>
          <w:b w:val="0"/>
          <w:bCs w:val="0"/>
          <w:rtl w:val="0"/>
        </w:rPr>
        <w:t>–</w:t>
      </w:r>
      <w:r>
        <w:rPr>
          <w:rFonts w:ascii="Verdana" w:hAnsi="Verdana"/>
          <w:b w:val="0"/>
          <w:bCs w:val="0"/>
          <w:rtl w:val="0"/>
          <w:lang w:val="en-US"/>
        </w:rPr>
        <w:t>4700 BCE) shows the first permanent settlements on the southern alluvial plain, irrigation agriculture, and the first public ritual architecture documented in the region. Egypt enters a comparable trajectory only at the edge of this window: the Early Fayum and Merimde Neolithic cultures date to approximately 5200</w:t>
      </w:r>
      <w:r>
        <w:rPr>
          <w:rFonts w:ascii="Verdana" w:hAnsi="Verdana" w:hint="default"/>
          <w:b w:val="0"/>
          <w:bCs w:val="0"/>
          <w:rtl w:val="0"/>
        </w:rPr>
        <w:t>–</w:t>
      </w:r>
      <w:r>
        <w:rPr>
          <w:rFonts w:ascii="Verdana" w:hAnsi="Verdana"/>
          <w:b w:val="0"/>
          <w:bCs w:val="0"/>
          <w:rtl w:val="0"/>
          <w:lang w:val="en-US"/>
        </w:rPr>
        <w:t>4500 BCE, while the more socially stratified Badarian culture most likely postdates 5000</w:t>
      </w:r>
      <w:r>
        <w:rPr>
          <w:rFonts w:ascii="Verdana" w:hAnsi="Verdana" w:hint="default"/>
          <w:b w:val="0"/>
          <w:bCs w:val="0"/>
          <w:rtl w:val="0"/>
        </w:rPr>
        <w:t>–</w:t>
      </w:r>
      <w:r>
        <w:rPr>
          <w:rFonts w:ascii="Verdana" w:hAnsi="Verdana"/>
          <w:b w:val="0"/>
          <w:bCs w:val="0"/>
          <w:rtl w:val="0"/>
          <w:lang w:val="en-US"/>
        </w:rPr>
        <w:t>5500 BCE by several centuries and should not be treated as fully comparable within this specific window. These regional records establish what kind of world existed during this chronology's window; they are not offered as evidence connecting these cultures to each other or to the Ramayana tradition specifically, and this paper's separate Population Y / Indian Ocean coastal corridor research is kept distinct from this material rather than conflated with it.</w:t>
      </w:r>
    </w:p>
    <w:p>
      <w:pPr>
        <w:pStyle w:val="Heading"/>
        <w:spacing w:before="300" w:after="150"/>
        <w:rPr>
          <w:rFonts w:ascii="Verdana" w:cs="Verdana" w:hAnsi="Verdana" w:eastAsia="Verdana"/>
        </w:rPr>
      </w:pPr>
      <w:r>
        <w:rPr>
          <w:rFonts w:ascii="Verdana" w:hAnsi="Verdana"/>
          <w:rtl w:val="0"/>
          <w:lang w:val="en-US"/>
        </w:rPr>
        <w:t>3. Clarifying the Cast: Ravana's Category and the Yaksha Question</w:t>
      </w:r>
    </w:p>
    <w:p>
      <w:pPr>
        <w:pStyle w:val="Heading"/>
        <w:spacing w:before="300" w:after="150"/>
        <w:rPr>
          <w:rFonts w:ascii="Verdana" w:cs="Verdana" w:hAnsi="Verdana" w:eastAsia="Verdana"/>
        </w:rPr>
      </w:pPr>
      <w:r>
        <w:rPr>
          <w:rFonts w:ascii="Verdana" w:hAnsi="Verdana"/>
          <w:b w:val="0"/>
          <w:bCs w:val="0"/>
          <w:rtl w:val="0"/>
          <w:lang w:val="en-US"/>
        </w:rPr>
        <w:t xml:space="preserve">Within the Ramayana's own cosmology, Ravana is a Rakshasa, not a Deva </w:t>
      </w:r>
      <w:r>
        <w:rPr>
          <w:rFonts w:ascii="Verdana" w:hAnsi="Verdana" w:hint="default"/>
          <w:b w:val="0"/>
          <w:bCs w:val="0"/>
          <w:rtl w:val="0"/>
          <w:lang w:val="en-US"/>
        </w:rPr>
        <w:t xml:space="preserve">— </w:t>
      </w:r>
      <w:r>
        <w:rPr>
          <w:rFonts w:ascii="Verdana" w:hAnsi="Verdana"/>
          <w:b w:val="0"/>
          <w:bCs w:val="0"/>
          <w:rtl w:val="0"/>
          <w:lang w:val="en-US"/>
        </w:rPr>
        <w:t>son of the sage Vishrava and grandson of Pulastya (one of Brahma's mind-born sons) through his father's line, with his Rakshasa lineage through his mother Kaikesi. Devas and Rakshasas are presented throughout Puranic genealogy as descended from the sage Kashyapa through different wives, making them structurally opposed categories with a distant common ancestor, not interchangeable labels. Rama is a human king of the Suryavamsa (Solar Dynasty) and an avatar of Vishnu; his solar lineage is dynastic, not a claim to Deva status, and solar worship in this tradition is associated with Surya and with Rama's own dynastic line specifically. Ravana's devotion to Shiva is consistent with this structure: Shiva is generally positioned above or outside the Deva-Rakshasa rivalry, granting boons to both sides on the basis of devotion rather than category, and other Rakshasas and Asuras besides Ravana are well-attested Shiva devotees.</w:t>
      </w:r>
    </w:p>
    <w:p>
      <w:pPr>
        <w:pStyle w:val="Heading"/>
        <w:spacing w:before="300" w:after="150"/>
        <w:rPr>
          <w:rFonts w:ascii="Verdana" w:cs="Verdana" w:hAnsi="Verdana" w:eastAsia="Verdana"/>
        </w:rPr>
      </w:pPr>
      <w:r>
        <w:rPr>
          <w:rFonts w:ascii="Verdana" w:hAnsi="Verdana"/>
          <w:b w:val="0"/>
          <w:bCs w:val="0"/>
          <w:rtl w:val="0"/>
          <w:lang w:val="en-US"/>
        </w:rPr>
        <w:t xml:space="preserve">A distinct, well-documented tradition within Tamil Shaiva scholarship identifies Ravana as a learned Dravidian king </w:t>
      </w:r>
      <w:r>
        <w:rPr>
          <w:rFonts w:ascii="Verdana" w:hAnsi="Verdana" w:hint="default"/>
          <w:b w:val="0"/>
          <w:bCs w:val="0"/>
          <w:rtl w:val="0"/>
          <w:lang w:val="en-US"/>
        </w:rPr>
        <w:t xml:space="preserve">— </w:t>
      </w:r>
      <w:r>
        <w:rPr>
          <w:rFonts w:ascii="Verdana" w:hAnsi="Verdana"/>
          <w:b w:val="0"/>
          <w:bCs w:val="0"/>
          <w:rtl w:val="0"/>
          <w:lang w:val="en-US"/>
        </w:rPr>
        <w:t>a devotee of Shiva, master of the veena, and scholar of the Vedas and Shastras. This reading traces to nineteenth-century Saiva Siddhanta scholarship, was formalized in M.S. Purnalingam Pillai's 1928 Ravana the Great: King of Lanka, and was taken up politically by the Dravidian movement under E.V. Ramasamy (Periyar). It is real and citable, but its earliest documented form is nineteenth-century CE and should not be cited as an ancient attestation.</w:t>
      </w:r>
    </w:p>
    <w:p>
      <w:pPr>
        <w:pStyle w:val="Heading"/>
        <w:spacing w:before="300" w:after="150"/>
        <w:rPr>
          <w:rFonts w:ascii="Verdana" w:cs="Verdana" w:hAnsi="Verdana" w:eastAsia="Verdana"/>
        </w:rPr>
      </w:pPr>
      <w:r>
        <w:rPr>
          <w:rFonts w:ascii="Verdana" w:hAnsi="Verdana"/>
          <w:b w:val="0"/>
          <w:bCs w:val="0"/>
          <w:rtl w:val="0"/>
          <w:lang w:val="en-US"/>
        </w:rPr>
        <w:t xml:space="preserve">Yakshas are best read as a real pre-Buddhist population category. The Mahavamsa names Yakshas, alongside Nagas, as Sri Lanka's indigenous inhabitants prior to Vijaya's arrival, with Kuveni explicitly identified as a Yaksha queen; a 2019 University of Kelaniya study documents that pre-Buddhist Sri Lanka's religious landscape included Yaksha, Deva, and Naga worship alongside Jain and Shaiva traditions; and an early Brahmi inscription at Tamketiya, Nailgala, containing the word </w:t>
      </w:r>
      <w:r>
        <w:rPr>
          <w:rFonts w:ascii="Verdana" w:hAnsi="Verdana" w:hint="default"/>
          <w:b w:val="0"/>
          <w:bCs w:val="0"/>
          <w:rtl w:val="1"/>
          <w:lang w:val="ar-SA" w:bidi="ar-SA"/>
        </w:rPr>
        <w:t>“</w:t>
      </w:r>
      <w:r>
        <w:rPr>
          <w:rFonts w:ascii="Verdana" w:hAnsi="Verdana"/>
          <w:b w:val="0"/>
          <w:bCs w:val="0"/>
          <w:rtl w:val="0"/>
          <w:lang w:val="es-ES_tradnl"/>
        </w:rPr>
        <w:t>Yagasha,</w:t>
      </w:r>
      <w:r>
        <w:rPr>
          <w:rFonts w:ascii="Verdana" w:hAnsi="Verdana" w:hint="default"/>
          <w:b w:val="0"/>
          <w:bCs w:val="0"/>
          <w:rtl w:val="0"/>
        </w:rPr>
        <w:t xml:space="preserve">” </w:t>
      </w:r>
      <w:r>
        <w:rPr>
          <w:rFonts w:ascii="Verdana" w:hAnsi="Verdana"/>
          <w:b w:val="0"/>
          <w:bCs w:val="0"/>
          <w:rtl w:val="0"/>
          <w:lang w:val="en-US"/>
        </w:rPr>
        <w:t xml:space="preserve">has been read as denoting a real ancient clan. Within the Ramayana text itself, Yakshas are not peripheral: Kubera, king of the Yakshas, is Ravana's own half-brother and the prior ruler of Lanka, driven out by Ravana's forced seizure of the throne and the Pushpaka Vimana </w:t>
      </w:r>
      <w:r>
        <w:rPr>
          <w:rFonts w:ascii="Verdana" w:hAnsi="Verdana" w:hint="default"/>
          <w:b w:val="0"/>
          <w:bCs w:val="0"/>
          <w:rtl w:val="0"/>
          <w:lang w:val="en-US"/>
        </w:rPr>
        <w:t xml:space="preserve">— </w:t>
      </w:r>
      <w:r>
        <w:rPr>
          <w:rFonts w:ascii="Verdana" w:hAnsi="Verdana"/>
          <w:b w:val="0"/>
          <w:bCs w:val="0"/>
          <w:rtl w:val="0"/>
          <w:lang w:val="en-US"/>
        </w:rPr>
        <w:t xml:space="preserve">a violent usurpation that mirrors, in inverted form, the peaceful succession dispute between Rama and Bharata later in the same epic. That succession-dispute core survives even in the Dasaratha Jataka, the oldest attested version of the Rama story, which contains no Ravana, no abduction, and no war </w:t>
      </w:r>
      <w:r>
        <w:rPr>
          <w:rFonts w:ascii="Verdana" w:hAnsi="Verdana" w:hint="default"/>
          <w:b w:val="0"/>
          <w:bCs w:val="0"/>
          <w:rtl w:val="0"/>
          <w:lang w:val="en-US"/>
        </w:rPr>
        <w:t xml:space="preserve">— </w:t>
      </w:r>
      <w:r>
        <w:rPr>
          <w:rFonts w:ascii="Verdana" w:hAnsi="Verdana"/>
          <w:b w:val="0"/>
          <w:bCs w:val="0"/>
          <w:rtl w:val="0"/>
          <w:lang w:val="en-US"/>
        </w:rPr>
        <w:t xml:space="preserve">only the exile and Bharata's refusal of the throne </w:t>
      </w:r>
      <w:r>
        <w:rPr>
          <w:rFonts w:ascii="Verdana" w:hAnsi="Verdana" w:hint="default"/>
          <w:b w:val="0"/>
          <w:bCs w:val="0"/>
          <w:rtl w:val="0"/>
          <w:lang w:val="en-US"/>
        </w:rPr>
        <w:t xml:space="preserve">— </w:t>
      </w:r>
      <w:r>
        <w:rPr>
          <w:rFonts w:ascii="Verdana" w:hAnsi="Verdana"/>
          <w:b w:val="0"/>
          <w:bCs w:val="0"/>
          <w:rtl w:val="0"/>
          <w:lang w:val="en-US"/>
        </w:rPr>
        <w:t>suggesting this element may be the tradition's oldest and most stable layer, though the Jataka itself dates only to the mid-first millennium BCE.</w:t>
      </w:r>
    </w:p>
    <w:p>
      <w:pPr>
        <w:pStyle w:val="Heading"/>
        <w:spacing w:before="300" w:after="150"/>
        <w:rPr>
          <w:rFonts w:ascii="Verdana" w:cs="Verdana" w:hAnsi="Verdana" w:eastAsia="Verdana"/>
        </w:rPr>
      </w:pPr>
      <w:r>
        <w:rPr>
          <w:rFonts w:ascii="Verdana" w:hAnsi="Verdana"/>
          <w:rtl w:val="0"/>
          <w:lang w:val="en-US"/>
        </w:rPr>
        <w:t>4. Ravana's Two Children: The Text's Own Case for a Human Scale</w:t>
      </w:r>
    </w:p>
    <w:p>
      <w:pPr>
        <w:pStyle w:val="Heading"/>
        <w:spacing w:before="300" w:after="150"/>
        <w:rPr>
          <w:rFonts w:ascii="Verdana" w:cs="Verdana" w:hAnsi="Verdana" w:eastAsia="Verdana"/>
        </w:rPr>
      </w:pPr>
      <w:r>
        <w:rPr>
          <w:rFonts w:ascii="Verdana" w:hAnsi="Verdana"/>
          <w:b w:val="0"/>
          <w:bCs w:val="0"/>
          <w:rtl w:val="0"/>
          <w:lang w:val="en-US"/>
        </w:rPr>
        <w:t>Two independent traditions concerning Ravana's own children offer a further, internal argument for reading this epic's figures as human beings living ordinary human lifespans, consistent with this paper's central correction rather than separate from it.</w:t>
      </w:r>
    </w:p>
    <w:p>
      <w:pPr>
        <w:pStyle w:val="Heading"/>
        <w:spacing w:before="300" w:after="150"/>
        <w:rPr>
          <w:rFonts w:ascii="Verdana" w:cs="Verdana" w:hAnsi="Verdana" w:eastAsia="Verdana"/>
        </w:rPr>
      </w:pPr>
      <w:r>
        <w:rPr>
          <w:rFonts w:ascii="Verdana" w:hAnsi="Verdana"/>
          <w:b w:val="0"/>
          <w:bCs w:val="0"/>
          <w:rtl w:val="0"/>
          <w:lang w:val="en-US"/>
        </w:rPr>
        <w:t xml:space="preserve">Three independent, datable traditions </w:t>
      </w:r>
      <w:r>
        <w:rPr>
          <w:rFonts w:ascii="Verdana" w:hAnsi="Verdana" w:hint="default"/>
          <w:b w:val="0"/>
          <w:bCs w:val="0"/>
          <w:rtl w:val="0"/>
          <w:lang w:val="en-US"/>
        </w:rPr>
        <w:t xml:space="preserve">— </w:t>
      </w:r>
      <w:r>
        <w:rPr>
          <w:rFonts w:ascii="Verdana" w:hAnsi="Verdana"/>
          <w:b w:val="0"/>
          <w:bCs w:val="0"/>
          <w:rtl w:val="0"/>
        </w:rPr>
        <w:t xml:space="preserve">Sanghadasa's Jain Ramayana, Gunabhadra's ninth-century Uttara Purana, and the Adbhuta Ramayana </w:t>
      </w:r>
      <w:r>
        <w:rPr>
          <w:rFonts w:ascii="Verdana" w:hAnsi="Verdana" w:hint="default"/>
          <w:b w:val="0"/>
          <w:bCs w:val="0"/>
          <w:rtl w:val="0"/>
          <w:lang w:val="en-US"/>
        </w:rPr>
        <w:t xml:space="preserve">— </w:t>
      </w:r>
      <w:r>
        <w:rPr>
          <w:rFonts w:ascii="Verdana" w:hAnsi="Verdana"/>
          <w:b w:val="0"/>
          <w:bCs w:val="0"/>
          <w:rtl w:val="0"/>
          <w:lang w:val="en-US"/>
        </w:rPr>
        <w:t xml:space="preserve">hold that Sita was born the biological daughter of Ravana and Mandodari, and that astrologers, on the occasion of her birth, foretold she would one day cause her father's destruction. Fearing this outcome, Ravana had the infant concealed in the earth at Mithila, where she was found and raised by King Janaka </w:t>
      </w:r>
      <w:r>
        <w:rPr>
          <w:rFonts w:ascii="Verdana" w:hAnsi="Verdana" w:hint="default"/>
          <w:b w:val="0"/>
          <w:bCs w:val="0"/>
          <w:rtl w:val="0"/>
          <w:lang w:val="en-US"/>
        </w:rPr>
        <w:t xml:space="preserve">— </w:t>
      </w:r>
      <w:r>
        <w:rPr>
          <w:rFonts w:ascii="Verdana" w:hAnsi="Verdana"/>
          <w:b w:val="0"/>
          <w:bCs w:val="0"/>
          <w:rtl w:val="0"/>
          <w:lang w:val="en-US"/>
        </w:rPr>
        <w:t>the same discovery narrative given for Sita's origin in mainstream Valmiki tradition, in which she is found in a furrow and named accordingly. An unwritten oral tradition from Lahaul and Spiti, in the Himalayas, tells the same core story independently of any of the written sources. A separate tradition holds that Ravana, as an astrologer, attempted at his son Indrajit's birth to place all nine planets in the eleventh house of the child's chart to secure his invincibility in battle, an attempt said to have been incompletely defeated when Saturn placed one foot in the twelfth house.</w:t>
      </w:r>
    </w:p>
    <w:p>
      <w:pPr>
        <w:pStyle w:val="Heading"/>
        <w:spacing w:before="300" w:after="150"/>
        <w:rPr>
          <w:rFonts w:ascii="Verdana" w:cs="Verdana" w:hAnsi="Verdana" w:eastAsia="Verdana"/>
        </w:rPr>
      </w:pPr>
      <w:r>
        <w:rPr>
          <w:rFonts w:ascii="Verdana" w:hAnsi="Verdana"/>
          <w:b w:val="0"/>
          <w:bCs w:val="0"/>
          <w:rtl w:val="0"/>
          <w:lang w:val="en-US"/>
        </w:rPr>
        <w:t xml:space="preserve">Read together </w:t>
      </w:r>
      <w:r>
        <w:rPr>
          <w:rFonts w:ascii="Verdana" w:hAnsi="Verdana" w:hint="default"/>
          <w:b w:val="0"/>
          <w:bCs w:val="0"/>
          <w:rtl w:val="0"/>
          <w:lang w:val="en-US"/>
        </w:rPr>
        <w:t xml:space="preserve">— </w:t>
      </w:r>
      <w:r>
        <w:rPr>
          <w:rFonts w:ascii="Verdana" w:hAnsi="Verdana"/>
          <w:b w:val="0"/>
          <w:bCs w:val="0"/>
          <w:rtl w:val="0"/>
          <w:lang w:val="en-US"/>
        </w:rPr>
        <w:t xml:space="preserve">and this reading is original to this paper, not attested as a deliberate pairing in any source </w:t>
      </w:r>
      <w:r>
        <w:rPr>
          <w:rFonts w:ascii="Verdana" w:hAnsi="Verdana" w:hint="default"/>
          <w:b w:val="0"/>
          <w:bCs w:val="0"/>
          <w:rtl w:val="0"/>
          <w:lang w:val="en-US"/>
        </w:rPr>
        <w:t xml:space="preserve">— </w:t>
      </w:r>
      <w:r>
        <w:rPr>
          <w:rFonts w:ascii="Verdana" w:hAnsi="Verdana"/>
          <w:b w:val="0"/>
          <w:bCs w:val="0"/>
          <w:rtl w:val="0"/>
          <w:lang w:val="en-US"/>
        </w:rPr>
        <w:t xml:space="preserve">these two traditions describe a single father attempting, by two different means, to shape the fates of his two children within the span of their own lifetimes: astrological engineering toward victory in one case, concealment against a foretold destruction in the other. Both prophecies are, within the tradition, understood to have been fulfilled in some measure: Indrajit becomes a formidable warrior, though not fully invincible; Sita's presence in Rama's household ultimately does lead to Ravana's death. What this pairing illustrates is not a claim about historical fact, and it is not offered as a judgment on the tradition's accuracy. It illustrates that the epic, in its own internal logic, treats Ravana, his children, and by extension Rama and Sita, as people operating within one human lifetime </w:t>
      </w:r>
      <w:r>
        <w:rPr>
          <w:rFonts w:ascii="Verdana" w:hAnsi="Verdana" w:hint="default"/>
          <w:b w:val="0"/>
          <w:bCs w:val="0"/>
          <w:rtl w:val="0"/>
          <w:lang w:val="en-US"/>
        </w:rPr>
        <w:t xml:space="preserve">— </w:t>
      </w:r>
      <w:r>
        <w:rPr>
          <w:rFonts w:ascii="Verdana" w:hAnsi="Verdana"/>
          <w:b w:val="0"/>
          <w:bCs w:val="0"/>
          <w:rtl w:val="0"/>
          <w:lang w:val="en-US"/>
        </w:rPr>
        <w:t xml:space="preserve">subject to birth, prophecy, aging, and death in the ordinary way </w:t>
      </w:r>
      <w:r>
        <w:rPr>
          <w:rFonts w:ascii="Verdana" w:hAnsi="Verdana" w:hint="default"/>
          <w:b w:val="0"/>
          <w:bCs w:val="0"/>
          <w:rtl w:val="0"/>
          <w:lang w:val="en-US"/>
        </w:rPr>
        <w:t xml:space="preserve">— </w:t>
      </w:r>
      <w:r>
        <w:rPr>
          <w:rFonts w:ascii="Verdana" w:hAnsi="Verdana"/>
          <w:b w:val="0"/>
          <w:bCs w:val="0"/>
          <w:rtl w:val="0"/>
          <w:lang w:val="en-US"/>
        </w:rPr>
        <w:t xml:space="preserve">rather than as beings whose careers span the hundreds of thousands of years the conventional </w:t>
      </w:r>
      <w:r>
        <w:rPr>
          <w:rFonts w:ascii="Verdana" w:hAnsi="Verdana" w:hint="default"/>
          <w:b w:val="0"/>
          <w:bCs w:val="0"/>
          <w:rtl w:val="0"/>
        </w:rPr>
        <w:t>×</w:t>
      </w:r>
      <w:r>
        <w:rPr>
          <w:rFonts w:ascii="Verdana" w:hAnsi="Verdana"/>
          <w:b w:val="0"/>
          <w:bCs w:val="0"/>
          <w:rtl w:val="0"/>
          <w:lang w:val="en-US"/>
        </w:rPr>
        <w:t xml:space="preserve">360 chronology would otherwise require. What later written traditions preserve may be narrative rather than a complete record of what occurred </w:t>
      </w:r>
      <w:r>
        <w:rPr>
          <w:rFonts w:ascii="Verdana" w:hAnsi="Verdana" w:hint="default"/>
          <w:b w:val="0"/>
          <w:bCs w:val="0"/>
          <w:rtl w:val="0"/>
          <w:lang w:val="en-US"/>
        </w:rPr>
        <w:t xml:space="preserve">— </w:t>
      </w:r>
      <w:r>
        <w:rPr>
          <w:rFonts w:ascii="Verdana" w:hAnsi="Verdana"/>
          <w:b w:val="0"/>
          <w:bCs w:val="0"/>
          <w:rtl w:val="0"/>
          <w:lang w:val="en-US"/>
        </w:rPr>
        <w:t>a point this paper does not treat as a criticism of those traditions, but as the ordinary condition of any old story transmitted before writing existed to fix it. Rama himself is described throughout the text as fully human; this internal consistency supports reading his contemporaries the same way.</w:t>
      </w:r>
    </w:p>
    <w:p>
      <w:pPr>
        <w:pStyle w:val="Heading"/>
        <w:spacing w:before="300" w:after="150"/>
        <w:rPr>
          <w:rFonts w:ascii="Verdana" w:cs="Verdana" w:hAnsi="Verdana" w:eastAsia="Verdana"/>
        </w:rPr>
      </w:pPr>
      <w:r>
        <w:rPr>
          <w:rFonts w:ascii="Verdana" w:hAnsi="Verdana"/>
          <w:rtl w:val="0"/>
          <w:lang w:val="en-US"/>
        </w:rPr>
        <w:t>5. Summary Table</w:t>
      </w:r>
    </w:p>
    <w:tbl>
      <w:tblPr>
        <w:tblW w:w="90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551"/>
        <w:gridCol w:w="4449"/>
      </w:tblGrid>
      <w:tr>
        <w:tblPrEx>
          <w:shd w:val="clear" w:color="auto" w:fill="ced7e7"/>
        </w:tblPrEx>
        <w:trPr>
          <w:trHeight w:val="222"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0"/>
                <w:szCs w:val="20"/>
                <w:u w:color="000000"/>
                <w:shd w:val="nil" w:color="auto" w:fill="auto"/>
                <w:rtl w:val="0"/>
                <w:lang w:val="en-US"/>
              </w:rPr>
              <w:t>Claim</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b w:val="1"/>
                <w:bCs w:val="1"/>
                <w:sz w:val="20"/>
                <w:szCs w:val="20"/>
                <w:u w:color="000000"/>
                <w:shd w:val="nil" w:color="auto" w:fill="auto"/>
                <w:rtl w:val="0"/>
                <w:lang w:val="nl-NL"/>
              </w:rPr>
              <w:t>Status</w:t>
            </w:r>
          </w:p>
        </w:tc>
      </w:tr>
      <w:tr>
        <w:tblPrEx>
          <w:shd w:val="clear" w:color="auto" w:fill="ced7e7"/>
        </w:tblPrEx>
        <w:trPr>
          <w:trHeight w:val="746"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Diurnal correction: corrected Kali Yuga = 1,182.75 years</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 xml:space="preserve">Original hypothesis, retains </w:t>
            </w:r>
            <w:r>
              <w:rPr>
                <w:rFonts w:ascii="Times New Roman" w:hAnsi="Times New Roman" w:hint="default"/>
                <w:sz w:val="20"/>
                <w:szCs w:val="20"/>
                <w:u w:color="000000"/>
                <w:shd w:val="nil" w:color="auto" w:fill="auto"/>
                <w:rtl w:val="0"/>
              </w:rPr>
              <w:t>×</w:t>
            </w:r>
            <w:r>
              <w:rPr>
                <w:rFonts w:ascii="Times New Roman" w:hAnsi="Times New Roman"/>
                <w:sz w:val="20"/>
                <w:szCs w:val="20"/>
                <w:u w:color="000000"/>
                <w:shd w:val="nil" w:color="auto" w:fill="auto"/>
                <w:rtl w:val="0"/>
                <w:lang w:val="en-US"/>
              </w:rPr>
              <w:t>360 as correct; no textual attestation for the day-count reinterpretation itself</w:t>
            </w:r>
          </w:p>
        </w:tc>
      </w:tr>
      <w:tr>
        <w:tblPrEx>
          <w:shd w:val="clear" w:color="auto" w:fill="ced7e7"/>
        </w:tblPrEx>
        <w:trPr>
          <w:trHeight w:val="1008"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Younger Dryas anchor places present era in Kali Yuga</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Only tested anchor satisfying the tradition's present-age claim; corrected Kali Yuga (1,182.75 yrs) sits just below the published 1,200</w:t>
            </w:r>
            <w:r>
              <w:rPr>
                <w:rFonts w:ascii="Times New Roman" w:hAnsi="Times New Roman" w:hint="default"/>
                <w:sz w:val="20"/>
                <w:szCs w:val="20"/>
                <w:u w:color="000000"/>
                <w:shd w:val="nil" w:color="auto" w:fill="auto"/>
                <w:rtl w:val="0"/>
              </w:rPr>
              <w:t>–</w:t>
            </w:r>
            <w:r>
              <w:rPr>
                <w:rFonts w:ascii="Times New Roman" w:hAnsi="Times New Roman"/>
                <w:sz w:val="20"/>
                <w:szCs w:val="20"/>
                <w:u w:color="000000"/>
                <w:shd w:val="nil" w:color="auto" w:fill="auto"/>
                <w:rtl w:val="0"/>
                <w:lang w:val="en-US"/>
              </w:rPr>
              <w:t>1,300 yr duration range, not centrally within it</w:t>
            </w:r>
          </w:p>
        </w:tc>
      </w:tr>
      <w:tr>
        <w:tblPrEx>
          <w:shd w:val="clear" w:color="auto" w:fill="ced7e7"/>
        </w:tblPrEx>
        <w:trPr>
          <w:trHeight w:val="746"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Bhatnagar (5114 BCE) and land bridge (~5000 BCE) both within 150 years of predicted 4,969 BCE boundary</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Statistically improbable by chance under stated null model (~0.06%); independence of methods assumed, not proven</w:t>
            </w:r>
          </w:p>
        </w:tc>
      </w:tr>
      <w:tr>
        <w:tblPrEx>
          <w:shd w:val="clear" w:color="auto" w:fill="ced7e7"/>
        </w:tblPrEx>
        <w:trPr>
          <w:trHeight w:val="746"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Fit holds under alternative start-anchored configuration (boundary 4,986.25 BCE)</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Both gaps shrink (127.75 and 13.75 yrs); reported as a robustness check, not a replacement for the primary configuration</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Oak (12,209 BCE) proximity to model boundaries</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Genuine discrepancy (1,039 years); not included in convergence claim</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de-DE"/>
              </w:rPr>
              <w:t>Mehrgarh and Ubaid 1/Eridu societies, 5000</w:t>
            </w:r>
            <w:r>
              <w:rPr>
                <w:rFonts w:ascii="Times New Roman" w:hAnsi="Times New Roman" w:hint="default"/>
                <w:sz w:val="20"/>
                <w:szCs w:val="20"/>
                <w:u w:color="000000"/>
                <w:shd w:val="nil" w:color="auto" w:fill="auto"/>
                <w:rtl w:val="0"/>
              </w:rPr>
              <w:t>–</w:t>
            </w:r>
            <w:r>
              <w:rPr>
                <w:rFonts w:ascii="Times New Roman" w:hAnsi="Times New Roman"/>
                <w:sz w:val="20"/>
                <w:szCs w:val="20"/>
                <w:u w:color="000000"/>
                <w:shd w:val="nil" w:color="auto" w:fill="auto"/>
                <w:rtl w:val="0"/>
                <w:lang w:val="fr-FR"/>
              </w:rPr>
              <w:t>5500 BCE</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Established by archaeology</w:t>
            </w:r>
          </w:p>
        </w:tc>
      </w:tr>
      <w:tr>
        <w:tblPrEx>
          <w:shd w:val="clear" w:color="auto" w:fill="ced7e7"/>
        </w:tblPrEx>
        <w:trPr>
          <w:trHeight w:val="222"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Egypt's Badarian culture within this window</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Likely postdates the window; not established</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pt-PT"/>
              </w:rPr>
              <w:t>Ravana as Rakshasa, sage-descended, Shiva devotee</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Established by the Ramayana's own text and Puranic genealogy</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Ravana as historical Tamil/Dravidian king</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Real, documented, but 19th</w:t>
            </w:r>
            <w:r>
              <w:rPr>
                <w:rFonts w:ascii="Times New Roman" w:hAnsi="Times New Roman" w:hint="default"/>
                <w:sz w:val="20"/>
                <w:szCs w:val="20"/>
                <w:u w:color="000000"/>
                <w:shd w:val="nil" w:color="auto" w:fill="auto"/>
                <w:rtl w:val="0"/>
              </w:rPr>
              <w:t>–</w:t>
            </w:r>
            <w:r>
              <w:rPr>
                <w:rFonts w:ascii="Times New Roman" w:hAnsi="Times New Roman"/>
                <w:sz w:val="20"/>
                <w:szCs w:val="20"/>
                <w:u w:color="000000"/>
                <w:shd w:val="nil" w:color="auto" w:fill="auto"/>
                <w:rtl w:val="0"/>
                <w:lang w:val="en-US"/>
              </w:rPr>
              <w:t>20th century interpretive tradition</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Yakshas as real pre-Buddhist Sri Lankan population</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Supported by the Mahavamsa, epigraphy, and scholarship</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Sita as Ravana's daughter</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Established in three independent old traditions plus one oral tradition</w:t>
            </w:r>
          </w:p>
        </w:tc>
      </w:tr>
      <w:tr>
        <w:tblPrEx>
          <w:shd w:val="clear" w:color="auto" w:fill="ced7e7"/>
        </w:tblPrEx>
        <w:trPr>
          <w:trHeight w:val="222"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Indrajit's birth-chart prophecy</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Established in separate popular/astrological tradition</w:t>
            </w:r>
          </w:p>
        </w:tc>
      </w:tr>
      <w:tr>
        <w:tblPrEx>
          <w:shd w:val="clear" w:color="auto" w:fill="ced7e7"/>
        </w:tblPrEx>
        <w:trPr>
          <w:trHeight w:val="484" w:hRule="atLeast"/>
        </w:trPr>
        <w:tc>
          <w:tcPr>
            <w:tcW w:type="dxa" w:w="45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The two prophecies as a single human-scale illustration</w:t>
            </w:r>
          </w:p>
        </w:tc>
        <w:tc>
          <w:tcPr>
            <w:tcW w:type="dxa" w:w="44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Default"/>
              <w:tabs>
                <w:tab w:val="left" w:pos="720"/>
                <w:tab w:val="left" w:pos="1440"/>
                <w:tab w:val="left" w:pos="2160"/>
                <w:tab w:val="left" w:pos="2880"/>
                <w:tab w:val="left" w:pos="3600"/>
                <w:tab w:val="left" w:pos="4320"/>
              </w:tabs>
              <w:bidi w:val="0"/>
              <w:ind w:left="0" w:right="0" w:firstLine="0"/>
              <w:jc w:val="center"/>
              <w:rPr>
                <w:rtl w:val="0"/>
              </w:rPr>
            </w:pPr>
            <w:r>
              <w:rPr>
                <w:rFonts w:ascii="Times New Roman" w:hAnsi="Times New Roman"/>
                <w:sz w:val="20"/>
                <w:szCs w:val="20"/>
                <w:u w:color="000000"/>
                <w:shd w:val="nil" w:color="auto" w:fill="auto"/>
                <w:rtl w:val="0"/>
                <w:lang w:val="en-US"/>
              </w:rPr>
              <w:t>Original synthesis; explicitly not a claim about historical fact</w:t>
            </w:r>
          </w:p>
        </w:tc>
      </w:tr>
    </w:tbl>
    <w:p>
      <w:pPr>
        <w:pStyle w:val="Heading"/>
        <w:widowControl w:val="0"/>
        <w:spacing w:before="300" w:after="150"/>
        <w:rPr>
          <w:rFonts w:ascii="Verdana" w:cs="Verdana" w:hAnsi="Verdana" w:eastAsia="Verdana"/>
        </w:rPr>
      </w:pPr>
    </w:p>
    <w:p>
      <w:pPr>
        <w:pStyle w:val="Heading"/>
        <w:spacing w:before="300" w:after="150"/>
        <w:rPr>
          <w:rFonts w:ascii="Verdana" w:cs="Verdana" w:hAnsi="Verdana" w:eastAsia="Verdana"/>
        </w:rPr>
      </w:pPr>
      <w:r>
        <w:rPr>
          <w:rFonts w:ascii="Verdana" w:hAnsi="Verdana"/>
          <w:rtl w:val="0"/>
          <w:lang w:val="en-US"/>
        </w:rPr>
        <w:t>6. Limitations and Falsifiability</w:t>
      </w:r>
    </w:p>
    <w:p>
      <w:pPr>
        <w:pStyle w:val="Heading"/>
        <w:spacing w:before="300" w:after="150"/>
        <w:rPr>
          <w:rFonts w:ascii="Verdana" w:cs="Verdana" w:hAnsi="Verdana" w:eastAsia="Verdana"/>
        </w:rPr>
      </w:pPr>
      <w:r>
        <w:rPr>
          <w:rFonts w:ascii="Verdana" w:hAnsi="Verdana"/>
          <w:b w:val="0"/>
          <w:bCs w:val="0"/>
          <w:rtl w:val="0"/>
          <w:lang w:val="en-US"/>
        </w:rPr>
        <w:t>The diurnal reinterpretation (Section 1) has no textual attestation; it is original to this author and remains a tested hypothesis, not a proof.</w:t>
      </w:r>
    </w:p>
    <w:p>
      <w:pPr>
        <w:pStyle w:val="Heading"/>
        <w:spacing w:before="300" w:after="150"/>
        <w:rPr>
          <w:rFonts w:ascii="Verdana" w:cs="Verdana" w:hAnsi="Verdana" w:eastAsia="Verdana"/>
        </w:rPr>
      </w:pPr>
      <w:r>
        <w:rPr>
          <w:rFonts w:ascii="Verdana" w:hAnsi="Verdana"/>
          <w:b w:val="0"/>
          <w:bCs w:val="0"/>
          <w:rtl w:val="0"/>
          <w:lang w:val="en-US"/>
        </w:rPr>
        <w:t>The Younger Dryas anchor required two interpretive choices made with the target outcome in view; this is disclosed, not eliminated. The corrected Kali Yuga's duration (1,182.75 years) falls just below the published 1,200</w:t>
      </w:r>
      <w:r>
        <w:rPr>
          <w:rFonts w:ascii="Verdana" w:hAnsi="Verdana" w:hint="default"/>
          <w:b w:val="0"/>
          <w:bCs w:val="0"/>
          <w:rtl w:val="0"/>
        </w:rPr>
        <w:t>–</w:t>
      </w:r>
      <w:r>
        <w:rPr>
          <w:rFonts w:ascii="Verdana" w:hAnsi="Verdana"/>
          <w:b w:val="0"/>
          <w:bCs w:val="0"/>
          <w:rtl w:val="0"/>
          <w:lang w:val="en-US"/>
        </w:rPr>
        <w:t>1,300 year range for the Younger Dryas interval's length, rather than comfortably inside it, and this paper reports that precisely rather than treating the match as tighter than it is.</w:t>
      </w:r>
    </w:p>
    <w:p>
      <w:pPr>
        <w:pStyle w:val="Heading"/>
        <w:spacing w:before="300" w:after="150"/>
        <w:rPr>
          <w:rFonts w:ascii="Verdana" w:cs="Verdana" w:hAnsi="Verdana" w:eastAsia="Verdana"/>
        </w:rPr>
      </w:pPr>
      <w:r>
        <w:rPr>
          <w:rFonts w:ascii="Verdana" w:hAnsi="Verdana"/>
          <w:b w:val="0"/>
          <w:bCs w:val="0"/>
          <w:rtl w:val="0"/>
          <w:lang w:val="en-US"/>
        </w:rPr>
        <w:t>The convergence calculation in Section 1.2 depends on an independence assumption between the two methods compared, which is plausible but not independently verified, and on treating the predicted boundary as fixed rather than fitted, which this paper holds to be accurate but which a skeptical reader should check against Section 1.1's own derivation.</w:t>
      </w:r>
    </w:p>
    <w:p>
      <w:pPr>
        <w:pStyle w:val="Heading"/>
        <w:spacing w:before="300" w:after="150"/>
        <w:rPr>
          <w:rFonts w:ascii="Verdana" w:cs="Verdana" w:hAnsi="Verdana" w:eastAsia="Verdana"/>
        </w:rPr>
      </w:pPr>
      <w:r>
        <w:rPr>
          <w:rFonts w:ascii="Verdana" w:hAnsi="Verdana"/>
          <w:b w:val="0"/>
          <w:bCs w:val="0"/>
          <w:rtl w:val="0"/>
          <w:lang w:val="en-US"/>
        </w:rPr>
        <w:t>All textual material in Sections 3 and 4 postdates the 5000</w:t>
      </w:r>
      <w:r>
        <w:rPr>
          <w:rFonts w:ascii="Verdana" w:hAnsi="Verdana" w:hint="default"/>
          <w:b w:val="0"/>
          <w:bCs w:val="0"/>
          <w:rtl w:val="0"/>
        </w:rPr>
        <w:t>–</w:t>
      </w:r>
      <w:r>
        <w:rPr>
          <w:rFonts w:ascii="Verdana" w:hAnsi="Verdana"/>
          <w:b w:val="0"/>
          <w:bCs w:val="0"/>
          <w:rtl w:val="0"/>
          <w:lang w:val="en-US"/>
        </w:rPr>
        <w:t>5500 BCE window by at least two and a half millennia; it describes later tradition, not the window itself.</w:t>
      </w:r>
    </w:p>
    <w:p>
      <w:pPr>
        <w:pStyle w:val="Heading"/>
        <w:spacing w:before="300" w:after="150"/>
        <w:rPr>
          <w:rFonts w:ascii="Verdana" w:cs="Verdana" w:hAnsi="Verdana" w:eastAsia="Verdana"/>
        </w:rPr>
      </w:pPr>
      <w:r>
        <w:rPr>
          <w:rFonts w:ascii="Verdana" w:hAnsi="Verdana"/>
          <w:b w:val="0"/>
          <w:bCs w:val="0"/>
          <w:rtl w:val="0"/>
          <w:lang w:val="en-US"/>
        </w:rPr>
        <w:t>The human-scale reading in Section 4 is an interpretive illustration, not independent evidence for the chronological correction in Section 1; the two are mutually consistent but the latter does not prove the former.</w:t>
      </w:r>
    </w:p>
    <w:p>
      <w:pPr>
        <w:pStyle w:val="Heading"/>
        <w:spacing w:before="300" w:after="150"/>
        <w:rPr>
          <w:rFonts w:ascii="Verdana" w:cs="Verdana" w:hAnsi="Verdana" w:eastAsia="Verdana"/>
        </w:rPr>
      </w:pPr>
      <w:r>
        <w:rPr>
          <w:rFonts w:ascii="Verdana" w:hAnsi="Verdana"/>
          <w:b w:val="0"/>
          <w:bCs w:val="0"/>
          <w:rtl w:val="0"/>
          <w:lang w:val="en-US"/>
        </w:rPr>
        <w:t xml:space="preserve">Section 1.3's alternative anchoring configuration is a robustness check, not independent confirmation; both configurations rely on the same underlying </w:t>
      </w:r>
      <w:r>
        <w:rPr>
          <w:rFonts w:ascii="Verdana" w:hAnsi="Verdana" w:hint="default"/>
          <w:b w:val="0"/>
          <w:bCs w:val="0"/>
          <w:rtl w:val="0"/>
        </w:rPr>
        <w:t>÷</w:t>
      </w:r>
      <w:r>
        <w:rPr>
          <w:rFonts w:ascii="Verdana" w:hAnsi="Verdana"/>
          <w:b w:val="0"/>
          <w:bCs w:val="0"/>
          <w:rtl w:val="0"/>
          <w:lang w:val="en-US"/>
        </w:rPr>
        <w:t>365.25 reinterpretation and the same choice to anchor to the Younger Dryas rather than another climate event, so neither configuration tests that more fundamental choice.</w:t>
      </w:r>
    </w:p>
    <w:p>
      <w:pPr>
        <w:pStyle w:val="Heading"/>
        <w:spacing w:before="300" w:after="150"/>
        <w:rPr>
          <w:rFonts w:ascii="Verdana" w:cs="Verdana" w:hAnsi="Verdana" w:eastAsia="Verdana"/>
        </w:rPr>
      </w:pPr>
      <w:r>
        <w:rPr>
          <w:rFonts w:ascii="Verdana" w:hAnsi="Verdana"/>
          <w:b w:val="0"/>
          <w:bCs w:val="0"/>
          <w:rtl w:val="0"/>
          <w:lang w:val="en-US"/>
        </w:rPr>
        <w:t>This model has not been tested against additional independent chronological anchors; such tests are a necessary next step before any stronger claim is warranted.</w:t>
      </w:r>
    </w:p>
    <w:p>
      <w:pPr>
        <w:pStyle w:val="Heading"/>
        <w:spacing w:before="300" w:after="150"/>
        <w:rPr>
          <w:rFonts w:ascii="Verdana" w:cs="Verdana" w:hAnsi="Verdana" w:eastAsia="Verdana"/>
        </w:rPr>
      </w:pPr>
      <w:r>
        <w:rPr>
          <w:rFonts w:ascii="Verdana" w:hAnsi="Verdana"/>
          <w:rtl w:val="0"/>
          <w:lang w:val="en-US"/>
        </w:rPr>
        <w:t>Contribution to the UN Sustainable Development Goals</w:t>
      </w:r>
    </w:p>
    <w:p>
      <w:pPr>
        <w:pStyle w:val="Heading"/>
        <w:spacing w:before="300" w:after="150"/>
        <w:rPr>
          <w:rFonts w:ascii="Verdana" w:cs="Verdana" w:hAnsi="Verdana" w:eastAsia="Verdana"/>
        </w:rPr>
      </w:pPr>
      <w:r>
        <w:rPr>
          <w:rFonts w:ascii="Verdana" w:hAnsi="Verdana"/>
          <w:b w:val="0"/>
          <w:bCs w:val="0"/>
          <w:rtl w:val="0"/>
          <w:lang w:val="en-US"/>
        </w:rPr>
        <w:t>This paper contributes to SDG 4 (Quality Education) by modeling transparent, quantitatively tested, falsifiable methodology in comparative chronology, including explicit statistical treatment of convergence claims and disclosure of unresolved discrepancies. It supports SDG 11 (Sustainable Cities and Communities), Target 11.4, through its engagement with early settlement archaeology at Mehrgarh, Eridu, and in Egypt, and SDG 13 (Climate Action) through its engagement with the Younger Dryas and post-glacial sea-level record as reference points for cultural-memory and chronological research.</w:t>
      </w:r>
    </w:p>
    <w:p>
      <w:pPr>
        <w:pStyle w:val="Heading"/>
        <w:spacing w:before="300" w:after="150"/>
        <w:rPr>
          <w:rFonts w:ascii="Verdana" w:cs="Verdana" w:hAnsi="Verdana" w:eastAsia="Verdana"/>
        </w:rPr>
      </w:pPr>
    </w:p>
    <w:p>
      <w:pPr>
        <w:pStyle w:val="Heading"/>
        <w:spacing w:before="300" w:after="150"/>
        <w:rPr>
          <w:rFonts w:ascii="Verdana" w:cs="Verdana" w:hAnsi="Verdana" w:eastAsia="Verdana"/>
        </w:rPr>
      </w:pPr>
      <w:r>
        <w:rPr>
          <w:rFonts w:ascii="Verdana" w:hAnsi="Verdana"/>
          <w:rtl w:val="0"/>
          <w:lang w:val="en-US"/>
        </w:rPr>
        <w:t>AI Disclosure</w:t>
      </w:r>
    </w:p>
    <w:p>
      <w:pPr>
        <w:pStyle w:val="Heading"/>
        <w:spacing w:before="300" w:after="150"/>
        <w:rPr>
          <w:rFonts w:ascii="Verdana" w:cs="Verdana" w:hAnsi="Verdana" w:eastAsia="Verdana"/>
        </w:rPr>
      </w:pPr>
      <w:r>
        <w:rPr>
          <w:rFonts w:ascii="Verdana" w:hAnsi="Verdana"/>
          <w:b w:val="0"/>
          <w:bCs w:val="0"/>
          <w:rtl w:val="0"/>
          <w:lang w:val="en-US"/>
        </w:rPr>
        <w:t>This paper was developed with the assistance of Claude (Anthropic) for literature synthesis and academic prose refinement. All theoretical positions, interpretive claims, and conclusions are the sole intellectual work of the author.</w:t>
      </w:r>
    </w:p>
    <w:p>
      <w:pPr>
        <w:pStyle w:val="Heading"/>
        <w:spacing w:before="300" w:after="150"/>
        <w:rPr>
          <w:rFonts w:ascii="Verdana" w:cs="Verdana" w:hAnsi="Verdana" w:eastAsia="Verdana"/>
        </w:rPr>
      </w:pPr>
      <w:r>
        <w:rPr>
          <w:rFonts w:ascii="Verdana" w:hAnsi="Verdana"/>
          <w:rtl w:val="0"/>
          <w:lang w:val="fr-FR"/>
        </w:rPr>
        <w:t>References</w:t>
      </w:r>
    </w:p>
    <w:p>
      <w:pPr>
        <w:pStyle w:val="Heading"/>
        <w:numPr>
          <w:ilvl w:val="0"/>
          <w:numId w:val="2"/>
        </w:numPr>
        <w:spacing w:before="300" w:after="150"/>
        <w:rPr>
          <w:rFonts w:ascii="Verdana" w:hAnsi="Verdana"/>
        </w:rPr>
      </w:pPr>
      <w:r>
        <w:rPr>
          <w:rFonts w:ascii="Verdana" w:hAnsi="Verdana"/>
          <w:b w:val="0"/>
          <w:bCs w:val="0"/>
          <w:rtl w:val="0"/>
        </w:rPr>
        <w:t>Manusmriti, 1.67</w:t>
      </w:r>
      <w:r>
        <w:rPr>
          <w:rFonts w:ascii="Verdana" w:hAnsi="Verdana" w:hint="default"/>
          <w:b w:val="0"/>
          <w:bCs w:val="0"/>
          <w:rtl w:val="0"/>
        </w:rPr>
        <w:t>–</w:t>
      </w:r>
      <w:r>
        <w:rPr>
          <w:rFonts w:ascii="Verdana" w:hAnsi="Verdana"/>
          <w:b w:val="0"/>
          <w:bCs w:val="0"/>
          <w:rtl w:val="0"/>
        </w:rPr>
        <w:t>71.</w:t>
      </w:r>
    </w:p>
    <w:p>
      <w:pPr>
        <w:pStyle w:val="Heading"/>
        <w:numPr>
          <w:ilvl w:val="0"/>
          <w:numId w:val="2"/>
        </w:numPr>
        <w:spacing w:before="300" w:after="150"/>
        <w:rPr>
          <w:rFonts w:ascii="Verdana" w:hAnsi="Verdana"/>
          <w:lang w:val="it-IT"/>
        </w:rPr>
      </w:pPr>
      <w:r>
        <w:rPr>
          <w:rFonts w:ascii="Verdana" w:hAnsi="Verdana"/>
          <w:b w:val="0"/>
          <w:bCs w:val="0"/>
          <w:rtl w:val="0"/>
          <w:lang w:val="it-IT"/>
        </w:rPr>
        <w:t>Mahabharata, Shanti Parva, 12.231.</w:t>
      </w:r>
    </w:p>
    <w:p>
      <w:pPr>
        <w:pStyle w:val="Heading"/>
        <w:numPr>
          <w:ilvl w:val="0"/>
          <w:numId w:val="2"/>
        </w:numPr>
        <w:spacing w:before="300" w:after="150"/>
        <w:rPr>
          <w:rFonts w:ascii="Verdana" w:hAnsi="Verdana"/>
        </w:rPr>
      </w:pPr>
      <w:r>
        <w:rPr>
          <w:rFonts w:ascii="Verdana" w:hAnsi="Verdana"/>
          <w:b w:val="0"/>
          <w:bCs w:val="0"/>
          <w:rtl w:val="0"/>
        </w:rPr>
        <w:t>Vishnu Purana, Book I, Chapter 3.</w:t>
      </w:r>
    </w:p>
    <w:p>
      <w:pPr>
        <w:pStyle w:val="Heading"/>
        <w:numPr>
          <w:ilvl w:val="0"/>
          <w:numId w:val="2"/>
        </w:numPr>
        <w:spacing w:before="300" w:after="150"/>
        <w:rPr>
          <w:rFonts w:ascii="Verdana" w:hAnsi="Verdana"/>
        </w:rPr>
      </w:pPr>
      <w:r>
        <w:rPr>
          <w:rFonts w:ascii="Verdana" w:hAnsi="Verdana"/>
          <w:b w:val="0"/>
          <w:bCs w:val="0"/>
          <w:rtl w:val="0"/>
        </w:rPr>
        <w:t>Surya Siddhanta.</w:t>
      </w:r>
    </w:p>
    <w:p>
      <w:pPr>
        <w:pStyle w:val="Heading"/>
        <w:numPr>
          <w:ilvl w:val="0"/>
          <w:numId w:val="2"/>
        </w:numPr>
        <w:spacing w:before="300" w:after="150"/>
        <w:rPr>
          <w:rFonts w:ascii="Verdana" w:hAnsi="Verdana"/>
          <w:lang w:val="de-DE"/>
        </w:rPr>
      </w:pPr>
      <w:r>
        <w:rPr>
          <w:rFonts w:ascii="Verdana" w:hAnsi="Verdana"/>
          <w:b w:val="0"/>
          <w:bCs w:val="0"/>
          <w:rtl w:val="0"/>
          <w:lang w:val="de-DE"/>
        </w:rPr>
        <w:t>Yukteswar, S. (1894). The Holy Science. Yogoda Satsanga Society.</w:t>
      </w:r>
    </w:p>
    <w:p>
      <w:pPr>
        <w:pStyle w:val="Heading"/>
        <w:numPr>
          <w:ilvl w:val="0"/>
          <w:numId w:val="2"/>
        </w:numPr>
        <w:spacing w:before="300" w:after="150"/>
        <w:rPr>
          <w:rFonts w:ascii="Verdana" w:hAnsi="Verdana"/>
          <w:lang w:val="en-US"/>
        </w:rPr>
      </w:pPr>
      <w:r>
        <w:rPr>
          <w:rFonts w:ascii="Verdana" w:hAnsi="Verdana"/>
          <w:b w:val="0"/>
          <w:bCs w:val="0"/>
          <w:rtl w:val="0"/>
          <w:lang w:val="en-US"/>
        </w:rPr>
        <w:t>Bala, S. (n.d.). Concept of Yugas Re-examined. I-SERVE (Institute of Scientific Research on Vedas).</w:t>
      </w:r>
    </w:p>
    <w:p>
      <w:pPr>
        <w:pStyle w:val="Heading"/>
        <w:numPr>
          <w:ilvl w:val="0"/>
          <w:numId w:val="2"/>
        </w:numPr>
        <w:spacing w:before="300" w:after="150"/>
        <w:rPr>
          <w:rFonts w:ascii="Verdana" w:hAnsi="Verdana"/>
          <w:lang w:val="en-US"/>
        </w:rPr>
      </w:pPr>
      <w:r>
        <w:rPr>
          <w:rFonts w:ascii="Verdana" w:hAnsi="Verdana"/>
          <w:b w:val="0"/>
          <w:bCs w:val="0"/>
          <w:rtl w:val="0"/>
          <w:lang w:val="en-US"/>
        </w:rPr>
        <w:t>Bhatnagar, P. (2004). Dating the Era of Lord Ram. Rupa &amp; Co.</w:t>
      </w:r>
    </w:p>
    <w:p>
      <w:pPr>
        <w:pStyle w:val="Heading"/>
        <w:numPr>
          <w:ilvl w:val="0"/>
          <w:numId w:val="2"/>
        </w:numPr>
        <w:spacing w:before="300" w:after="150"/>
        <w:rPr>
          <w:rFonts w:ascii="Verdana" w:hAnsi="Verdana"/>
          <w:lang w:val="en-US"/>
        </w:rPr>
      </w:pPr>
      <w:r>
        <w:rPr>
          <w:rFonts w:ascii="Verdana" w:hAnsi="Verdana"/>
          <w:b w:val="0"/>
          <w:bCs w:val="0"/>
          <w:rtl w:val="0"/>
          <w:lang w:val="en-US"/>
        </w:rPr>
        <w:t>Oak, N.N. (2014). The Historic Rama: Indian Civilization at the End of Pleistocene. Danphe Press.</w:t>
      </w:r>
    </w:p>
    <w:p>
      <w:pPr>
        <w:pStyle w:val="Heading"/>
        <w:numPr>
          <w:ilvl w:val="0"/>
          <w:numId w:val="2"/>
        </w:numPr>
        <w:spacing w:before="300" w:after="150"/>
        <w:rPr>
          <w:rFonts w:ascii="Verdana" w:hAnsi="Verdana"/>
          <w:lang w:val="en-US"/>
        </w:rPr>
      </w:pPr>
      <w:r>
        <w:rPr>
          <w:rFonts w:ascii="Verdana" w:hAnsi="Verdana"/>
          <w:b w:val="0"/>
          <w:bCs w:val="0"/>
          <w:rtl w:val="0"/>
          <w:lang w:val="en-US"/>
        </w:rPr>
        <w:t>Fairbanks, R.G. (1989). A 17,000-year glacio-eustatic sea level record: influence of glacial melting rates on the Younger Dryas event and deep-ocean circulation. Nature, 342, 637</w:t>
      </w:r>
      <w:r>
        <w:rPr>
          <w:rFonts w:ascii="Verdana" w:hAnsi="Verdana" w:hint="default"/>
          <w:b w:val="0"/>
          <w:bCs w:val="0"/>
          <w:rtl w:val="0"/>
        </w:rPr>
        <w:t>–</w:t>
      </w:r>
      <w:r>
        <w:rPr>
          <w:rFonts w:ascii="Verdana" w:hAnsi="Verdana"/>
          <w:b w:val="0"/>
          <w:bCs w:val="0"/>
          <w:rtl w:val="0"/>
        </w:rPr>
        <w:t>642.</w:t>
      </w:r>
    </w:p>
    <w:p>
      <w:pPr>
        <w:pStyle w:val="Heading"/>
        <w:numPr>
          <w:ilvl w:val="0"/>
          <w:numId w:val="2"/>
        </w:numPr>
        <w:spacing w:before="300" w:after="150"/>
        <w:rPr>
          <w:rFonts w:ascii="Verdana" w:hAnsi="Verdana"/>
          <w:lang w:val="en-US"/>
        </w:rPr>
      </w:pPr>
      <w:r>
        <w:rPr>
          <w:rFonts w:ascii="Verdana" w:hAnsi="Verdana"/>
          <w:b w:val="0"/>
          <w:bCs w:val="0"/>
          <w:rtl w:val="0"/>
          <w:lang w:val="en-US"/>
        </w:rPr>
        <w:t>Hanebuth, T., Stattegger, K., &amp; Grootes, P.M. (2000). Rapid flooding of the Sunda Shelf: a late-glacial sea-level record. Science, 288(5468), 1033</w:t>
      </w:r>
      <w:r>
        <w:rPr>
          <w:rFonts w:ascii="Verdana" w:hAnsi="Verdana" w:hint="default"/>
          <w:b w:val="0"/>
          <w:bCs w:val="0"/>
          <w:rtl w:val="0"/>
        </w:rPr>
        <w:t>–</w:t>
      </w:r>
      <w:r>
        <w:rPr>
          <w:rFonts w:ascii="Verdana" w:hAnsi="Verdana"/>
          <w:b w:val="0"/>
          <w:bCs w:val="0"/>
          <w:rtl w:val="0"/>
        </w:rPr>
        <w:t>1035.</w:t>
      </w:r>
    </w:p>
    <w:p>
      <w:pPr>
        <w:pStyle w:val="Heading"/>
        <w:numPr>
          <w:ilvl w:val="0"/>
          <w:numId w:val="2"/>
        </w:numPr>
        <w:spacing w:before="300" w:after="150"/>
        <w:rPr>
          <w:rFonts w:ascii="Verdana" w:hAnsi="Verdana"/>
          <w:lang w:val="en-US"/>
        </w:rPr>
      </w:pPr>
      <w:r>
        <w:rPr>
          <w:rFonts w:ascii="Verdana" w:hAnsi="Verdana"/>
          <w:b w:val="0"/>
          <w:bCs w:val="0"/>
          <w:rtl w:val="0"/>
          <w:lang w:val="en-US"/>
        </w:rPr>
        <w:t>Carlson, A.E. (2013). The Younger Dryas Climate Event. In Encyclopedia of Quaternary Science (2nd ed.), Elsevier.</w:t>
      </w:r>
    </w:p>
    <w:p>
      <w:pPr>
        <w:pStyle w:val="Heading"/>
        <w:numPr>
          <w:ilvl w:val="0"/>
          <w:numId w:val="2"/>
        </w:numPr>
        <w:spacing w:before="300" w:after="150"/>
        <w:rPr>
          <w:rFonts w:ascii="Verdana" w:hAnsi="Verdana"/>
          <w:lang w:val="en-US"/>
        </w:rPr>
      </w:pPr>
      <w:r>
        <w:rPr>
          <w:rFonts w:ascii="Verdana" w:hAnsi="Verdana"/>
          <w:b w:val="0"/>
          <w:bCs w:val="0"/>
          <w:rtl w:val="0"/>
          <w:lang w:val="en-US"/>
        </w:rPr>
        <w:t>Alley, R.B. et al. (2020). Timing and structure of the Younger Dryas event and its underlying climate dynamics. PNAS.</w:t>
      </w:r>
    </w:p>
    <w:p>
      <w:pPr>
        <w:pStyle w:val="Heading"/>
        <w:numPr>
          <w:ilvl w:val="0"/>
          <w:numId w:val="2"/>
        </w:numPr>
        <w:spacing w:before="300" w:after="150"/>
        <w:rPr>
          <w:rFonts w:ascii="Verdana" w:hAnsi="Verdana"/>
          <w:lang w:val="fr-FR"/>
        </w:rPr>
      </w:pPr>
      <w:r>
        <w:rPr>
          <w:rFonts w:ascii="Verdana" w:hAnsi="Verdana"/>
          <w:b w:val="0"/>
          <w:bCs w:val="0"/>
          <w:rtl w:val="0"/>
          <w:lang w:val="fr-FR"/>
        </w:rPr>
        <w:t>Jarrige, J.-F., Jarrige, C., Meadow, R.H., &amp; Quivron, G. (Eds.) (1995</w:t>
      </w:r>
      <w:r>
        <w:rPr>
          <w:rFonts w:ascii="Verdana" w:hAnsi="Verdana" w:hint="default"/>
          <w:b w:val="0"/>
          <w:bCs w:val="0"/>
          <w:rtl w:val="0"/>
        </w:rPr>
        <w:t>–</w:t>
      </w:r>
      <w:r>
        <w:rPr>
          <w:rFonts w:ascii="Verdana" w:hAnsi="Verdana"/>
          <w:b w:val="0"/>
          <w:bCs w:val="0"/>
          <w:rtl w:val="0"/>
          <w:lang w:val="de-DE"/>
        </w:rPr>
        <w:t>2013). Mehrgarh excavation reports. French Archaeological Mission in Pakistan.</w:t>
      </w:r>
    </w:p>
    <w:p>
      <w:pPr>
        <w:pStyle w:val="Heading"/>
        <w:numPr>
          <w:ilvl w:val="0"/>
          <w:numId w:val="2"/>
        </w:numPr>
        <w:spacing w:before="300" w:after="150"/>
        <w:rPr>
          <w:rFonts w:ascii="Verdana" w:hAnsi="Verdana"/>
          <w:lang w:val="en-US"/>
        </w:rPr>
      </w:pPr>
      <w:r>
        <w:rPr>
          <w:rFonts w:ascii="Verdana" w:hAnsi="Verdana"/>
          <w:b w:val="0"/>
          <w:bCs w:val="0"/>
          <w:rtl w:val="0"/>
          <w:lang w:val="en-US"/>
        </w:rPr>
        <w:t>Mutin, B., &amp; Zazzo, A. (2014). New radiocarbon dates for Mehrgarh Period I. Antiquity Project Gallery.</w:t>
      </w:r>
    </w:p>
    <w:p>
      <w:pPr>
        <w:pStyle w:val="Heading"/>
        <w:numPr>
          <w:ilvl w:val="0"/>
          <w:numId w:val="2"/>
        </w:numPr>
        <w:spacing w:before="300" w:after="150"/>
        <w:rPr>
          <w:rFonts w:ascii="Verdana" w:hAnsi="Verdana"/>
          <w:lang w:val="en-US"/>
        </w:rPr>
      </w:pPr>
      <w:r>
        <w:rPr>
          <w:rFonts w:ascii="Verdana" w:hAnsi="Verdana"/>
          <w:b w:val="0"/>
          <w:bCs w:val="0"/>
          <w:rtl w:val="0"/>
          <w:lang w:val="en-US"/>
        </w:rPr>
        <w:t>Oates, J. (1960). Ur and Eridu, the prehistory. Iraq, 22, 32</w:t>
      </w:r>
      <w:r>
        <w:rPr>
          <w:rFonts w:ascii="Verdana" w:hAnsi="Verdana" w:hint="default"/>
          <w:b w:val="0"/>
          <w:bCs w:val="0"/>
          <w:rtl w:val="0"/>
        </w:rPr>
        <w:t>–</w:t>
      </w:r>
      <w:r>
        <w:rPr>
          <w:rFonts w:ascii="Verdana" w:hAnsi="Verdana"/>
          <w:b w:val="0"/>
          <w:bCs w:val="0"/>
          <w:rtl w:val="0"/>
        </w:rPr>
        <w:t>50.</w:t>
      </w:r>
    </w:p>
    <w:p>
      <w:pPr>
        <w:pStyle w:val="Heading"/>
        <w:numPr>
          <w:ilvl w:val="0"/>
          <w:numId w:val="2"/>
        </w:numPr>
        <w:spacing w:before="300" w:after="150"/>
        <w:rPr>
          <w:rFonts w:ascii="Verdana" w:hAnsi="Verdana"/>
          <w:lang w:val="en-US"/>
        </w:rPr>
      </w:pPr>
      <w:r>
        <w:rPr>
          <w:rFonts w:ascii="Verdana" w:hAnsi="Verdana"/>
          <w:b w:val="0"/>
          <w:bCs w:val="0"/>
          <w:rtl w:val="0"/>
          <w:lang w:val="en-US"/>
        </w:rPr>
        <w:t>Metropolitan Museum of Art (2003). The Ubaid Period (5500</w:t>
      </w:r>
      <w:r>
        <w:rPr>
          <w:rFonts w:ascii="Verdana" w:hAnsi="Verdana" w:hint="default"/>
          <w:b w:val="0"/>
          <w:bCs w:val="0"/>
          <w:rtl w:val="0"/>
        </w:rPr>
        <w:t>–</w:t>
      </w:r>
      <w:r>
        <w:rPr>
          <w:rFonts w:ascii="Verdana" w:hAnsi="Verdana"/>
          <w:b w:val="0"/>
          <w:bCs w:val="0"/>
          <w:rtl w:val="0"/>
          <w:lang w:val="de-DE"/>
        </w:rPr>
        <w:t>4000 B.C.). Heilbrunn Timeline of Art History.</w:t>
      </w:r>
    </w:p>
    <w:p>
      <w:pPr>
        <w:pStyle w:val="Heading"/>
        <w:numPr>
          <w:ilvl w:val="0"/>
          <w:numId w:val="2"/>
        </w:numPr>
        <w:spacing w:before="300" w:after="150"/>
        <w:rPr>
          <w:rFonts w:ascii="Verdana" w:hAnsi="Verdana"/>
          <w:lang w:val="en-US"/>
        </w:rPr>
      </w:pPr>
      <w:r>
        <w:rPr>
          <w:rFonts w:ascii="Verdana" w:hAnsi="Verdana"/>
          <w:b w:val="0"/>
          <w:bCs w:val="0"/>
          <w:rtl w:val="0"/>
          <w:lang w:val="en-US"/>
        </w:rPr>
        <w:t>Hassan, F.A. (1985). Radiocarbon chronology of Neolithic and Predynastic sites in Upper Egypt and the Delta. African Archaeological Review, 3, 95</w:t>
      </w:r>
      <w:r>
        <w:rPr>
          <w:rFonts w:ascii="Verdana" w:hAnsi="Verdana" w:hint="default"/>
          <w:b w:val="0"/>
          <w:bCs w:val="0"/>
          <w:rtl w:val="0"/>
        </w:rPr>
        <w:t>–</w:t>
      </w:r>
      <w:r>
        <w:rPr>
          <w:rFonts w:ascii="Verdana" w:hAnsi="Verdana"/>
          <w:b w:val="0"/>
          <w:bCs w:val="0"/>
          <w:rtl w:val="0"/>
        </w:rPr>
        <w:t>116.</w:t>
      </w:r>
    </w:p>
    <w:p>
      <w:pPr>
        <w:pStyle w:val="Heading"/>
        <w:numPr>
          <w:ilvl w:val="0"/>
          <w:numId w:val="2"/>
        </w:numPr>
        <w:spacing w:before="300" w:after="150"/>
        <w:rPr>
          <w:rFonts w:ascii="Verdana" w:hAnsi="Verdana"/>
          <w:lang w:val="de-DE"/>
        </w:rPr>
      </w:pPr>
      <w:r>
        <w:rPr>
          <w:rFonts w:ascii="Verdana" w:hAnsi="Verdana"/>
          <w:b w:val="0"/>
          <w:bCs w:val="0"/>
          <w:rtl w:val="0"/>
          <w:lang w:val="de-DE"/>
        </w:rPr>
        <w:t>Geiger, W. (Trans.) (1912). The Mahavamsa. Pali Text Society.</w:t>
      </w:r>
    </w:p>
    <w:p>
      <w:pPr>
        <w:pStyle w:val="Heading"/>
        <w:numPr>
          <w:ilvl w:val="0"/>
          <w:numId w:val="2"/>
        </w:numPr>
        <w:spacing w:before="300" w:after="150"/>
        <w:rPr>
          <w:rFonts w:ascii="Verdana" w:hAnsi="Verdana"/>
          <w:lang w:val="en-US"/>
        </w:rPr>
      </w:pPr>
      <w:r>
        <w:rPr>
          <w:rFonts w:ascii="Verdana" w:hAnsi="Verdana"/>
          <w:b w:val="0"/>
          <w:bCs w:val="0"/>
          <w:rtl w:val="0"/>
          <w:lang w:val="en-US"/>
        </w:rPr>
        <w:t>Amaratunga, G., &amp; Gunawardana, N. (2019). Pre-Buddhist religious beliefs and practices in ancient Sri Lanka. International Journal of Research and Innovation in Social Science, 3(9). University of Kelaniya.</w:t>
      </w:r>
    </w:p>
    <w:p>
      <w:pPr>
        <w:pStyle w:val="Heading"/>
        <w:numPr>
          <w:ilvl w:val="0"/>
          <w:numId w:val="2"/>
        </w:numPr>
        <w:spacing w:before="300" w:after="150"/>
        <w:rPr>
          <w:rFonts w:ascii="Verdana" w:hAnsi="Verdana"/>
          <w:lang w:val="en-US"/>
        </w:rPr>
      </w:pPr>
      <w:r>
        <w:rPr>
          <w:rFonts w:ascii="Verdana" w:hAnsi="Verdana"/>
          <w:b w:val="0"/>
          <w:bCs w:val="0"/>
          <w:rtl w:val="0"/>
          <w:lang w:val="en-US"/>
        </w:rPr>
        <w:t>Somadeva, R. Tamketiya cave inscription reading, Nailgala, Kaltota, Sri Lanka [exact publication venue and year unverified; confirm before citing in submission].</w:t>
      </w:r>
    </w:p>
    <w:p>
      <w:pPr>
        <w:pStyle w:val="Heading"/>
        <w:numPr>
          <w:ilvl w:val="0"/>
          <w:numId w:val="2"/>
        </w:numPr>
        <w:spacing w:before="300" w:after="150"/>
        <w:rPr>
          <w:rFonts w:ascii="Verdana" w:hAnsi="Verdana"/>
          <w:lang w:val="en-US"/>
        </w:rPr>
      </w:pPr>
      <w:r>
        <w:rPr>
          <w:rFonts w:ascii="Verdana" w:hAnsi="Verdana"/>
          <w:b w:val="0"/>
          <w:bCs w:val="0"/>
          <w:rtl w:val="0"/>
          <w:lang w:val="en-US"/>
        </w:rPr>
        <w:t>Purnalingam Pillai, M.S. (1928). Ravana the Great: King of Lanka. Madras: The Author.</w:t>
      </w:r>
    </w:p>
    <w:p>
      <w:pPr>
        <w:pStyle w:val="Heading"/>
        <w:numPr>
          <w:ilvl w:val="0"/>
          <w:numId w:val="2"/>
        </w:numPr>
        <w:spacing w:before="300" w:after="150"/>
        <w:rPr>
          <w:rFonts w:ascii="Verdana" w:hAnsi="Verdana"/>
        </w:rPr>
      </w:pPr>
      <w:r>
        <w:rPr>
          <w:rFonts w:ascii="Verdana" w:hAnsi="Verdana"/>
          <w:b w:val="0"/>
          <w:bCs w:val="0"/>
          <w:rtl w:val="0"/>
        </w:rPr>
        <w:t>Dasaratha Jataka. Khuddaka Nikaya, Jataka No. 461, Pali Canon.</w:t>
      </w:r>
    </w:p>
    <w:p>
      <w:pPr>
        <w:pStyle w:val="Heading"/>
        <w:numPr>
          <w:ilvl w:val="0"/>
          <w:numId w:val="2"/>
        </w:numPr>
        <w:spacing w:before="300" w:after="150"/>
        <w:rPr>
          <w:rFonts w:ascii="Verdana" w:hAnsi="Verdana"/>
        </w:rPr>
      </w:pPr>
      <w:r>
        <w:rPr>
          <w:rFonts w:ascii="Verdana" w:hAnsi="Verdana"/>
          <w:b w:val="0"/>
          <w:bCs w:val="0"/>
          <w:rtl w:val="0"/>
        </w:rPr>
        <w:t>Sen, D.C. (1920). The Bengali Ramayanas. University of Calcutta.</w:t>
      </w:r>
    </w:p>
    <w:p>
      <w:pPr>
        <w:pStyle w:val="Heading"/>
        <w:numPr>
          <w:ilvl w:val="0"/>
          <w:numId w:val="2"/>
        </w:numPr>
        <w:spacing w:before="300" w:after="150"/>
        <w:rPr>
          <w:rFonts w:ascii="Verdana" w:hAnsi="Verdana"/>
          <w:lang w:val="en-US"/>
        </w:rPr>
      </w:pPr>
      <w:r>
        <w:rPr>
          <w:rFonts w:ascii="Verdana" w:hAnsi="Verdana"/>
          <w:b w:val="0"/>
          <w:bCs w:val="0"/>
          <w:rtl w:val="0"/>
          <w:lang w:val="en-US"/>
        </w:rPr>
        <w:t>Sanghadasa. Vasudevahindi (Jain Ramayana tradition, precise date uncertain, pre-6th century CE).</w:t>
      </w:r>
    </w:p>
    <w:p>
      <w:pPr>
        <w:pStyle w:val="Heading"/>
        <w:numPr>
          <w:ilvl w:val="0"/>
          <w:numId w:val="2"/>
        </w:numPr>
        <w:spacing w:before="300" w:after="150"/>
        <w:rPr>
          <w:rFonts w:ascii="Verdana" w:hAnsi="Verdana"/>
          <w:lang w:val="de-DE"/>
        </w:rPr>
      </w:pPr>
      <w:r>
        <w:rPr>
          <w:rFonts w:ascii="Verdana" w:hAnsi="Verdana"/>
          <w:b w:val="0"/>
          <w:bCs w:val="0"/>
          <w:rtl w:val="0"/>
          <w:lang w:val="de-DE"/>
        </w:rPr>
        <w:t>Gunabhadra (9th century CE). Uttara Purana.</w:t>
      </w:r>
    </w:p>
    <w:p>
      <w:pPr>
        <w:pStyle w:val="Heading"/>
        <w:numPr>
          <w:ilvl w:val="0"/>
          <w:numId w:val="2"/>
        </w:numPr>
        <w:spacing w:before="300" w:after="150"/>
        <w:rPr>
          <w:rFonts w:ascii="Verdana" w:hAnsi="Verdana"/>
        </w:rPr>
      </w:pPr>
      <w:r>
        <w:rPr>
          <w:rFonts w:ascii="Verdana" w:hAnsi="Verdana"/>
          <w:b w:val="0"/>
          <w:bCs w:val="0"/>
          <w:rtl w:val="0"/>
        </w:rPr>
        <w:t>Adbhuta Ramayana (Sanskrit, composition estimated 14th</w:t>
      </w:r>
      <w:r>
        <w:rPr>
          <w:rFonts w:ascii="Verdana" w:hAnsi="Verdana" w:hint="default"/>
          <w:b w:val="0"/>
          <w:bCs w:val="0"/>
          <w:rtl w:val="0"/>
        </w:rPr>
        <w:t>–</w:t>
      </w:r>
      <w:r>
        <w:rPr>
          <w:rFonts w:ascii="Verdana" w:hAnsi="Verdana"/>
          <w:b w:val="0"/>
          <w:bCs w:val="0"/>
          <w:rtl w:val="0"/>
          <w:lang w:val="en-US"/>
        </w:rPr>
        <w:t>15th century CE).</w:t>
      </w:r>
    </w:p>
    <w:p>
      <w:pPr>
        <w:pStyle w:val="Heading"/>
        <w:numPr>
          <w:ilvl w:val="0"/>
          <w:numId w:val="2"/>
        </w:numPr>
        <w:spacing w:before="300" w:after="150"/>
        <w:rPr>
          <w:rFonts w:ascii="Verdana" w:hAnsi="Verdana"/>
          <w:lang w:val="en-US"/>
        </w:rPr>
      </w:pPr>
      <w:r>
        <w:rPr>
          <w:rFonts w:ascii="Verdana" w:hAnsi="Verdana"/>
          <w:b w:val="0"/>
          <w:bCs w:val="0"/>
          <w:rtl w:val="0"/>
          <w:lang w:val="en-US"/>
        </w:rPr>
        <w:t>Lahaul and Spiti oral tradition, Trilokinath Temple, Himachal Pradesh (unwritten; recorded in regional ethnographic accounts).</w:t>
      </w:r>
    </w:p>
    <w:sectPr>
      <w:headerReference w:type="default" r:id="rId4"/>
      <w:footerReference w:type="default" r:id="rId5"/>
      <w:pgSz w:w="12240" w:h="15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Times Roman">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de-D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Heading 2"/>
    <w:pPr>
      <w:keepNext w:val="0"/>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