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rPr>
      </w:pPr>
      <w:r>
        <w:rPr>
          <w:rFonts w:ascii="Verdana" w:hAnsi="Verdana"/>
          <w:b w:val="1"/>
          <w:bCs w:val="1"/>
          <w:sz w:val="48"/>
          <w:szCs w:val="48"/>
          <w:u w:color="000000"/>
          <w:rtl w:val="0"/>
          <w:lang w:val="en-US"/>
        </w:rPr>
        <w:t>Sufficient Unto Themselves: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36"/>
          <w:szCs w:val="36"/>
          <w:u w:color="000000"/>
          <w:rtl w:val="0"/>
          <w:lang w:val="en-US"/>
        </w:rPr>
        <w:t>Human Symbolic Cognition and the Redundancy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36"/>
          <w:szCs w:val="36"/>
          <w:u w:color="000000"/>
          <w:rtl w:val="0"/>
          <w:lang w:val="en-US"/>
        </w:rPr>
        <w:t>of the Ancient Astronaut Hypothesis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rtl w:val="0"/>
          <w:lang w:val="it-IT"/>
        </w:rPr>
        <w:t xml:space="preserve">Figshare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"https://doi.org/10.6084/m9.figshare.32811080"</w:instrText>
      </w:r>
      <w:r>
        <w:rPr>
          <w:rStyle w:val="Hyperlink.0"/>
          <w:rFonts w:ascii="Verdana" w:cs="Verdana" w:hAnsi="Verdana" w:eastAsia="Verdana"/>
        </w:rPr>
        <w:fldChar w:fldCharType="separate" w:fldLock="0"/>
      </w:r>
      <w:r>
        <w:rPr>
          <w:rStyle w:val="Hyperlink.0"/>
          <w:rFonts w:ascii="Verdana" w:hAnsi="Verdana"/>
          <w:rtl w:val="0"/>
          <w:lang w:val="en-US"/>
        </w:rPr>
        <w:t>https://doi.org/10.6084/m9.figshare.32811080</w:t>
      </w:r>
      <w:r>
        <w:rPr>
          <w:rFonts w:ascii="Verdana" w:cs="Verdana" w:hAnsi="Verdana" w:eastAsia="Verdana"/>
        </w:rPr>
        <w:fldChar w:fldCharType="end" w:fldLock="0"/>
      </w:r>
      <w:r>
        <w:rPr>
          <w:rFonts w:ascii="Verdana" w:hAnsi="Verdana"/>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8"/>
          <w:szCs w:val="28"/>
          <w:u w:color="000000"/>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sz w:val="24"/>
          <w:szCs w:val="24"/>
          <w:u w:color="000000"/>
          <w:rtl w:val="0"/>
          <w:lang w:val="en-US"/>
        </w:rPr>
        <w:t>Independent Researcher, Cognitive Archaeology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4"/>
          <w:szCs w:val="24"/>
          <w:u w:color="000000"/>
          <w:rtl w:val="0"/>
        </w:rPr>
        <w:t>ORCID: 0009-0003-4953-1427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"mailto:anthony.vondoom@outlook.com"</w:instrText>
      </w:r>
      <w:r>
        <w:rPr>
          <w:rStyle w:val="Hyperlink.0"/>
          <w:rFonts w:ascii="Verdana" w:cs="Verdana" w:hAnsi="Verdana" w:eastAsia="Verdana"/>
        </w:rPr>
        <w:fldChar w:fldCharType="separate" w:fldLock="0"/>
      </w:r>
      <w:r>
        <w:rPr>
          <w:rStyle w:val="Hyperlink.0"/>
          <w:rFonts w:ascii="Verdana" w:hAnsi="Verdana"/>
          <w:rtl w:val="0"/>
          <w:lang w:val="nl-NL"/>
        </w:rPr>
        <w:t>anthony.vondoom@outlook.com</w:t>
      </w:r>
      <w:r>
        <w:rPr>
          <w:rFonts w:ascii="Verdana" w:cs="Verdana" w:hAnsi="Verdana" w:eastAsia="Verdana"/>
        </w:rPr>
        <w:fldChar w:fldCharType="end" w:fldLock="0"/>
      </w:r>
      <w:r>
        <w:rPr>
          <w:rFonts w:ascii="Verdana" w:hAnsi="Verdana"/>
          <w:sz w:val="24"/>
          <w:szCs w:val="24"/>
          <w:u w:color="000000"/>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"http://www.dssm.academy"</w:instrText>
      </w:r>
      <w:r>
        <w:rPr>
          <w:rStyle w:val="Hyperlink.0"/>
          <w:rFonts w:ascii="Verdana" w:cs="Verdana" w:hAnsi="Verdana" w:eastAsia="Verdana"/>
        </w:rPr>
        <w:fldChar w:fldCharType="separate" w:fldLock="0"/>
      </w:r>
      <w:r>
        <w:rPr>
          <w:rStyle w:val="Hyperlink.0"/>
          <w:rFonts w:ascii="Verdana" w:hAnsi="Verdana"/>
          <w:rtl w:val="0"/>
          <w:lang w:val="it-IT"/>
        </w:rPr>
        <w:t>www.</w:t>
      </w:r>
      <w:r>
        <w:rPr>
          <w:rStyle w:val="Hyperlink.0"/>
          <w:rFonts w:ascii="Verdana" w:hAnsi="Verdana"/>
          <w:rtl w:val="0"/>
          <w:lang w:val="it-IT"/>
        </w:rPr>
        <w:t>dssm.academy</w:t>
      </w:r>
      <w:r>
        <w:rPr>
          <w:rFonts w:ascii="Verdana" w:cs="Verdana" w:hAnsi="Verdana" w:eastAsia="Verdana"/>
        </w:rPr>
        <w:fldChar w:fldCharType="end" w:fldLock="0"/>
      </w:r>
      <w:r>
        <w:rPr>
          <w:rFonts w:ascii="Verdana" w:hAnsi="Verdana"/>
          <w:sz w:val="24"/>
          <w:szCs w:val="24"/>
          <w:u w:color="000000"/>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rtl w:val="0"/>
          <w:lang w:val="it-IT"/>
        </w:rPr>
        <w:t xml:space="preserve">Egypt </w:t>
      </w:r>
      <w:r>
        <w:rPr>
          <w:rFonts w:ascii="Verdana" w:hAnsi="Verdana"/>
          <w:sz w:val="24"/>
          <w:szCs w:val="24"/>
          <w:u w:color="000000"/>
          <w:rtl w:val="0"/>
        </w:rPr>
        <w:t>2026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u w:color="000000"/>
          <w:rtl w:val="0"/>
          <w:lang w:val="en-US"/>
        </w:rPr>
        <w:t>AI Assistance Disclosure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0"/>
          <w:szCs w:val="20"/>
          <w:u w:color="000000"/>
        </w:rPr>
      </w:pPr>
      <w:r>
        <w:rPr>
          <w:rFonts w:ascii="Verdana" w:hAnsi="Verdana"/>
          <w:sz w:val="20"/>
          <w:szCs w:val="20"/>
          <w:u w:color="000000"/>
          <w:rtl w:val="0"/>
          <w:lang w:val="en-US"/>
        </w:rPr>
        <w:t xml:space="preserve">This paper was developed with the assistance of Claude Sonnet (Anthropic) as a drafting tool. All theoretical claims, argumentative structure, analytical positions, and intellectual content are those of the author.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Arial Unicode MS" w:cs="Arial Unicode MS" w:hAnsi="Arial Unicode MS" w:eastAsia="Arial Unicode MS"/>
          <w:b w:val="0"/>
          <w:bCs w:val="0"/>
          <w:i w:val="0"/>
          <w:iCs w:val="0"/>
        </w:rPr>
        <w:br w:type="page"/>
      </w:r>
    </w:p>
    <w:p>
      <w:pPr>
        <w:pStyle w:val="Heading"/>
        <w:jc w:val="both"/>
        <w:rPr>
          <w:rFonts w:ascii="Verdana" w:cs="Verdana" w:hAnsi="Verdana" w:eastAsia="Verdana"/>
          <w:b w:val="0"/>
          <w:bCs w:val="0"/>
        </w:rPr>
      </w:pPr>
      <w:r>
        <w:rPr>
          <w:rFonts w:ascii="Verdana" w:hAnsi="Verdana"/>
          <w:b w:val="0"/>
          <w:bCs w:val="0"/>
          <w:rtl w:val="0"/>
          <w:lang w:val="de-DE"/>
        </w:rPr>
        <w:t>Abstract</w:t>
      </w:r>
    </w:p>
    <w:p>
      <w:pPr>
        <w:pStyle w:val="Heading"/>
        <w:jc w:val="both"/>
        <w:rPr>
          <w:rFonts w:ascii="Verdana" w:cs="Verdana" w:hAnsi="Verdana" w:eastAsia="Verdana"/>
          <w:b w:val="0"/>
          <w:bCs w:val="0"/>
        </w:rPr>
      </w:pPr>
      <w:r>
        <w:rPr>
          <w:rFonts w:ascii="Verdana" w:hAnsi="Verdana"/>
          <w:b w:val="0"/>
          <w:bCs w:val="0"/>
          <w:sz w:val="24"/>
          <w:szCs w:val="24"/>
          <w:rtl w:val="0"/>
          <w:lang w:val="en-US"/>
        </w:rPr>
        <w:t>The Ancient Astronaut Hypothesis (AAH) proposes that extraterrestrial intelligences intervened in human civilisational development, accounting for what its proponents characterise as anomalous achievements in monumental architecture, astronomical knowledge, symbolic culture, and genetic constitution. This paper undertakes a systematic three-part examination. Part One presents the hypothesis in its strongest available form, drawing on its principal evidential categories: cross-cultural mythological convergence, architectural anomalies, knowledge clustering, iconographic figures, and genetic outliers. Part Two applies rigorous logical, physical, genetic, behavioural, and methodological analysis to demonstrate that each category fails under scrutiny - not because the evidence is fabricated, but because a superior explanation is available for all of it. Part Three introduces the Deep Symbolic Systems Model (DSSM) as a complete, parsimonious, and empirically grounded account of human civilisational emergence that renders external intervention redundant. Seven tables and three figures are provided to anchor the central analytical and evidential claims.</w:t>
      </w:r>
    </w:p>
    <w:p>
      <w:pPr>
        <w:pStyle w:val="Heading"/>
        <w:jc w:val="both"/>
        <w:rPr>
          <w:rFonts w:ascii="Verdana" w:cs="Verdana" w:hAnsi="Verdana" w:eastAsia="Verdana"/>
          <w:b w:val="0"/>
          <w:bCs w:val="0"/>
        </w:rPr>
      </w:pPr>
      <w:r>
        <w:rPr>
          <w:rFonts w:ascii="Verdana" w:hAnsi="Verdana"/>
          <w:b w:val="0"/>
          <w:bCs w:val="0"/>
          <w:sz w:val="24"/>
          <w:szCs w:val="24"/>
          <w:rtl w:val="0"/>
          <w:lang w:val="en-US"/>
        </w:rPr>
        <w:t>This paper does not claim to demonstrate the impossibility of extraterrestrial intelligence. It claims only that the available human record requires no such explanation, and that the DSSM - a framework tracing civilisation's emergence from the recursive stabilisation of embodied practices through symbolic scaffolding, ritualised repetition, cross-media redundancy, and cognitive offloading - provides a complete positive account of every phenomenon the AAH attributes to alien contact. The central argument is simple: ancient humans were sufficient unto themselves.</w:t>
      </w:r>
    </w:p>
    <w:p>
      <w:pPr>
        <w:pStyle w:val="Heading"/>
        <w:jc w:val="both"/>
        <w:rPr>
          <w:rFonts w:ascii="Verdana" w:cs="Verdana" w:hAnsi="Verdana" w:eastAsia="Verdana"/>
          <w:b w:val="0"/>
          <w:bCs w:val="0"/>
        </w:rPr>
      </w:pPr>
      <w:r>
        <w:rPr>
          <w:rFonts w:ascii="Verdana" w:hAnsi="Verdana"/>
          <w:b w:val="0"/>
          <w:bCs w:val="0"/>
          <w:sz w:val="24"/>
          <w:szCs w:val="24"/>
          <w:rtl w:val="0"/>
          <w:lang w:val="en-US"/>
        </w:rPr>
        <w:t xml:space="preserve">Keywords: </w:t>
      </w:r>
      <w:r>
        <w:rPr>
          <w:rFonts w:ascii="Verdana" w:hAnsi="Verdana"/>
          <w:b w:val="0"/>
          <w:bCs w:val="0"/>
          <w:i w:val="1"/>
          <w:iCs w:val="1"/>
          <w:sz w:val="24"/>
          <w:szCs w:val="24"/>
          <w:rtl w:val="0"/>
          <w:lang w:val="en-US"/>
        </w:rPr>
        <w:t>Ancient Astronaut Hypothesis, Deep Symbolic Systems Model, cognitive archaeology, symbolic scaffolding, convergent cognition, convergent symbolism, Foundational Civilisational Potential, experimental archaeology, palaeogenomics, Fermi paradox, Younger Dryas transition, Sentinelese contact analogy</w:t>
      </w:r>
    </w:p>
    <w:p>
      <w:pPr>
        <w:pStyle w:val="Heading"/>
        <w:jc w:val="both"/>
        <w:rPr>
          <w:rFonts w:ascii="Verdana" w:cs="Verdana" w:hAnsi="Verdana" w:eastAsia="Verdana"/>
          <w:b w:val="0"/>
          <w:bCs w:val="0"/>
        </w:rPr>
      </w:pPr>
    </w:p>
    <w:p>
      <w:pPr>
        <w:pStyle w:val="Heading"/>
        <w:jc w:val="both"/>
      </w:pPr>
      <w:r>
        <w:rPr>
          <w:rFonts w:ascii="Arial Unicode MS" w:cs="Arial Unicode MS" w:hAnsi="Arial Unicode MS" w:eastAsia="Arial Unicode MS"/>
          <w:b w:val="0"/>
          <w:bCs w:val="0"/>
          <w:i w:val="0"/>
          <w:iCs w:val="0"/>
        </w:rPr>
        <w:br w:type="page"/>
      </w:r>
    </w:p>
    <w:p>
      <w:pPr>
        <w:pStyle w:val="Heading"/>
        <w:jc w:val="both"/>
        <w:rPr>
          <w:rFonts w:ascii="Verdana" w:cs="Verdana" w:hAnsi="Verdana" w:eastAsia="Verdana"/>
          <w:b w:val="0"/>
          <w:bCs w:val="0"/>
        </w:rPr>
      </w:pPr>
      <w:r>
        <w:rPr>
          <w:rFonts w:ascii="Verdana" w:hAnsi="Verdana"/>
          <w:b w:val="0"/>
          <w:bCs w:val="0"/>
          <w:rtl w:val="0"/>
          <w:lang w:val="fr-FR"/>
        </w:rPr>
        <w:t>1. Introduction</w:t>
      </w:r>
    </w:p>
    <w:p>
      <w:pPr>
        <w:pStyle w:val="Heading"/>
        <w:jc w:val="both"/>
        <w:rPr>
          <w:rFonts w:ascii="Verdana" w:cs="Verdana" w:hAnsi="Verdana" w:eastAsia="Verdana"/>
          <w:b w:val="0"/>
          <w:bCs w:val="0"/>
        </w:rPr>
      </w:pPr>
      <w:r>
        <w:rPr>
          <w:rFonts w:ascii="Verdana" w:hAnsi="Verdana"/>
          <w:b w:val="0"/>
          <w:bCs w:val="0"/>
          <w:sz w:val="24"/>
          <w:szCs w:val="24"/>
          <w:rtl w:val="0"/>
          <w:lang w:val="en-US"/>
        </w:rPr>
        <w:t>The proposition that humanity's earliest civilisational achievements required extraterrestrial assistance is among the most persistent claims in popular science culture. It has evolved considerably since Charles Fort's anomalous data collections in the early twentieth century and Erich von Daniken's 1968 popularisation in Chariots of the Gods. It now encompasses genetic claims, iconographic analysis, archaeoastronomical interpretation, and appeals to emerging UAP (Unidentified Aerial Phenomena) disclosure. Its proponents include not only popular authors and television presenters but, at its margins, some researchers with academic credentials. It commands a large and serious popular audience.</w:t>
      </w:r>
    </w:p>
    <w:p>
      <w:pPr>
        <w:pStyle w:val="Heading"/>
        <w:jc w:val="both"/>
        <w:rPr>
          <w:rFonts w:ascii="Verdana" w:cs="Verdana" w:hAnsi="Verdana" w:eastAsia="Verdana"/>
          <w:b w:val="0"/>
          <w:bCs w:val="0"/>
        </w:rPr>
      </w:pPr>
      <w:r>
        <w:rPr>
          <w:rFonts w:ascii="Verdana" w:hAnsi="Verdana"/>
          <w:b w:val="0"/>
          <w:bCs w:val="0"/>
          <w:sz w:val="24"/>
          <w:szCs w:val="24"/>
          <w:rtl w:val="0"/>
          <w:lang w:val="en-US"/>
        </w:rPr>
        <w:t>That audience deserves a serious response. Prior scholarly engagements include Story's (1976) systematic examination of von Daniken's specific claims and Colavito's (2005) analysis of the hypothesis's cultural genealogy. Both are valuable; neither applies a unified theoretical framework capable of replacing the AAH's explanatory account with a superior positive alternative. This paper attempts that replacement. The typical critical engagement has been either dismissal or narrow claim-by-claim refutation without addressing the underlying framework. This paper does neither. It engages the AAH at the level of its strongest arguments, acknowledges the genuine data on which it draws, and then demonstrates - systematically and without overclaiming - why those arguments do not hold.</w:t>
      </w:r>
    </w:p>
    <w:p>
      <w:pPr>
        <w:pStyle w:val="Heading"/>
        <w:jc w:val="both"/>
        <w:rPr>
          <w:rFonts w:ascii="Verdana" w:cs="Verdana" w:hAnsi="Verdana" w:eastAsia="Verdana"/>
          <w:b w:val="0"/>
          <w:bCs w:val="0"/>
        </w:rPr>
      </w:pPr>
      <w:r>
        <w:rPr>
          <w:rFonts w:ascii="Verdana" w:hAnsi="Verdana"/>
          <w:b w:val="0"/>
          <w:bCs w:val="0"/>
          <w:sz w:val="24"/>
          <w:szCs w:val="24"/>
          <w:rtl w:val="0"/>
          <w:lang w:val="en-US"/>
        </w:rPr>
        <w:t>The paper's structure reflects a deliberate argumentative strategy. Act One presents the hypothesis charitably. The reader who accepts the AAH should recognise their own strongest arguments in this section, stated fairly. Act Two dismantles those arguments one by one, using tools drawn from logic, experimental archaeology, cognitive anthropology, population genetics, and the philosophy of science. Act Three replaces the hypothesis with something better - not an absence of explanation, but a complete positive account. The Deep Symbolic Systems Model does not merely rebut the AAH. It makes it unnecessary.</w:t>
      </w:r>
    </w:p>
    <w:p>
      <w:pPr>
        <w:pStyle w:val="Heading"/>
        <w:jc w:val="both"/>
        <w:rPr>
          <w:rFonts w:ascii="Verdana" w:cs="Verdana" w:hAnsi="Verdana" w:eastAsia="Verdana"/>
          <w:b w:val="0"/>
          <w:bCs w:val="0"/>
        </w:rPr>
      </w:pPr>
      <w:r>
        <w:rPr>
          <w:rFonts w:ascii="Verdana" w:hAnsi="Verdana"/>
          <w:b w:val="0"/>
          <w:bCs w:val="0"/>
          <w:sz w:val="24"/>
          <w:szCs w:val="24"/>
          <w:rtl w:val="0"/>
          <w:lang w:val="en-US"/>
        </w:rPr>
        <w:t>Three methodological commitments govern the paper throughout. First, no overclaiming: the paper does not assert that alien intelligence does not exist, that UAP phenomena have mundane explanations, or that the ancient record is fully understood. It claims only that what is understood is fully explicable without external intervention. Second, no ridicule: the AAH draws on real data, and the people who find it compelling are asking legitimate questions about human origins. Dismissing the question is not the same as answering it. Third, no unfalsifiable counter-claims: every explanatory claim made in this paper is, in principle, open to evidential revision.</w:t>
      </w:r>
    </w:p>
    <w:p>
      <w:pPr>
        <w:pStyle w:val="Heading 2"/>
        <w:jc w:val="both"/>
        <w:rPr>
          <w:rFonts w:ascii="Verdana" w:cs="Verdana" w:hAnsi="Verdana" w:eastAsia="Verdana"/>
          <w:b w:val="0"/>
          <w:bCs w:val="0"/>
        </w:rPr>
      </w:pPr>
      <w:r>
        <w:rPr>
          <w:rFonts w:ascii="Verdana" w:hAnsi="Verdana"/>
          <w:b w:val="0"/>
          <w:bCs w:val="0"/>
          <w:rtl w:val="0"/>
          <w:lang w:val="en-US"/>
        </w:rPr>
        <w:t>1.1 Scope and Structure</w:t>
      </w:r>
    </w:p>
    <w:p>
      <w:pPr>
        <w:pStyle w:val="Heading 2"/>
        <w:jc w:val="both"/>
        <w:rPr>
          <w:rFonts w:ascii="Verdana" w:cs="Verdana" w:hAnsi="Verdana" w:eastAsia="Verdana"/>
          <w:b w:val="0"/>
          <w:bCs w:val="0"/>
        </w:rPr>
      </w:pPr>
      <w:r>
        <w:rPr>
          <w:rFonts w:ascii="Verdana" w:hAnsi="Verdana"/>
          <w:b w:val="0"/>
          <w:bCs w:val="0"/>
          <w:sz w:val="24"/>
          <w:szCs w:val="24"/>
          <w:rtl w:val="0"/>
          <w:lang w:val="en-US"/>
        </w:rPr>
        <w:t>This paper addresses the AAH as a coherent hypothesis about human civilisational emergence, not as a claim about modern UAP phenomena or government disclosure. The two are often conflated in popular discussion but are analytically distinct. Whether unidentified objects are observed in contemporary airspace is a separate question from whether extraterrestrials assisted the construction of the Great Pyramid. This paper addresses only the latter.</w:t>
      </w:r>
    </w:p>
    <w:p>
      <w:pPr>
        <w:pStyle w:val="Heading 2"/>
        <w:jc w:val="both"/>
        <w:rPr>
          <w:rFonts w:ascii="Verdana" w:cs="Verdana" w:hAnsi="Verdana" w:eastAsia="Verdana"/>
          <w:b w:val="0"/>
          <w:bCs w:val="0"/>
        </w:rPr>
      </w:pPr>
      <w:r>
        <w:rPr>
          <w:rFonts w:ascii="Verdana" w:hAnsi="Verdana"/>
          <w:b w:val="0"/>
          <w:bCs w:val="0"/>
          <w:sz w:val="24"/>
          <w:szCs w:val="24"/>
          <w:rtl w:val="0"/>
          <w:lang w:val="en-US"/>
        </w:rPr>
        <w:t>The paper is organised as follows. Section 2 presents the AAH's principal evidential claims. Section 3 addresses each category of evidence with the relevant analytical tools. Section 4 introduces the DSSM and applies it to each claim as a replacement account. Section 5 addresses the Fermi distance problem as a prior constraint on the visitation model. Section 6 presents limitations. Section 7 discusses the implications. Section 8 concludes. Tables and figures are embedded throughout to support the central analytical arguments.</w:t>
      </w:r>
    </w:p>
    <w:p>
      <w:pPr>
        <w:pStyle w:val="Heading 2"/>
        <w:jc w:val="both"/>
      </w:pPr>
      <w:r>
        <w:rPr>
          <w:rFonts w:ascii="Arial Unicode MS" w:cs="Arial Unicode MS" w:hAnsi="Arial Unicode MS" w:eastAsia="Arial Unicode MS"/>
          <w:b w:val="0"/>
          <w:bCs w:val="0"/>
          <w:i w:val="0"/>
          <w:iCs w:val="0"/>
        </w:rPr>
        <w:br w:type="page"/>
      </w:r>
    </w:p>
    <w:p>
      <w:pPr>
        <w:pStyle w:val="Heading"/>
        <w:jc w:val="both"/>
        <w:rPr>
          <w:rFonts w:ascii="Verdana" w:cs="Verdana" w:hAnsi="Verdana" w:eastAsia="Verdana"/>
          <w:b w:val="0"/>
          <w:bCs w:val="0"/>
        </w:rPr>
      </w:pPr>
      <w:r>
        <w:rPr>
          <w:rFonts w:ascii="Verdana" w:hAnsi="Verdana"/>
          <w:b w:val="0"/>
          <w:bCs w:val="0"/>
          <w:rtl w:val="0"/>
          <w:lang w:val="en-US"/>
        </w:rPr>
        <w:t>2. Methodological Note</w:t>
      </w:r>
    </w:p>
    <w:p>
      <w:pPr>
        <w:pStyle w:val="Heading"/>
        <w:jc w:val="both"/>
        <w:rPr>
          <w:rFonts w:ascii="Verdana" w:cs="Verdana" w:hAnsi="Verdana" w:eastAsia="Verdana"/>
          <w:b w:val="0"/>
          <w:bCs w:val="0"/>
        </w:rPr>
      </w:pPr>
      <w:r>
        <w:rPr>
          <w:rFonts w:ascii="Verdana" w:hAnsi="Verdana"/>
          <w:b w:val="0"/>
          <w:bCs w:val="0"/>
          <w:sz w:val="24"/>
          <w:szCs w:val="24"/>
          <w:rtl w:val="0"/>
          <w:lang w:val="en-US"/>
        </w:rPr>
        <w:t>The AAH is a claim about causal history - specifically, that certain human achievements had an extraterrestrial cause rather than a human one. Evaluating such a claim requires comparing two explanatory frameworks against the same body of evidence. The evaluation criteria adopted in this paper are drawn from standard philosophy of science:</w:t>
      </w:r>
    </w:p>
    <w:p>
      <w:pPr>
        <w:pStyle w:val="Heading"/>
        <w:jc w:val="both"/>
        <w:rPr>
          <w:rFonts w:ascii="Verdana" w:cs="Verdana" w:hAnsi="Verdana" w:eastAsia="Verdana"/>
          <w:b w:val="0"/>
          <w:bCs w:val="0"/>
        </w:rPr>
      </w:pPr>
      <w:r>
        <w:rPr>
          <w:rFonts w:ascii="Verdana" w:hAnsi="Verdana"/>
          <w:b w:val="0"/>
          <w:bCs w:val="0"/>
          <w:sz w:val="24"/>
          <w:szCs w:val="24"/>
          <w:rtl w:val="0"/>
          <w:lang w:val="en-US"/>
        </w:rPr>
        <w:t>Parsimony (Occam's Razor): Where two explanations account for the same evidence, the one that requires fewer unsupported assumptions is preferred. The AAH requires positing extraterrestrial civilisations, interstellar travel capability, sustained Earth visitation, selective knowledge transfer, and the complete absence of unambiguous physical evidence. Each assumption compounded without evidential support increases the hypothesis' epistemic cost.</w:t>
      </w:r>
    </w:p>
    <w:p>
      <w:pPr>
        <w:pStyle w:val="Heading"/>
        <w:jc w:val="both"/>
        <w:rPr>
          <w:rFonts w:ascii="Verdana" w:cs="Verdana" w:hAnsi="Verdana" w:eastAsia="Verdana"/>
          <w:b w:val="0"/>
          <w:bCs w:val="0"/>
        </w:rPr>
      </w:pPr>
      <w:r>
        <w:rPr>
          <w:rFonts w:ascii="Verdana" w:hAnsi="Verdana"/>
          <w:b w:val="0"/>
          <w:bCs w:val="0"/>
          <w:sz w:val="24"/>
          <w:szCs w:val="24"/>
          <w:rtl w:val="0"/>
          <w:lang w:val="en-US"/>
        </w:rPr>
        <w:t>Falsifiability and research programme structure (Popper, 1959; Lakatos, 1978): A scientific hypothesis must in principle be capable of being shown false (Popper, 1959). Lakatos (1978) refines this by identifying how research programmes protect core claims through expanding auxiliary assumptions. Section 4.8 demonstrates that the AAH has precisely this structure.</w:t>
      </w:r>
    </w:p>
    <w:p>
      <w:pPr>
        <w:pStyle w:val="Heading"/>
        <w:jc w:val="both"/>
        <w:rPr>
          <w:rFonts w:ascii="Verdana" w:cs="Verdana" w:hAnsi="Verdana" w:eastAsia="Verdana"/>
          <w:b w:val="0"/>
          <w:bCs w:val="0"/>
        </w:rPr>
      </w:pPr>
      <w:r>
        <w:rPr>
          <w:rFonts w:ascii="Verdana" w:hAnsi="Verdana"/>
          <w:b w:val="0"/>
          <w:bCs w:val="0"/>
          <w:sz w:val="24"/>
          <w:szCs w:val="24"/>
          <w:rtl w:val="0"/>
          <w:lang w:val="en-US"/>
        </w:rPr>
        <w:t>Predictive specificity: A strong hypothesis generates specific predictions about what the evidence should show. The DSSM generates specific predictions about FCP observable scores, population thresholds, and archaeological signatures at each stage of civilisational development. These predictions can be tested against the record. The AAH generates no comparable specific predictions.</w:t>
      </w:r>
    </w:p>
    <w:p>
      <w:pPr>
        <w:pStyle w:val="Heading"/>
        <w:jc w:val="both"/>
        <w:rPr>
          <w:rFonts w:ascii="Verdana" w:cs="Verdana" w:hAnsi="Verdana" w:eastAsia="Verdana"/>
          <w:b w:val="0"/>
          <w:bCs w:val="0"/>
        </w:rPr>
      </w:pPr>
      <w:r>
        <w:rPr>
          <w:rFonts w:ascii="Verdana" w:hAnsi="Verdana"/>
          <w:b w:val="0"/>
          <w:bCs w:val="0"/>
          <w:sz w:val="24"/>
          <w:szCs w:val="24"/>
          <w:rtl w:val="0"/>
          <w:lang w:val="en-US"/>
        </w:rPr>
        <w:t>Evidential completeness: A superior explanation accounts for all the relevant evidence, not only the evidence favourable to it. The analysis in this paper considers both the evidence the AAH cites and the broader evidential context that AAH presentations typically omit - including the ancient DNA record, the experimental archaeology literature, and the population genetics of the anomalies cited as evidence.</w:t>
      </w:r>
    </w:p>
    <w:p>
      <w:pPr>
        <w:pStyle w:val="Heading"/>
        <w:jc w:val="both"/>
        <w:rPr>
          <w:rFonts w:ascii="Verdana" w:cs="Verdana" w:hAnsi="Verdana" w:eastAsia="Verdana"/>
          <w:b w:val="0"/>
          <w:bCs w:val="0"/>
        </w:rPr>
      </w:pPr>
      <w:r>
        <w:rPr>
          <w:rFonts w:ascii="Verdana" w:hAnsi="Verdana"/>
          <w:b w:val="0"/>
          <w:bCs w:val="0"/>
          <w:sz w:val="24"/>
          <w:szCs w:val="24"/>
          <w:rtl w:val="0"/>
          <w:lang w:val="en-US"/>
        </w:rPr>
        <w:t>The term 'period-appropriate technology' as used throughout this paper refers to tools, materials, organisational structures, and techniques for which direct or strongly inferential archaeological evidence exists in the relevant cultural context and time period. A technology is period-appropriate if experimental archaeology can demonstrate its achievability using only attested tools, materials, and organisational capacity. An achievement is anomalous, in the AAH's own terms, only if no such demonstration is possible or plausible. This paper examines whether the achievements cited by the AAH actually meet that threshold of genuine anomaly before any explanation is required.</w:t>
      </w:r>
    </w:p>
    <w:p>
      <w:pPr>
        <w:pStyle w:val="Heading"/>
        <w:jc w:val="both"/>
        <w:rPr>
          <w:rFonts w:ascii="Verdana" w:cs="Verdana" w:hAnsi="Verdana" w:eastAsia="Verdana"/>
          <w:b w:val="0"/>
          <w:bCs w:val="0"/>
        </w:rPr>
      </w:pPr>
      <w:r>
        <w:rPr>
          <w:rFonts w:ascii="Verdana" w:hAnsi="Verdana"/>
          <w:b w:val="0"/>
          <w:bCs w:val="0"/>
          <w:sz w:val="24"/>
          <w:szCs w:val="24"/>
          <w:rtl w:val="0"/>
          <w:lang w:val="en-US"/>
        </w:rPr>
        <w:t>The paper draws on published sources across cognitive archaeology, palaeogenomics, experimental archaeology, archaeoastronomy, cognitive anthropology, and the philosophy of science. Where specific empirical claims are made, citations are provided. Where claims represent the application of the DSSM framework, the theoretical basis is stated.</w:t>
      </w:r>
    </w:p>
    <w:p>
      <w:pPr>
        <w:pStyle w:val="Heading"/>
        <w:jc w:val="both"/>
      </w:pPr>
      <w:r>
        <w:rPr>
          <w:rFonts w:ascii="Arial Unicode MS" w:cs="Arial Unicode MS" w:hAnsi="Arial Unicode MS" w:eastAsia="Arial Unicode MS"/>
          <w:b w:val="0"/>
          <w:bCs w:val="0"/>
          <w:i w:val="0"/>
          <w:iCs w:val="0"/>
        </w:rPr>
        <w:br w:type="page"/>
      </w:r>
    </w:p>
    <w:p>
      <w:pPr>
        <w:pStyle w:val="Heading"/>
        <w:jc w:val="both"/>
        <w:rPr>
          <w:rFonts w:ascii="Verdana" w:cs="Verdana" w:hAnsi="Verdana" w:eastAsia="Verdana"/>
          <w:b w:val="0"/>
          <w:bCs w:val="0"/>
        </w:rPr>
      </w:pPr>
      <w:r>
        <w:rPr>
          <w:rFonts w:ascii="Verdana" w:hAnsi="Verdana"/>
          <w:b w:val="0"/>
          <w:bCs w:val="0"/>
          <w:rtl w:val="0"/>
          <w:lang w:val="en-US"/>
        </w:rPr>
        <w:t>3. The Ancient Astronaut Hypothesis: A Full Account</w:t>
      </w:r>
    </w:p>
    <w:p>
      <w:pPr>
        <w:pStyle w:val="Heading"/>
        <w:jc w:val="both"/>
        <w:rPr>
          <w:rFonts w:ascii="Verdana" w:cs="Verdana" w:hAnsi="Verdana" w:eastAsia="Verdana"/>
          <w:b w:val="0"/>
          <w:bCs w:val="0"/>
        </w:rPr>
      </w:pPr>
      <w:r>
        <w:rPr>
          <w:rFonts w:ascii="Verdana" w:hAnsi="Verdana"/>
          <w:b w:val="0"/>
          <w:bCs w:val="0"/>
          <w:sz w:val="24"/>
          <w:szCs w:val="24"/>
          <w:rtl w:val="0"/>
          <w:lang w:val="en-US"/>
        </w:rPr>
        <w:t>The following section presents the AAH's principal evidential claims in their strongest available form. This section does not evaluate the claims. It presents them as an AAH proponent would, so that the critical analysis in Section 4 engages with the actual hypothesis rather than a weakened version of it.</w:t>
      </w:r>
    </w:p>
    <w:p>
      <w:pPr>
        <w:pStyle w:val="Heading 2"/>
        <w:jc w:val="both"/>
        <w:rPr>
          <w:rFonts w:ascii="Verdana" w:cs="Verdana" w:hAnsi="Verdana" w:eastAsia="Verdana"/>
          <w:b w:val="0"/>
          <w:bCs w:val="0"/>
        </w:rPr>
      </w:pPr>
      <w:r>
        <w:rPr>
          <w:rFonts w:ascii="Verdana" w:hAnsi="Verdana"/>
          <w:b w:val="0"/>
          <w:bCs w:val="0"/>
          <w:rtl w:val="0"/>
          <w:lang w:val="en-US"/>
        </w:rPr>
        <w:t>3.1 Cross-Cultural Mythological Convergence</w:t>
      </w:r>
    </w:p>
    <w:p>
      <w:pPr>
        <w:pStyle w:val="Heading 2"/>
        <w:jc w:val="both"/>
        <w:rPr>
          <w:rFonts w:ascii="Verdana" w:cs="Verdana" w:hAnsi="Verdana" w:eastAsia="Verdana"/>
          <w:b w:val="0"/>
          <w:bCs w:val="0"/>
        </w:rPr>
      </w:pPr>
      <w:r>
        <w:rPr>
          <w:rFonts w:ascii="Verdana" w:hAnsi="Verdana"/>
          <w:b w:val="0"/>
          <w:bCs w:val="0"/>
          <w:sz w:val="24"/>
          <w:szCs w:val="24"/>
          <w:rtl w:val="0"/>
          <w:lang w:val="en-US"/>
        </w:rPr>
        <w:t>The observation that drives the AAH more than any other is the convergence of ancient mythological traditions across cultures with no documented contact. Separated by oceans, mountain ranges, and millennia, populations across every continent produced remarkably similar accounts of beings who arrived from the sky, possessed extraordinary capabilities, intervened in human affairs, transmitted knowledge, and departed. The similarities extend beyond thematic generality to specific shared details: luminous or sound-producing vehicles, beings of unusual size or appearance, genetic interaction with humans, and star system origins.</w:t>
      </w:r>
    </w:p>
    <w:p>
      <w:pPr>
        <w:pStyle w:val="Heading 2"/>
        <w:jc w:val="both"/>
        <w:rPr>
          <w:rFonts w:ascii="Verdana" w:cs="Verdana" w:hAnsi="Verdana" w:eastAsia="Verdana"/>
          <w:b w:val="0"/>
          <w:bCs w:val="0"/>
        </w:rPr>
      </w:pPr>
      <w:r>
        <w:rPr>
          <w:rFonts w:ascii="Verdana" w:hAnsi="Verdana"/>
          <w:b w:val="0"/>
          <w:bCs w:val="0"/>
          <w:sz w:val="24"/>
          <w:szCs w:val="24"/>
          <w:rtl w:val="0"/>
          <w:lang w:val="en-US"/>
        </w:rPr>
        <w:t>Sumerian cuneiform texts, among the oldest written sources available, describe the Anunnaki as beings who 'came down from heaven,' arrived in craft described as gleaming and noisy, established the institution of kingship, transmitted agricultural and astronomical knowledge, and interacted with human reproductive lines (Kramer, 1963, pp. 149-153). The Atrahasis Epic describes systematic intervention in human population and biology. The Epic of Etana describes aerial transport to the heavens. These are not poetic metaphors but narrative accounts in a culture that distinguished sharply between mythological and administrative records.</w:t>
      </w:r>
    </w:p>
    <w:p>
      <w:pPr>
        <w:pStyle w:val="Heading 2"/>
        <w:jc w:val="both"/>
        <w:rPr>
          <w:rFonts w:ascii="Verdana" w:cs="Verdana" w:hAnsi="Verdana" w:eastAsia="Verdana"/>
          <w:b w:val="0"/>
          <w:bCs w:val="0"/>
        </w:rPr>
      </w:pPr>
      <w:r>
        <w:rPr>
          <w:rFonts w:ascii="Verdana" w:hAnsi="Verdana"/>
          <w:b w:val="0"/>
          <w:bCs w:val="0"/>
          <w:sz w:val="24"/>
          <w:szCs w:val="24"/>
          <w:rtl w:val="0"/>
          <w:lang w:val="en-US"/>
        </w:rPr>
        <w:t>Indian Vedic literature, compiled from oral traditions extending back to at least 1500 BCE, contains among the most technically detailed ancient descriptions of aerial phenomena. The Rigveda describes Vimanas with aerial and luminous properties (Jamison &amp; Brereton, 2014); the Mahabharata and Ramayana develop these descriptions further into technically specific accounts of self-propelled vehicles with altitude adjustability, passenger capacity, and propulsion systems (van Buitenen, 1973; Goldman, 1984). The Pushpaka Vimana described in the Ramayana is depicted as self-propelled, altitude-adjustable, and capable of carrying multiple passengers across vast distances. The specificity of the descriptions distinguishes them from generic mythological imagery.</w:t>
      </w:r>
    </w:p>
    <w:p>
      <w:pPr>
        <w:pStyle w:val="Heading 2"/>
        <w:jc w:val="both"/>
        <w:rPr>
          <w:rFonts w:ascii="Verdana" w:cs="Verdana" w:hAnsi="Verdana" w:eastAsia="Verdana"/>
          <w:b w:val="0"/>
          <w:bCs w:val="0"/>
        </w:rPr>
      </w:pPr>
      <w:r>
        <w:rPr>
          <w:rFonts w:ascii="Verdana" w:hAnsi="Verdana"/>
          <w:b w:val="0"/>
          <w:bCs w:val="0"/>
          <w:sz w:val="24"/>
          <w:szCs w:val="24"/>
          <w:rtl w:val="0"/>
          <w:lang w:val="en-US"/>
        </w:rPr>
        <w:t>The Hebrew prophet Ezekiel's vision, dated to approximately 593 BCE during the Babylonian exile, remains among the most technically specific ancient accounts of an aerial encounter. The description includes four living creatures associated with wheels that move in any direction without turning, a firmament resembling crystal above the creatures, fire, lightning, and a figure above the firmament on a sapphire throne (Greenberg, 1983, pp. 41-58). AAH proponents note that the description, read as mechanical observation rather than prophetic vision, maps with unusual precision onto a complex multi-component vehicle.</w:t>
      </w:r>
    </w:p>
    <w:p>
      <w:pPr>
        <w:pStyle w:val="Heading 2"/>
        <w:jc w:val="both"/>
        <w:rPr>
          <w:rFonts w:ascii="Verdana" w:cs="Verdana" w:hAnsi="Verdana" w:eastAsia="Verdana"/>
          <w:b w:val="0"/>
          <w:bCs w:val="0"/>
        </w:rPr>
      </w:pPr>
      <w:r>
        <w:rPr>
          <w:rFonts w:ascii="Verdana" w:hAnsi="Verdana"/>
          <w:b w:val="0"/>
          <w:bCs w:val="0"/>
          <w:sz w:val="24"/>
          <w:szCs w:val="24"/>
          <w:rtl w:val="0"/>
          <w:lang w:val="en-US"/>
        </w:rPr>
        <w:t>The Wandjina figures of the Kimberley region of northwestern Australia, occurring in rock art with traditions claimed to extend back tens of thousands of years within living cultural memory (Crawford, 1968), depict beings with large oval or rounded heads, white faces without mouths, large eyes, and surrounding halos or suit-like forms.4 The consistency of the depiction across a vast geographic area and the specific formal characteristics - particularly the absence of a mouth and the halo form - have led AAH proponents to identify these as representations of helmeted extraterrestrial visitors. The Maya Popol Vuh references the creation beings arriving from specific star coordinates. The Inca record founding deities arriving from the sky. The Dogon of Mali possess detailed traditional knowledge of the Sirius binary system - including the white dwarf Sirius B, which is invisible to the naked eye - that predates Western scientific confirmation of its existence.</w:t>
      </w:r>
    </w:p>
    <w:p>
      <w:pPr>
        <w:pStyle w:val="Heading 2"/>
        <w:jc w:val="both"/>
        <w:rPr>
          <w:rFonts w:ascii="Verdana" w:cs="Verdana" w:hAnsi="Verdana" w:eastAsia="Verdana"/>
          <w:b w:val="0"/>
          <w:bCs w:val="0"/>
        </w:rPr>
      </w:pPr>
      <w:r>
        <w:rPr>
          <w:rFonts w:ascii="Verdana" w:hAnsi="Verdana"/>
          <w:b w:val="0"/>
          <w:bCs w:val="0"/>
          <w:rtl w:val="0"/>
          <w:lang w:val="en-US"/>
        </w:rPr>
        <w:t>3.2 Architectural and Technological Anomalies</w:t>
      </w:r>
    </w:p>
    <w:p>
      <w:pPr>
        <w:pStyle w:val="Heading 2"/>
        <w:jc w:val="both"/>
        <w:rPr>
          <w:rFonts w:ascii="Verdana" w:cs="Verdana" w:hAnsi="Verdana" w:eastAsia="Verdana"/>
          <w:b w:val="0"/>
          <w:bCs w:val="0"/>
        </w:rPr>
      </w:pPr>
      <w:r>
        <w:rPr>
          <w:rFonts w:ascii="Verdana" w:hAnsi="Verdana"/>
          <w:b w:val="0"/>
          <w:bCs w:val="0"/>
          <w:sz w:val="24"/>
          <w:szCs w:val="24"/>
          <w:rtl w:val="0"/>
          <w:lang w:val="en-US"/>
        </w:rPr>
        <w:t>The second major evidential strand concerns ancient structures whose construction, AAH proponents argue, exceeds what period technology could plausibly achieve.</w:t>
      </w:r>
    </w:p>
    <w:p>
      <w:pPr>
        <w:pStyle w:val="Heading 3"/>
        <w:jc w:val="both"/>
        <w:rPr>
          <w:rFonts w:ascii="Verdana" w:cs="Verdana" w:hAnsi="Verdana" w:eastAsia="Verdana"/>
          <w:b w:val="0"/>
          <w:bCs w:val="0"/>
        </w:rPr>
      </w:pPr>
      <w:r>
        <w:rPr>
          <w:rFonts w:ascii="Verdana" w:hAnsi="Verdana"/>
          <w:b w:val="0"/>
          <w:bCs w:val="0"/>
          <w:rtl w:val="0"/>
          <w:lang w:val="en-US"/>
        </w:rPr>
        <w:t>3.2.1 The Giza Plateau</w:t>
      </w:r>
    </w:p>
    <w:p>
      <w:pPr>
        <w:pStyle w:val="Heading 3"/>
        <w:jc w:val="both"/>
        <w:rPr>
          <w:rFonts w:ascii="Verdana" w:cs="Verdana" w:hAnsi="Verdana" w:eastAsia="Verdana"/>
          <w:b w:val="0"/>
          <w:bCs w:val="0"/>
        </w:rPr>
      </w:pPr>
      <w:r>
        <w:rPr>
          <w:rFonts w:ascii="Verdana" w:hAnsi="Verdana"/>
          <w:b w:val="0"/>
          <w:bCs w:val="0"/>
          <w:sz w:val="24"/>
          <w:szCs w:val="24"/>
          <w:rtl w:val="0"/>
          <w:lang w:val="en-US"/>
        </w:rPr>
        <w:t>The Great Pyramid of Khufu contains an estimated 2.3 million stone blocks, with an average weight of approximately 2.5 tonnes and individual blocks reaching 80 tonnes. The structure was aligned to true north with a precision of 0.05 degrees - an accuracy that remained unsurpassed in architecture until the twentieth century. Internal chambers demonstrate masonry tolerance of fractions of a millimetre. The entire structure was completed, according to Egyptological consensus, within approximately 20 years. AAH proponents argue that the engineering requirements - moving and placing approximately 800 tonnes of stone per day, over 20 years, with sub-degree orientation accuracy and sub-millimetre interior masonry - are inconsistent with a workforce operating without advanced technological assistance.</w:t>
      </w:r>
    </w:p>
    <w:p>
      <w:pPr>
        <w:pStyle w:val="Heading 3"/>
        <w:jc w:val="both"/>
        <w:rPr>
          <w:rFonts w:ascii="Verdana" w:cs="Verdana" w:hAnsi="Verdana" w:eastAsia="Verdana"/>
          <w:b w:val="0"/>
          <w:bCs w:val="0"/>
        </w:rPr>
      </w:pPr>
    </w:p>
    <w:p>
      <w:pPr>
        <w:pStyle w:val="Heading 3"/>
        <w:jc w:val="both"/>
        <w:rPr>
          <w:rFonts w:ascii="Verdana" w:cs="Verdana" w:hAnsi="Verdana" w:eastAsia="Verdana"/>
          <w:b w:val="0"/>
          <w:bCs w:val="0"/>
        </w:rPr>
      </w:pPr>
      <w:r>
        <w:rPr>
          <w:rFonts w:ascii="Verdana" w:hAnsi="Verdana"/>
          <w:b w:val="0"/>
          <w:bCs w:val="0"/>
          <w:rtl w:val="0"/>
          <w:lang w:val="de-DE"/>
        </w:rPr>
        <w:t>3.2.2 Baalbek, Lebanon</w:t>
      </w:r>
    </w:p>
    <w:p>
      <w:pPr>
        <w:pStyle w:val="Heading 3"/>
        <w:jc w:val="both"/>
        <w:rPr>
          <w:rFonts w:ascii="Verdana" w:cs="Verdana" w:hAnsi="Verdana" w:eastAsia="Verdana"/>
          <w:b w:val="0"/>
          <w:bCs w:val="0"/>
        </w:rPr>
      </w:pPr>
      <w:r>
        <w:rPr>
          <w:rFonts w:ascii="Verdana" w:hAnsi="Verdana"/>
          <w:b w:val="0"/>
          <w:bCs w:val="0"/>
          <w:sz w:val="24"/>
          <w:szCs w:val="24"/>
          <w:rtl w:val="0"/>
          <w:lang w:val="en-US"/>
        </w:rPr>
        <w:t>The Roman temple complex at Baalbek in the Beqaa Valley, Lebanon, is built upon a pre-Roman megalithic platform containing the largest worked stones in the ancient world. The 'Trilithon' - three limestone blocks integrated into the western retaining wall - each weighs approximately 800-900 tonnes. A fourth, larger block known as the 'Stone of the Pregnant Woman' remains partially quarried nearby and weighs approximately 1,000 tonnes. The blocks were quarried approximately 800 metres from their current position and raised to a height of approximately 7 metres. No engineering analysis has produced a universally accepted explanation of how this was achieved with period technology. AAH proponents cite Baalbek as among the strongest physical cases for non-human technological assistance.</w:t>
      </w:r>
    </w:p>
    <w:p>
      <w:pPr>
        <w:pStyle w:val="Heading 3"/>
        <w:jc w:val="both"/>
        <w:rPr>
          <w:rFonts w:ascii="Verdana" w:cs="Verdana" w:hAnsi="Verdana" w:eastAsia="Verdana"/>
          <w:b w:val="0"/>
          <w:bCs w:val="0"/>
        </w:rPr>
      </w:pPr>
      <w:r>
        <w:rPr>
          <w:rFonts w:ascii="Verdana" w:hAnsi="Verdana"/>
          <w:b w:val="0"/>
          <w:bCs w:val="0"/>
          <w:rtl w:val="0"/>
          <w:lang w:val="en-US"/>
        </w:rPr>
        <w:t>3.2.3 Sacsayhuaman and Andean Polygonal Masonry</w:t>
      </w:r>
    </w:p>
    <w:p>
      <w:pPr>
        <w:pStyle w:val="Heading 3"/>
        <w:jc w:val="both"/>
        <w:rPr>
          <w:rFonts w:ascii="Verdana" w:cs="Verdana" w:hAnsi="Verdana" w:eastAsia="Verdana"/>
          <w:b w:val="0"/>
          <w:bCs w:val="0"/>
        </w:rPr>
      </w:pPr>
      <w:r>
        <w:rPr>
          <w:rFonts w:ascii="Verdana" w:hAnsi="Verdana"/>
          <w:b w:val="0"/>
          <w:bCs w:val="0"/>
          <w:sz w:val="24"/>
          <w:szCs w:val="24"/>
          <w:rtl w:val="0"/>
          <w:lang w:val="en-US"/>
        </w:rPr>
        <w:t>The fortress walls of Sacsayhuaman near Cusco, Peru, contain polygonal limestone blocks weighing up to 125 tonnes, fitted together without mortar to tolerances measured in millimetres. The polygonal fitting pattern - each block uniquely shaped to interlock with its neighbours - requires either precision measurement equipment or some other method for achieving exact complementary forms across multi-tonne stones. AAH proponents argue that neither available period technology nor any demonstrated experimental methodology accounts satisfactorily for the precision achieved.</w:t>
      </w:r>
    </w:p>
    <w:p>
      <w:pPr>
        <w:pStyle w:val="Heading 3"/>
        <w:jc w:val="both"/>
        <w:rPr>
          <w:rFonts w:ascii="Verdana" w:cs="Verdana" w:hAnsi="Verdana" w:eastAsia="Verdana"/>
          <w:b w:val="0"/>
          <w:bCs w:val="0"/>
        </w:rPr>
      </w:pPr>
      <w:r>
        <w:rPr>
          <w:rFonts w:ascii="Verdana" w:hAnsi="Verdana"/>
          <w:b w:val="0"/>
          <w:bCs w:val="0"/>
          <w:rtl w:val="0"/>
          <w:lang w:val="en-US"/>
        </w:rPr>
        <w:t>3.2.4 The Nazca Lines</w:t>
      </w:r>
    </w:p>
    <w:p>
      <w:pPr>
        <w:pStyle w:val="Heading 3"/>
        <w:jc w:val="both"/>
        <w:rPr>
          <w:rFonts w:ascii="Verdana" w:cs="Verdana" w:hAnsi="Verdana" w:eastAsia="Verdana"/>
          <w:b w:val="0"/>
          <w:bCs w:val="0"/>
        </w:rPr>
      </w:pPr>
      <w:r>
        <w:rPr>
          <w:rFonts w:ascii="Verdana" w:hAnsi="Verdana"/>
          <w:b w:val="0"/>
          <w:bCs w:val="0"/>
          <w:sz w:val="24"/>
          <w:szCs w:val="24"/>
          <w:rtl w:val="0"/>
          <w:lang w:val="en-US"/>
        </w:rPr>
        <w:t>The Nazca Lines of southern Peru comprise hundreds of geometric forms and representational figures - including animals, plants, and humanoid forms - extending across approximately 450 square kilometres of desert plateau. Individual figures span hundreds of metres. The lines maintain consistent widths and straight trajectories across uneven terrain for distances exceeding 10 kilometres. Several of the representational figures are fully coherent only when viewed from altitude, and the plateau offers no natural elevation from which a ground-based supervisor could observe the full composition of the largest figures during their construction. AAH proponents argue that the lines were designed for aerial observation and may have served as landing markers or signals to aerial visitors.</w:t>
      </w:r>
    </w:p>
    <w:p>
      <w:pPr>
        <w:pStyle w:val="Heading 2"/>
        <w:jc w:val="both"/>
        <w:rPr>
          <w:rFonts w:ascii="Verdana" w:cs="Verdana" w:hAnsi="Verdana" w:eastAsia="Verdana"/>
          <w:b w:val="0"/>
          <w:bCs w:val="0"/>
        </w:rPr>
      </w:pPr>
      <w:r>
        <w:rPr>
          <w:rFonts w:ascii="Verdana" w:hAnsi="Verdana"/>
          <w:b w:val="0"/>
          <w:bCs w:val="0"/>
          <w:rtl w:val="0"/>
          <w:lang w:val="en-US"/>
        </w:rPr>
        <w:t>3.3 Knowledge Clustering</w:t>
      </w:r>
    </w:p>
    <w:p>
      <w:pPr>
        <w:pStyle w:val="Heading 2"/>
        <w:jc w:val="both"/>
        <w:rPr>
          <w:rFonts w:ascii="Verdana" w:cs="Verdana" w:hAnsi="Verdana" w:eastAsia="Verdana"/>
          <w:b w:val="0"/>
          <w:bCs w:val="0"/>
        </w:rPr>
      </w:pPr>
      <w:r>
        <w:rPr>
          <w:rFonts w:ascii="Verdana" w:hAnsi="Verdana"/>
          <w:b w:val="0"/>
          <w:bCs w:val="0"/>
          <w:sz w:val="24"/>
          <w:szCs w:val="24"/>
          <w:rtl w:val="0"/>
          <w:lang w:val="en-US"/>
        </w:rPr>
        <w:t>A third category of evidence concerns the compression of fundamental civilisational advances into a narrow temporal window relative to the full span of anatomically modern human existence. Agriculture, monumental architecture, astronomical observation, numerical notation, writing, legal codes, and urban organisation all appear in multiple geographically separated regions within approximately 5,000 years - representing roughly 1.7 percent of the span of anatomically modern human presence on Earth. For approximately 300,000 years, none of these developments occurred. Then, in what is geologically an eyeblink, they appear independently on multiple continents.</w:t>
      </w:r>
    </w:p>
    <w:p>
      <w:pPr>
        <w:pStyle w:val="Heading 2"/>
        <w:jc w:val="both"/>
        <w:rPr>
          <w:rFonts w:ascii="Verdana" w:cs="Verdana" w:hAnsi="Verdana" w:eastAsia="Verdana"/>
          <w:b w:val="0"/>
          <w:bCs w:val="0"/>
        </w:rPr>
      </w:pPr>
      <w:r>
        <w:rPr>
          <w:rFonts w:ascii="Verdana" w:hAnsi="Verdana"/>
          <w:b w:val="0"/>
          <w:bCs w:val="0"/>
          <w:sz w:val="24"/>
          <w:szCs w:val="24"/>
          <w:rtl w:val="0"/>
          <w:lang w:val="en-US"/>
        </w:rPr>
        <w:t>AAH proponents argue that the probability of this compression occurring through independent parallel development is sufficiently low to require a common external catalyst - a civilisational uplift event consistent with sustained knowledge transfer from a technologically advanced external source.</w:t>
      </w:r>
    </w:p>
    <w:p>
      <w:pPr>
        <w:pStyle w:val="Heading 2"/>
        <w:jc w:val="both"/>
        <w:rPr>
          <w:rFonts w:ascii="Verdana" w:cs="Verdana" w:hAnsi="Verdana" w:eastAsia="Verdana"/>
          <w:b w:val="0"/>
          <w:bCs w:val="0"/>
        </w:rPr>
      </w:pPr>
      <w:r>
        <w:rPr>
          <w:rFonts w:ascii="Verdana" w:hAnsi="Verdana"/>
          <w:b w:val="0"/>
          <w:bCs w:val="0"/>
          <w:sz w:val="24"/>
          <w:szCs w:val="24"/>
          <w:rtl w:val="0"/>
          <w:lang w:val="en-US"/>
        </w:rPr>
        <w:t>A related variant of the knowledge clustering argument, advanced by Hancock (2019), does not invoke extraterrestrial agency but instead proposes a lost advanced human civilisation predating the Younger Dryas whose survivors transmitted foundational knowledge to post-Pleistocene populations. While this variant falls outside the strict scope of the AAH, it draws on the same evidential base and the same clustering anomaly, and is addressed in Section 5.5.3.</w:t>
      </w:r>
    </w:p>
    <w:p>
      <w:pPr>
        <w:pStyle w:val="Heading 2"/>
        <w:jc w:val="both"/>
        <w:rPr>
          <w:rFonts w:ascii="Verdana" w:cs="Verdana" w:hAnsi="Verdana" w:eastAsia="Verdana"/>
          <w:b w:val="0"/>
          <w:bCs w:val="0"/>
        </w:rPr>
      </w:pPr>
      <w:r>
        <w:rPr>
          <w:rFonts w:ascii="Verdana" w:hAnsi="Verdana"/>
          <w:b w:val="0"/>
          <w:bCs w:val="0"/>
          <w:rtl w:val="0"/>
          <w:lang w:val="en-US"/>
        </w:rPr>
        <w:t>3.4 Iconographic Figures</w:t>
      </w:r>
    </w:p>
    <w:p>
      <w:pPr>
        <w:pStyle w:val="Heading 2"/>
        <w:jc w:val="both"/>
        <w:rPr>
          <w:rFonts w:ascii="Verdana" w:cs="Verdana" w:hAnsi="Verdana" w:eastAsia="Verdana"/>
          <w:b w:val="0"/>
          <w:bCs w:val="0"/>
        </w:rPr>
      </w:pPr>
      <w:r>
        <w:rPr>
          <w:rFonts w:ascii="Verdana" w:hAnsi="Verdana"/>
          <w:b w:val="0"/>
          <w:bCs w:val="0"/>
          <w:sz w:val="24"/>
          <w:szCs w:val="24"/>
          <w:rtl w:val="0"/>
          <w:lang w:val="en-US"/>
        </w:rPr>
        <w:t>Beyond the Wandjina tradition, AAH proponents identify a global pattern of ancient figurative art depicting beings whose formal characteristics - large heads, large eyes, elongated bodies, suit-like or armoured forms, halos or helmet forms - they interpret as representations of beings in pressure suits or space equipment. Examples cited include the 'astronaut' figure on the sarcophagus lid of Pakal at Palenque, Mexico; Dogon Nommo figurines; certain Jomon pottery figures from Japan; and multiple Tassili n'Ajjer rock art figures from Algeria.</w:t>
      </w:r>
    </w:p>
    <w:p>
      <w:pPr>
        <w:pStyle w:val="Heading 2"/>
        <w:jc w:val="both"/>
        <w:rPr>
          <w:rFonts w:ascii="Verdana" w:cs="Verdana" w:hAnsi="Verdana" w:eastAsia="Verdana"/>
          <w:b w:val="0"/>
          <w:bCs w:val="0"/>
        </w:rPr>
      </w:pPr>
      <w:r>
        <w:rPr>
          <w:rFonts w:ascii="Verdana" w:hAnsi="Verdana"/>
          <w:b w:val="0"/>
          <w:bCs w:val="0"/>
          <w:rtl w:val="0"/>
          <w:lang w:val="it-IT"/>
        </w:rPr>
        <w:t>3.5 Genetic Anomalies</w:t>
      </w:r>
    </w:p>
    <w:p>
      <w:pPr>
        <w:pStyle w:val="Heading 2"/>
        <w:jc w:val="both"/>
        <w:rPr>
          <w:rFonts w:ascii="Verdana" w:cs="Verdana" w:hAnsi="Verdana" w:eastAsia="Verdana"/>
          <w:b w:val="0"/>
          <w:bCs w:val="0"/>
        </w:rPr>
      </w:pPr>
      <w:r>
        <w:rPr>
          <w:rFonts w:ascii="Verdana" w:hAnsi="Verdana"/>
          <w:b w:val="0"/>
          <w:bCs w:val="0"/>
          <w:sz w:val="24"/>
          <w:szCs w:val="24"/>
          <w:rtl w:val="0"/>
          <w:lang w:val="en-US"/>
        </w:rPr>
        <w:t>The Rh negative blood type, characterised by the absence of the RhD antigen on red blood cell surfaces, is distributed unevenly across the global human population in ways that AAH proponents argue are inconsistent with standard evolutionary processes. Rh negative individuals cannot safely receive Rh positive blood transfusions, and Rh negative mothers carrying Rh positive foetuses risk haemolytic disease of the newborn. These incompatibilities, proponents argue, represent an anomaly that natural selection should have eliminated unless the Rh negative trait was introduced into the human population from an exogenous source.</w:t>
      </w:r>
    </w:p>
    <w:p>
      <w:pPr>
        <w:pStyle w:val="Heading 2"/>
        <w:jc w:val="both"/>
        <w:rPr>
          <w:rFonts w:ascii="Verdana" w:cs="Verdana" w:hAnsi="Verdana" w:eastAsia="Verdana"/>
          <w:b w:val="0"/>
          <w:bCs w:val="0"/>
        </w:rPr>
      </w:pPr>
      <w:r>
        <w:rPr>
          <w:rFonts w:ascii="Verdana" w:hAnsi="Verdana"/>
          <w:b w:val="0"/>
          <w:bCs w:val="0"/>
          <w:sz w:val="24"/>
          <w:szCs w:val="24"/>
          <w:rtl w:val="0"/>
          <w:lang w:val="en-US"/>
        </w:rPr>
        <w:t>Some proponents extend this to broader claims about the rapidity of cognitive and anatomical evolution in the hominin line, arguing that the transition to anatomically modern cognition was faster than standard evolutionary mechanisms predict, and consistent with deliberate genetic modification.</w:t>
      </w: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sz w:val="22"/>
          <w:szCs w:val="22"/>
          <w:rtl w:val="0"/>
          <w:lang w:val="en-US"/>
        </w:rPr>
        <w:t>Table 1. Summary Matrix of AAH Evidential Claims Against DSSM Explanations</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00"/>
        <w:gridCol w:w="2200"/>
        <w:gridCol w:w="2500"/>
        <w:gridCol w:w="2326"/>
      </w:tblGrid>
      <w:tr>
        <w:tblPrEx>
          <w:shd w:val="clear" w:color="auto" w:fill="4f81bd"/>
        </w:tblPrEx>
        <w:trPr>
          <w:trHeight w:val="529" w:hRule="atLeast"/>
          <w:tblHeader/>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en-US"/>
              </w:rPr>
              <w:t>AAH Claim</w:t>
            </w:r>
          </w:p>
        </w:tc>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en-US"/>
              </w:rPr>
              <w:t>AAH Interpretation</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en-US"/>
              </w:rPr>
              <w:t>DSSM / Scientific Explanation</w:t>
            </w:r>
          </w:p>
        </w:tc>
        <w:tc>
          <w:tcPr>
            <w:tcW w:type="dxa" w:w="2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nl-NL"/>
              </w:rPr>
              <w:t>Status</w:t>
            </w:r>
          </w:p>
        </w:tc>
      </w:tr>
      <w:tr>
        <w:tblPrEx>
          <w:shd w:val="clear" w:color="auto" w:fill="ced7e7"/>
        </w:tblPrEx>
        <w:trPr>
          <w:trHeight w:val="2958"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4"/>
                <w:szCs w:val="24"/>
                <w:u w:color="000000"/>
                <w:shd w:val="nil" w:color="auto" w:fill="auto"/>
                <w:rtl w:val="0"/>
                <w:lang w:val="en-US"/>
              </w:rPr>
              <w:t>Cross-cultural sky beings</w:t>
            </w:r>
          </w:p>
        </w:tc>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Common external referent - alien visitation shared by multiple populations</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Convergent cognition: identical cognitive architecture + identical astronomical environment produces similar symbolic outputs independently</w:t>
            </w:r>
          </w:p>
        </w:tc>
        <w:tc>
          <w:tcPr>
            <w:tcW w:type="dxa" w:w="2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DSSM explains without residue</w:t>
            </w:r>
          </w:p>
        </w:tc>
      </w:tr>
      <w:tr>
        <w:tblPrEx>
          <w:shd w:val="clear" w:color="auto" w:fill="ced7e7"/>
        </w:tblPrEx>
        <w:trPr>
          <w:trHeight w:val="3626"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4"/>
                <w:szCs w:val="24"/>
                <w:u w:color="000000"/>
                <w:shd w:val="nil" w:color="auto" w:fill="auto"/>
                <w:rtl w:val="0"/>
                <w:lang w:val="en-US"/>
              </w:rPr>
              <w:t>Architectural complexity (pyramids, Sacsayhuaman, Baalbek)</w:t>
            </w:r>
          </w:p>
        </w:tc>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Period technology insufficient; external technical assistance required</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Stage 3-4 accumulated technological substrate; experimental replications successful; Egyptian construction sequence visible in the archaeological record</w:t>
            </w:r>
          </w:p>
        </w:tc>
        <w:tc>
          <w:tcPr>
            <w:tcW w:type="dxa" w:w="2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DSSM explains without residue</w:t>
            </w:r>
          </w:p>
        </w:tc>
      </w:tr>
      <w:tr>
        <w:tblPrEx>
          <w:shd w:val="clear" w:color="auto" w:fill="ced7e7"/>
        </w:tblPrEx>
        <w:trPr>
          <w:trHeight w:val="2958"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4"/>
                <w:szCs w:val="24"/>
                <w:u w:color="000000"/>
                <w:shd w:val="nil" w:color="auto" w:fill="auto"/>
                <w:rtl w:val="0"/>
                <w:lang w:val="en-US"/>
              </w:rPr>
              <w:t>Nazca lines visible only from altitude</w:t>
            </w:r>
          </w:p>
        </w:tc>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Designed as landing markers or signals for aerial visitors</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Grid geometry achievable with wooden stakes; lines also function as processional routes and astronomical alignments; altitude reading is modern projection</w:t>
            </w:r>
          </w:p>
        </w:tc>
        <w:tc>
          <w:tcPr>
            <w:tcW w:type="dxa" w:w="2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DSSM explains without residue</w:t>
            </w:r>
          </w:p>
        </w:tc>
      </w:tr>
      <w:tr>
        <w:tblPrEx>
          <w:shd w:val="clear" w:color="auto" w:fill="ced7e7"/>
        </w:tblPrEx>
        <w:trPr>
          <w:trHeight w:val="2958"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4"/>
                <w:szCs w:val="24"/>
                <w:u w:color="000000"/>
                <w:shd w:val="nil" w:color="auto" w:fill="auto"/>
                <w:rtl w:val="0"/>
                <w:lang w:val="en-US"/>
              </w:rPr>
              <w:t>Knowledge clustering (agriculture, writing, monumental architecture) in narrow temporal window</w:t>
            </w:r>
          </w:p>
        </w:tc>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Common external catalyst - simultaneous knowledge transfer from alien source</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Post-Younger Dryas climate stabilisation released multiple populations simultaneously; population density thresholds reached concurrently across regions</w:t>
            </w:r>
          </w:p>
        </w:tc>
        <w:tc>
          <w:tcPr>
            <w:tcW w:type="dxa" w:w="2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DSSM explains without residue</w:t>
            </w:r>
          </w:p>
        </w:tc>
      </w:tr>
      <w:tr>
        <w:tblPrEx>
          <w:shd w:val="clear" w:color="auto" w:fill="ced7e7"/>
        </w:tblPrEx>
        <w:trPr>
          <w:trHeight w:val="2958"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4"/>
                <w:szCs w:val="24"/>
                <w:u w:color="000000"/>
                <w:shd w:val="nil" w:color="auto" w:fill="auto"/>
                <w:rtl w:val="0"/>
                <w:lang w:val="en-US"/>
              </w:rPr>
              <w:t>Wandjina and similar iconographic figures (large heads, suit-like forms)</w:t>
            </w:r>
          </w:p>
        </w:tc>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Representations of extraterrestrial visitors in pressure suits</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Ritual costuming and headdress traditions archaeologically attested in same contexts; ochre symbolic use predates figures by tens of thousands of years</w:t>
            </w:r>
          </w:p>
        </w:tc>
        <w:tc>
          <w:tcPr>
            <w:tcW w:type="dxa" w:w="2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DSSM explains without residue</w:t>
            </w:r>
          </w:p>
        </w:tc>
      </w:tr>
      <w:tr>
        <w:tblPrEx>
          <w:shd w:val="clear" w:color="auto" w:fill="ced7e7"/>
        </w:tblPrEx>
        <w:trPr>
          <w:trHeight w:val="2958"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4"/>
                <w:szCs w:val="24"/>
                <w:u w:color="000000"/>
                <w:shd w:val="nil" w:color="auto" w:fill="auto"/>
                <w:rtl w:val="0"/>
                <w:lang w:val="en-US"/>
              </w:rPr>
              <w:t>Rh negative blood type anomaly</w:t>
            </w:r>
          </w:p>
        </w:tc>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Exogenous genetic insertion incompatible with standard human evolutionary lineage</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Standard founder effect and genetic drift in small isolated populations; Basque high frequency reflects Mesolithic genetic isolate; RhD negative is gene deletion, not insertion</w:t>
            </w:r>
          </w:p>
        </w:tc>
        <w:tc>
          <w:tcPr>
            <w:tcW w:type="dxa" w:w="2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Population genetics explains without residue</w:t>
            </w:r>
          </w:p>
        </w:tc>
      </w:tr>
      <w:tr>
        <w:tblPrEx>
          <w:shd w:val="clear" w:color="auto" w:fill="ced7e7"/>
        </w:tblPrEx>
        <w:trPr>
          <w:trHeight w:val="2958"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4"/>
                <w:szCs w:val="24"/>
                <w:u w:color="000000"/>
                <w:shd w:val="nil" w:color="auto" w:fill="auto"/>
                <w:rtl w:val="0"/>
                <w:lang w:val="en-US"/>
              </w:rPr>
              <w:t>Ancient DNA and rapid cognitive evolution</w:t>
            </w:r>
          </w:p>
        </w:tc>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Abrupt cranial and cognitive changes consistent with deliberate genetic modification</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Known archaic admixture events (Neanderthal, Denisovan); gradual mosaic evolution over 300,000+ years; ancient DNA record continuous and fully terrestrial</w:t>
            </w:r>
          </w:p>
        </w:tc>
        <w:tc>
          <w:tcPr>
            <w:tcW w:type="dxa" w:w="2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Palaeogenomics explains without residue</w:t>
            </w:r>
          </w:p>
        </w:tc>
      </w:tr>
      <w:tr>
        <w:tblPrEx>
          <w:shd w:val="clear" w:color="auto" w:fill="ced7e7"/>
        </w:tblPrEx>
        <w:trPr>
          <w:trHeight w:val="2958"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4"/>
                <w:szCs w:val="24"/>
                <w:u w:color="000000"/>
                <w:shd w:val="nil" w:color="auto" w:fill="auto"/>
                <w:rtl w:val="0"/>
                <w:lang w:val="en-US"/>
              </w:rPr>
              <w:t>Specific star system references in mythology (Pleiades, Sirius, Orion)</w:t>
            </w:r>
          </w:p>
        </w:tc>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Transmitted knowledge of alien origin point from visiting civilisation</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Each culture nominates most behaviourally salient astronomical body in their specific sky and latitude; Pleiades heliacal rising is universal agricultural calendar marker</w:t>
            </w:r>
          </w:p>
        </w:tc>
        <w:tc>
          <w:tcPr>
            <w:tcW w:type="dxa" w:w="2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4"/>
                <w:szCs w:val="24"/>
                <w:u w:color="000000"/>
                <w:shd w:val="nil" w:color="auto" w:fill="auto"/>
                <w:rtl w:val="0"/>
                <w:lang w:val="en-US"/>
              </w:rPr>
              <w:t>Archaeoastronomy explains without residue</w:t>
            </w:r>
          </w:p>
        </w:tc>
      </w:tr>
    </w:tbl>
    <w:p>
      <w:pPr>
        <w:pStyle w:val="Heading 2"/>
        <w:widowControl w:val="0"/>
        <w:jc w:val="both"/>
        <w:rPr>
          <w:rFonts w:ascii="Verdana" w:cs="Verdana" w:hAnsi="Verdana" w:eastAsia="Verdana"/>
          <w:b w:val="0"/>
          <w:bCs w:val="0"/>
        </w:rPr>
      </w:pPr>
    </w:p>
    <w:p>
      <w:pPr>
        <w:pStyle w:val="Heading 2"/>
        <w:widowControl w:val="0"/>
        <w:jc w:val="both"/>
      </w:pPr>
      <w:r>
        <w:rPr>
          <w:rFonts w:ascii="Arial Unicode MS" w:cs="Arial Unicode MS" w:hAnsi="Arial Unicode MS" w:eastAsia="Arial Unicode MS"/>
          <w:b w:val="0"/>
          <w:bCs w:val="0"/>
          <w:i w:val="0"/>
          <w:iCs w:val="0"/>
        </w:rPr>
        <w:br w:type="page"/>
      </w:r>
    </w:p>
    <w:p>
      <w:pPr>
        <w:pStyle w:val="Heading"/>
        <w:jc w:val="both"/>
        <w:rPr>
          <w:rFonts w:ascii="Verdana" w:cs="Verdana" w:hAnsi="Verdana" w:eastAsia="Verdana"/>
          <w:b w:val="0"/>
          <w:bCs w:val="0"/>
        </w:rPr>
      </w:pPr>
      <w:r>
        <w:rPr>
          <w:rFonts w:ascii="Verdana" w:hAnsi="Verdana"/>
          <w:b w:val="0"/>
          <w:bCs w:val="0"/>
          <w:rtl w:val="0"/>
          <w:lang w:val="en-US"/>
        </w:rPr>
        <w:t>4. Why the Hypothesis Does Not Hold: Systematic Analysis</w:t>
      </w:r>
    </w:p>
    <w:p>
      <w:pPr>
        <w:pStyle w:val="Heading"/>
        <w:jc w:val="both"/>
        <w:rPr>
          <w:rFonts w:ascii="Verdana" w:cs="Verdana" w:hAnsi="Verdana" w:eastAsia="Verdana"/>
          <w:b w:val="0"/>
          <w:bCs w:val="0"/>
        </w:rPr>
      </w:pPr>
      <w:r>
        <w:rPr>
          <w:rFonts w:ascii="Verdana" w:hAnsi="Verdana"/>
          <w:b w:val="0"/>
          <w:bCs w:val="0"/>
          <w:sz w:val="24"/>
          <w:szCs w:val="24"/>
          <w:rtl w:val="0"/>
          <w:lang w:val="en-US"/>
        </w:rPr>
        <w:t>The preceding section gave the AAH its best case. What follows does not dismiss that case - it takes it seriously enough to dismantle it properly. The analysis is structured as a sequence of independent arguments, each capable of standing alone; together they are comprehensive. The goal in each subsection is the same: show not merely that the AAH is wrong, but that a better explanation is available and has been available all along.</w:t>
      </w:r>
    </w:p>
    <w:p>
      <w:pPr>
        <w:pStyle w:val="Heading 2"/>
        <w:jc w:val="both"/>
        <w:rPr>
          <w:rFonts w:ascii="Verdana" w:cs="Verdana" w:hAnsi="Verdana" w:eastAsia="Verdana"/>
          <w:b w:val="0"/>
          <w:bCs w:val="0"/>
        </w:rPr>
      </w:pPr>
      <w:r>
        <w:rPr>
          <w:rFonts w:ascii="Verdana" w:hAnsi="Verdana"/>
          <w:b w:val="0"/>
          <w:bCs w:val="0"/>
          <w:rtl w:val="0"/>
          <w:lang w:val="en-US"/>
        </w:rPr>
        <w:t>4.1 Convergent Cognition, Not Convergent Contact</w:t>
      </w:r>
    </w:p>
    <w:p>
      <w:pPr>
        <w:pStyle w:val="Heading 2"/>
        <w:jc w:val="both"/>
        <w:rPr>
          <w:rFonts w:ascii="Verdana" w:cs="Verdana" w:hAnsi="Verdana" w:eastAsia="Verdana"/>
          <w:b w:val="0"/>
          <w:bCs w:val="0"/>
        </w:rPr>
      </w:pPr>
      <w:r>
        <w:rPr>
          <w:rFonts w:ascii="Verdana" w:hAnsi="Verdana"/>
          <w:b w:val="0"/>
          <w:bCs w:val="0"/>
          <w:sz w:val="24"/>
          <w:szCs w:val="24"/>
          <w:rtl w:val="0"/>
          <w:lang w:val="en-US"/>
        </w:rPr>
        <w:t>The cross-cultural mythological convergence argument assumes that similarity of narrative content requires similarity of causal origin. This assumption has been extensively examined in cognitive anthropology and found to be false.</w:t>
      </w:r>
    </w:p>
    <w:p>
      <w:pPr>
        <w:pStyle w:val="Heading 2"/>
        <w:jc w:val="both"/>
        <w:rPr>
          <w:rFonts w:ascii="Verdana" w:cs="Verdana" w:hAnsi="Verdana" w:eastAsia="Verdana"/>
          <w:b w:val="0"/>
          <w:bCs w:val="0"/>
        </w:rPr>
      </w:pPr>
      <w:r>
        <w:rPr>
          <w:rFonts w:ascii="Verdana" w:hAnsi="Verdana"/>
          <w:b w:val="0"/>
          <w:bCs w:val="0"/>
          <w:sz w:val="24"/>
          <w:szCs w:val="24"/>
          <w:rtl w:val="0"/>
          <w:lang w:val="en-US"/>
        </w:rPr>
        <w:t>The human cognitive architecture - working memory capacity, pattern recognition, causal inference, agency detection, narrative construction, and categorisation - is uniform across all modern populations and has been uniform for at least 300,000 years (Hublin et al., 2017; Shea, 2011). When populations sharing identical cognitive hardware face identical environmental pressures, they produce similar outputs. This is not a hypothesis requiring test; it is a documented phenomenon termed convergent cognition, with an extensive empirical literature.</w:t>
      </w:r>
    </w:p>
    <w:p>
      <w:pPr>
        <w:pStyle w:val="Heading 2"/>
        <w:jc w:val="both"/>
        <w:rPr>
          <w:rFonts w:ascii="Verdana" w:cs="Verdana" w:hAnsi="Verdana" w:eastAsia="Verdana"/>
          <w:b w:val="0"/>
          <w:bCs w:val="0"/>
        </w:rPr>
      </w:pPr>
      <w:r>
        <w:rPr>
          <w:rFonts w:ascii="Verdana" w:hAnsi="Verdana"/>
          <w:b w:val="0"/>
          <w:bCs w:val="0"/>
          <w:sz w:val="24"/>
          <w:szCs w:val="24"/>
          <w:rtl w:val="0"/>
          <w:lang w:val="en-US"/>
        </w:rPr>
        <w:t>The sky is the most universally shared human environment. Every population on Earth has looked at the same sky, faced the same existential imperatives to explain its phenomena, and possessed the same cognitive architecture for constructing explanatory narratives. The recurrence of sky-being narratives across cultures is therefore predicted by cognitive uniformity and shared environmental stimulus - it requires no common external referent.</w:t>
      </w:r>
    </w:p>
    <w:p>
      <w:pPr>
        <w:pStyle w:val="Heading 2"/>
        <w:jc w:val="both"/>
        <w:rPr>
          <w:rFonts w:ascii="Verdana" w:cs="Verdana" w:hAnsi="Verdana" w:eastAsia="Verdana"/>
          <w:b w:val="0"/>
          <w:bCs w:val="0"/>
        </w:rPr>
      </w:pPr>
      <w:r>
        <w:rPr>
          <w:rFonts w:ascii="Verdana" w:hAnsi="Verdana"/>
          <w:b w:val="0"/>
          <w:bCs w:val="0"/>
          <w:sz w:val="24"/>
          <w:szCs w:val="24"/>
          <w:rtl w:val="0"/>
          <w:lang w:val="en-US"/>
        </w:rPr>
        <w:t>The internal contradictions within the AAH's own mythological evidence are decisive. If a real extraterrestrial presence made contact with multiple human populations and communicated its origin, those populations should converge on a single point of origin with high specificity. What the evidence shows is each culture nominating a different star system - and specifically the star system most behaviourally relevant to their own astronomical environment. The Pleiades' near-universal appearance in agricultural mythology reflects not alien origin but the fact that the Pleiades' heliacal rising is the most reliable astronomical calendar signal visible from both hemispheres, governing planting seasons independently across dozens of traditions (Aveni, 2001, pp. 27-35). The Dogon's detailed knowledge of Sirius reflects not alien instruction but the fact that Sirius is the most prominent star in the Sahelian sky, governing the Dogon agricultural and ritual calendar. Each culture's 'alien origin star' is that culture's most practically important star. The pattern is one of astronomical utility, not contact transmission.</w:t>
      </w:r>
    </w:p>
    <w:p>
      <w:pPr>
        <w:pStyle w:val="Heading 2"/>
        <w:jc w:val="both"/>
        <w:rPr>
          <w:rFonts w:ascii="Verdana" w:cs="Verdana" w:hAnsi="Verdana" w:eastAsia="Verdana"/>
          <w:b w:val="0"/>
          <w:bCs w:val="0"/>
        </w:rPr>
      </w:pPr>
      <w:r>
        <w:rPr>
          <w:rFonts w:ascii="Verdana" w:hAnsi="Verdana"/>
          <w:b w:val="0"/>
          <w:bCs w:val="0"/>
          <w:sz w:val="24"/>
          <w:szCs w:val="24"/>
          <w:rtl w:val="0"/>
          <w:lang w:val="en-US"/>
        </w:rPr>
        <w:t>The Dogon case merits specific attention given its prominence in AAH literature. The claim that the Dogon possessed knowledge of Sirius B before Western scientific confirmation rests almost entirely on the fieldwork of Marcel Griaule, published in 1950 (Griaule, 1965). Subsequent anthropologists - most extensively Walter van Beek, who conducted extended fieldwork with the Dogon from 1991 - found that most Dogon had no knowledge of Sirius B, and that those who did appeared to have acquired it from outside contact (van Beek, 1991). Griaule's collaborator Germaine Dieterlen challenged van Beek's methodology on the grounds that the relevant knowledge is restricted to initiated elders and therefore unavailable to general fieldwork enquiry (Dieterlen, 1991). The dispute has not been resolved to the satisfaction of all parties. What is established is that the evidential basis for the Dogon case is substantially weaker than its prominence in AAH literature suggests: the claim rests on a single fieldwork tradition whose methodology has been contested within the discipline.</w:t>
      </w: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sz w:val="22"/>
          <w:szCs w:val="22"/>
          <w:rtl w:val="0"/>
          <w:lang w:val="en-US"/>
        </w:rPr>
        <w:t>Table 2. Cross-Cultural Sky Mythology: Astronomical Stimulus Analysis</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00"/>
        <w:gridCol w:w="1500"/>
        <w:gridCol w:w="2000"/>
        <w:gridCol w:w="2000"/>
        <w:gridCol w:w="2026"/>
      </w:tblGrid>
      <w:tr>
        <w:tblPrEx>
          <w:shd w:val="clear" w:color="auto" w:fill="4f81bd"/>
        </w:tblPrEx>
        <w:trPr>
          <w:trHeight w:val="816" w:hRule="atLeast"/>
          <w:tblHeader/>
        </w:trPr>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it-IT"/>
              </w:rPr>
              <w:t>Culture / Period</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de-DE"/>
              </w:rPr>
              <w:t>Sky Beings</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en-US"/>
              </w:rPr>
              <w:t>Vehicle Description</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rPr>
              <w:t>Dominant Astronomical Stimulus</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en-US"/>
              </w:rPr>
              <w:t>DSSM Stage at Time of Record</w:t>
            </w:r>
          </w:p>
        </w:tc>
      </w:tr>
      <w:tr>
        <w:tblPrEx>
          <w:shd w:val="clear" w:color="auto" w:fill="ced7e7"/>
        </w:tblPrEx>
        <w:trPr>
          <w:trHeight w:val="2249" w:hRule="atLeast"/>
        </w:trPr>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pt-PT"/>
              </w:rPr>
              <w:t>Mesopotamia (c.3500 BCE)</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rPr>
              <w:t>Anunnaki</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Gleaming descending vessel; roaring</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Venus and Jupiter as dominant planetary bodies; Sumerian astronomical tradition among most developed of period</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da-DK"/>
              </w:rPr>
              <w:t>Stage 4</w:t>
            </w:r>
          </w:p>
        </w:tc>
      </w:tr>
      <w:tr>
        <w:tblPrEx>
          <w:shd w:val="clear" w:color="auto" w:fill="ced7e7"/>
        </w:tblPrEx>
        <w:trPr>
          <w:trHeight w:val="1676" w:hRule="atLeast"/>
        </w:trPr>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fr-FR"/>
              </w:rPr>
              <w:t>Egypt (c.3100 BCE)</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Duat beings; Benben</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Star shafts as transit routes</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Orion, Sirius dominant in Nile Valley sky; heliacal rising of Sirius marks annual flood</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da-DK"/>
              </w:rPr>
              <w:t>Stage 4</w:t>
            </w:r>
          </w:p>
        </w:tc>
      </w:tr>
      <w:tr>
        <w:tblPrEx>
          <w:shd w:val="clear" w:color="auto" w:fill="ced7e7"/>
        </w:tblPrEx>
        <w:trPr>
          <w:trHeight w:val="1389" w:hRule="atLeast"/>
        </w:trPr>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pt-PT"/>
              </w:rPr>
              <w:t>India, Vedic (c.1500 BCE)</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it-IT"/>
              </w:rPr>
              <w:t>Devas in Vimanas</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Self-propelled altitude-adjustable vehicle</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Pleiades (Krittika) governs Vedic agricultural calendar as first nakshatra</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da-DK"/>
              </w:rPr>
              <w:t>Stage 3-4</w:t>
            </w:r>
          </w:p>
        </w:tc>
      </w:tr>
      <w:tr>
        <w:tblPrEx>
          <w:shd w:val="clear" w:color="auto" w:fill="ced7e7"/>
        </w:tblPrEx>
        <w:trPr>
          <w:trHeight w:val="2535" w:hRule="atLeast"/>
        </w:trPr>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pt-PT"/>
              </w:rPr>
              <w:t>Mesoamerica, Maya (c.300 BCE)</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Creation beings from sky</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Pleiades-aligned arrival coordinates</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Pleiades heliacal rising signals maize planting; Mesoamerican astronomical observation among most precise in ancient world</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da-DK"/>
              </w:rPr>
              <w:t>Stage 3-4</w:t>
            </w:r>
          </w:p>
        </w:tc>
      </w:tr>
      <w:tr>
        <w:tblPrEx>
          <w:shd w:val="clear" w:color="auto" w:fill="ced7e7"/>
        </w:tblPrEx>
        <w:trPr>
          <w:trHeight w:val="1962" w:hRule="atLeast"/>
        </w:trPr>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Aboriginal Australia (varies by tradition)</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pt-PT"/>
              </w:rPr>
              <w:t>Wandjina; Pleiades ancestors</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Descent from sky; Pleiades origin point</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Pleiades visible from southern hemisphere; governs wet season onset in northwestern Australia</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da-DK"/>
              </w:rPr>
              <w:t>Stage 2-3</w:t>
            </w:r>
          </w:p>
        </w:tc>
      </w:tr>
      <w:tr>
        <w:tblPrEx>
          <w:shd w:val="clear" w:color="auto" w:fill="ced7e7"/>
        </w:tblPrEx>
        <w:trPr>
          <w:trHeight w:val="1676" w:hRule="atLeast"/>
        </w:trPr>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it-IT"/>
              </w:rPr>
              <w:t>Dogon, Mali (oral tradition)</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Nommo beings from Sirius</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Ark-like vessel</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Sirius is brightest star in the Sahelian sky; governs Dogon agricultural and ritual calendar</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da-DK"/>
              </w:rPr>
              <w:t>Stage 2-3</w:t>
            </w:r>
          </w:p>
        </w:tc>
      </w:tr>
      <w:tr>
        <w:tblPrEx>
          <w:shd w:val="clear" w:color="auto" w:fill="ced7e7"/>
        </w:tblPrEx>
        <w:trPr>
          <w:trHeight w:val="1962" w:hRule="atLeast"/>
        </w:trPr>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it-IT"/>
              </w:rPr>
              <w:t>Inca (pre-1532)</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Founding gods from sky via sun</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Solar vehicle</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Sun's zenith passage governs Andean agricultural calendar; Pleiades (Collca) marks potato planting</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da-DK"/>
              </w:rPr>
              <w:t>Stage 3-4</w:t>
            </w:r>
          </w:p>
        </w:tc>
      </w:tr>
      <w:tr>
        <w:tblPrEx>
          <w:shd w:val="clear" w:color="auto" w:fill="ced7e7"/>
        </w:tblPrEx>
        <w:trPr>
          <w:trHeight w:val="1962" w:hRule="atLeast"/>
        </w:trPr>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fr-FR"/>
              </w:rPr>
              <w:t>Hebrew (c.600 BCE text)</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Nephilim; Ezekiel's living creatures</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Wheels within wheels; crystalline firmament</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Mesopotamian astronomical tradition absorbed during Babylonian exile; Ezekiel dated to exile period</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da-DK"/>
              </w:rPr>
              <w:t>Stage 3-4</w:t>
            </w:r>
          </w:p>
        </w:tc>
      </w:tr>
    </w:tbl>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rtl w:val="0"/>
          <w:lang w:val="en-US"/>
        </w:rPr>
        <w:t>4.2 The Material Record Is Clean</w:t>
      </w:r>
    </w:p>
    <w:p>
      <w:pPr>
        <w:pStyle w:val="Heading 2"/>
        <w:jc w:val="both"/>
        <w:rPr>
          <w:rFonts w:ascii="Verdana" w:cs="Verdana" w:hAnsi="Verdana" w:eastAsia="Verdana"/>
          <w:b w:val="0"/>
          <w:bCs w:val="0"/>
        </w:rPr>
      </w:pPr>
      <w:r>
        <w:rPr>
          <w:rFonts w:ascii="Verdana" w:hAnsi="Verdana"/>
          <w:b w:val="0"/>
          <w:bCs w:val="0"/>
          <w:sz w:val="24"/>
          <w:szCs w:val="24"/>
          <w:rtl w:val="0"/>
          <w:lang w:val="en-US"/>
        </w:rPr>
        <w:t>The AAH predicts physical evidence. A technologically advanced civilisation interacting with early humans over centuries or millennia - building, teaching, demonstrating - would leave material traces. The global archaeological record does not contain them.</w:t>
      </w:r>
    </w:p>
    <w:p>
      <w:pPr>
        <w:pStyle w:val="Heading 2"/>
        <w:jc w:val="both"/>
        <w:rPr>
          <w:rFonts w:ascii="Verdana" w:cs="Verdana" w:hAnsi="Verdana" w:eastAsia="Verdana"/>
          <w:b w:val="0"/>
          <w:bCs w:val="0"/>
        </w:rPr>
      </w:pPr>
      <w:r>
        <w:rPr>
          <w:rFonts w:ascii="Verdana" w:hAnsi="Verdana"/>
          <w:b w:val="0"/>
          <w:bCs w:val="0"/>
          <w:sz w:val="24"/>
          <w:szCs w:val="24"/>
          <w:rtl w:val="0"/>
          <w:lang w:val="en-US"/>
        </w:rPr>
        <w:t>Two centuries of systematic global archaeology have produced an extraordinarily dense material record. Every artefact in that record traces to known terrestrial sources. No anomalous alloys have been identified with isotope ratios inconsistent with Earth's crustal composition. No materials have been recovered requiring manufacturing processes beyond demonstrated period capabilities. No artefacts have been found that, under rigorous scientific analysis, require a non-terrestrial explanation.</w:t>
      </w:r>
    </w:p>
    <w:p>
      <w:pPr>
        <w:pStyle w:val="Heading 2"/>
        <w:jc w:val="both"/>
        <w:rPr>
          <w:rFonts w:ascii="Verdana" w:cs="Verdana" w:hAnsi="Verdana" w:eastAsia="Verdana"/>
          <w:b w:val="0"/>
          <w:bCs w:val="0"/>
        </w:rPr>
      </w:pPr>
      <w:r>
        <w:rPr>
          <w:rFonts w:ascii="Verdana" w:hAnsi="Verdana"/>
          <w:b w:val="0"/>
          <w:bCs w:val="0"/>
          <w:sz w:val="24"/>
          <w:szCs w:val="24"/>
          <w:rtl w:val="0"/>
          <w:lang w:val="en-US"/>
        </w:rPr>
        <w:t>Ancient DNA analysis extends this into the genome. Sequencing of ancient human DNA now extends beyond 400,000 years and traces an entirely continuous, internally consistent, and wholly terrestrial evolutionary lineage through archaic Homo sapiens (including the grade conventionally designated Homo heidelbergensis, a taxon whose boundaries remain under ongoing taxonomic review), Neanderthal, Denisovan, and anatomically modern Homo sapiens (Reich, 2018, pp. 1-18). Admixture events are documented and map to known hominin populations. There is no anomalous genetic insertion. No sequence that does not map to the established phylogeny. The tools now exist to detect deliberate genetic modification if it had occurred. Those tools have found nothing of the kind.</w:t>
      </w:r>
    </w:p>
    <w:p>
      <w:pPr>
        <w:pStyle w:val="Heading 2"/>
        <w:jc w:val="both"/>
        <w:rPr>
          <w:rFonts w:ascii="Verdana" w:cs="Verdana" w:hAnsi="Verdana" w:eastAsia="Verdana"/>
          <w:b w:val="0"/>
          <w:bCs w:val="0"/>
        </w:rPr>
      </w:pPr>
      <w:r>
        <w:rPr>
          <w:rFonts w:ascii="Verdana" w:hAnsi="Verdana"/>
          <w:b w:val="0"/>
          <w:bCs w:val="0"/>
          <w:sz w:val="24"/>
          <w:szCs w:val="24"/>
          <w:rtl w:val="0"/>
          <w:lang w:val="en-US"/>
        </w:rPr>
        <w:t>The Sentinelese analogy, examined in detail in Section 4.5, provides an additional material prediction test. The Sentinelese salvage iron from shipwrecks and repurpose it as arrowheads - they incorporate foreign materials into existing technological frameworks when passively encountered. If alien civilisations had been present and operational in early human environments, the archaeological record should contain analogous evidence: period artefacts incorporating anomalous non-terrestrial materials in locally familiar forms. The record contains no such artefacts. This is not absence of evidence in an incomplete record; it is a clean, coherent, globally consistent record that speaks for itself.</w:t>
      </w: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rtl w:val="0"/>
          <w:lang w:val="en-US"/>
        </w:rPr>
        <w:t>4.3 Experimental Archaeology Refutes the Impossibility Claims</w:t>
      </w:r>
    </w:p>
    <w:p>
      <w:pPr>
        <w:pStyle w:val="Heading 2"/>
        <w:jc w:val="both"/>
        <w:rPr>
          <w:rFonts w:ascii="Verdana" w:cs="Verdana" w:hAnsi="Verdana" w:eastAsia="Verdana"/>
          <w:b w:val="0"/>
          <w:bCs w:val="0"/>
        </w:rPr>
      </w:pPr>
      <w:r>
        <w:rPr>
          <w:rFonts w:ascii="Verdana" w:hAnsi="Verdana"/>
          <w:b w:val="0"/>
          <w:bCs w:val="0"/>
          <w:sz w:val="24"/>
          <w:szCs w:val="24"/>
          <w:rtl w:val="0"/>
          <w:lang w:val="en-US"/>
        </w:rPr>
        <w:t>The claim that ancient structures could not have been built without advanced technology has been submitted to empirical test by experimental archaeologists. The results consistently falsify it.</w:t>
      </w:r>
    </w:p>
    <w:p>
      <w:pPr>
        <w:pStyle w:val="Heading 2"/>
        <w:jc w:val="both"/>
        <w:rPr>
          <w:rFonts w:ascii="Verdana" w:cs="Verdana" w:hAnsi="Verdana" w:eastAsia="Verdana"/>
          <w:b w:val="0"/>
          <w:bCs w:val="0"/>
        </w:rPr>
      </w:pPr>
      <w:r>
        <w:rPr>
          <w:rFonts w:ascii="Verdana" w:hAnsi="Verdana"/>
          <w:b w:val="0"/>
          <w:bCs w:val="0"/>
          <w:sz w:val="24"/>
          <w:szCs w:val="24"/>
          <w:rtl w:val="0"/>
          <w:lang w:val="en-US"/>
        </w:rPr>
        <w:t>The methodology of experimental archaeology is straightforward: assemble period-appropriate tools and materials, apply period-available labour and organisational capacity, and attempt to replicate the construction in question. Where replication succeeds, the impossibility claim fails. The Table 3 summarises the principal replication studies relevant to AAH claims.</w:t>
      </w: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sz w:val="22"/>
          <w:szCs w:val="22"/>
          <w:rtl w:val="0"/>
          <w:lang w:val="en-US"/>
        </w:rPr>
        <w:t>Table 3. Experimental Archaeology Replication Studies: AAH 'Impossibility' Claims</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00"/>
        <w:gridCol w:w="2000"/>
        <w:gridCol w:w="2526"/>
        <w:gridCol w:w="2500"/>
      </w:tblGrid>
      <w:tr>
        <w:tblPrEx>
          <w:shd w:val="clear" w:color="auto" w:fill="4f81bd"/>
        </w:tblPrEx>
        <w:trPr>
          <w:trHeight w:val="816" w:hRule="atLeast"/>
          <w:tblHeader/>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left"/>
              <w:rPr>
                <w:rtl w:val="0"/>
              </w:rPr>
            </w:pPr>
            <w:r>
              <w:rPr>
                <w:rFonts w:ascii="Arial" w:hAnsi="Arial"/>
                <w:b w:val="1"/>
                <w:bCs w:val="1"/>
                <w:sz w:val="22"/>
                <w:szCs w:val="22"/>
                <w:u w:color="000000"/>
                <w:shd w:val="nil" w:color="auto" w:fill="auto"/>
                <w:rtl w:val="0"/>
                <w:lang w:val="de-DE"/>
              </w:rPr>
              <w:t>Site / Structure</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left"/>
              <w:rPr>
                <w:rtl w:val="0"/>
              </w:rPr>
            </w:pPr>
            <w:r>
              <w:rPr>
                <w:rFonts w:ascii="Arial" w:hAnsi="Arial"/>
                <w:b w:val="1"/>
                <w:bCs w:val="1"/>
                <w:sz w:val="22"/>
                <w:szCs w:val="22"/>
                <w:u w:color="000000"/>
                <w:shd w:val="nil" w:color="auto" w:fill="auto"/>
                <w:rtl w:val="0"/>
                <w:lang w:val="en-US"/>
              </w:rPr>
              <w:t>AAH Impossibility Claim</w:t>
            </w:r>
          </w:p>
        </w:tc>
        <w:tc>
          <w:tcPr>
            <w:tcW w:type="dxa" w:w="2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lang w:val="en-US"/>
              </w:rPr>
              <w:t>Replication Study / Authority</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rPr>
              <w:t>Result</w:t>
            </w:r>
          </w:p>
        </w:tc>
      </w:tr>
      <w:tr>
        <w:tblPrEx>
          <w:shd w:val="clear" w:color="auto" w:fill="ced7e7"/>
        </w:tblPrEx>
        <w:trPr>
          <w:trHeight w:val="2822"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Great Pyramid, Giza</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Blocks too heavy to move with period technology; internal precision requires advanced surveying equipment</w:t>
            </w:r>
          </w:p>
        </w:tc>
        <w:tc>
          <w:tcPr>
            <w:tcW w:type="dxa" w:w="2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Lehner &amp; Hawass, AERA ongoing; Cotterell &amp; Kamminga 1990</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Wet sand friction reduction (50% force reduction verified by Egyptological team, 2014); ramp modelling consistent with evidence; levelling using water channels attested archaeologically</w:t>
            </w:r>
          </w:p>
        </w:tc>
      </w:tr>
      <w:tr>
        <w:tblPrEx>
          <w:shd w:val="clear" w:color="auto" w:fill="ced7e7"/>
        </w:tblPrEx>
        <w:trPr>
          <w:trHeight w:val="1962"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Stonehenge transport (bluestones, Preseli Hills)</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80 km transport of 2-4 tonne stones impossible without advanced machinery</w:t>
            </w:r>
          </w:p>
        </w:tc>
        <w:tc>
          <w:tcPr>
            <w:tcW w:type="dxa" w:w="2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Atkinson 1956; Barber et al. 2007; experimental teams 2010-2016</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Timber sledge, rope, and human teams of 10-20 successfully moved replica stones over equivalent terrain; log rolling confirmed viable</w:t>
            </w:r>
          </w:p>
        </w:tc>
      </w:tr>
      <w:tr>
        <w:tblPrEx>
          <w:shd w:val="clear" w:color="auto" w:fill="ced7e7"/>
        </w:tblPrEx>
        <w:trPr>
          <w:trHeight w:val="2249"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rPr>
              <w:t>Nazca lines geometry</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Precision requiring aerial vantage point or advanced technology</w:t>
            </w:r>
          </w:p>
        </w:tc>
        <w:tc>
          <w:tcPr>
            <w:tcW w:type="dxa" w:w="2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it-IT"/>
              </w:rPr>
              <w:t>Aveni 1990; Nickell 1983</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Team of 3 using wooden stakes and cord reproduced 100m animal figure in 1.5 days; lines also interpretable as sight lines and processional routes at ground level</w:t>
            </w:r>
          </w:p>
        </w:tc>
      </w:tr>
      <w:tr>
        <w:tblPrEx>
          <w:shd w:val="clear" w:color="auto" w:fill="ced7e7"/>
        </w:tblPrEx>
        <w:trPr>
          <w:trHeight w:val="2249"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Sacsayhuaman polygonal masonry</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Sub-millimetre fitting of multi-tonne polygonal blocks without mortar impossible without precision machinery</w:t>
            </w:r>
          </w:p>
        </w:tc>
        <w:tc>
          <w:tcPr>
            <w:tcW w:type="dxa" w:w="2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de-DE"/>
              </w:rPr>
              <w:t>Protzen 1986; Protzen &amp; Nair 2013</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Iterative fitting technique reproduced using stone tools; surface preparation through grinding produces tolerance equal to that observed at site</w:t>
            </w:r>
          </w:p>
        </w:tc>
      </w:tr>
      <w:tr>
        <w:tblPrEx>
          <w:shd w:val="clear" w:color="auto" w:fill="ced7e7"/>
        </w:tblPrEx>
        <w:trPr>
          <w:trHeight w:val="3108"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Baalbek Trilithon (see Section 3.2.1)</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800-tonne blocks impossible to move or place without non-human technology</w:t>
            </w:r>
          </w:p>
        </w:tc>
        <w:tc>
          <w:tcPr>
            <w:tcW w:type="dxa" w:w="2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de-DE"/>
              </w:rPr>
              <w:t>Jidejian 1968; Ruprechtsberger 1999; Adam 1994</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Roman-period construction; quarry tools and abandoned block present at site; large lever and fulcrum systems adequate for placement given 5-7m elevation; no anomaly requiring non-human explanation identified by structural engineers</w:t>
            </w:r>
          </w:p>
        </w:tc>
      </w:tr>
      <w:tr>
        <w:tblPrEx>
          <w:shd w:val="clear" w:color="auto" w:fill="ced7e7"/>
        </w:tblPrEx>
        <w:trPr>
          <w:trHeight w:val="2822" w:hRule="atLeast"/>
        </w:trPr>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Egyptian pyramid orientation (cardinal alignment)</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Sub-degree north alignment requires instrumentation beyond period capability</w:t>
            </w:r>
          </w:p>
        </w:tc>
        <w:tc>
          <w:tcPr>
            <w:tcW w:type="dxa" w:w="2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it-IT"/>
              </w:rPr>
              <w:t>Spence 2000; Belmonte 2001; Magli 2016</w:t>
            </w:r>
          </w:p>
        </w:tc>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Simultaneous transit method using two circumpolar stars (Kochab and Mizar) produces sub-degree accuracy using only a plumb bob; no advanced instrumentation required</w:t>
            </w:r>
          </w:p>
        </w:tc>
      </w:tr>
    </w:tbl>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r>
        <w:rPr>
          <w:rFonts w:ascii="Verdana" w:hAnsi="Verdana"/>
          <w:b w:val="0"/>
          <w:bCs w:val="0"/>
          <w:sz w:val="24"/>
          <w:szCs w:val="24"/>
          <w:rtl w:val="0"/>
          <w:lang w:val="en-US"/>
        </w:rPr>
        <w:t>The Baalbek case warrants specific elaboration, as it is among the most cited AAH physical anomalies. The Roman-period construction context is established by the presence of Roman quarry tools at the site, an abandoned partially-quarried block (the 'Stone of the South,' approximately 1,240 tonnes) that displays the same quarrying technique as the Trilithon blocks, and documented Roman construction contracts referencing Baalbek (Ruprechtsberger, 1999). Comparative analysis of Roman large-block construction techniques (Adam, 1994) establishes that the Trilithon placement is consistent with lever-and-fulcrum systems documented across Roman monumental construction. Adam's systematic survey of Roman building methods demonstrates that large-block elevation using inclined ramps and compound lever systems was standard Roman practice for monumental podium construction. The elevation of approximately 7 metres does not require machinery that violates known physics - though it remains an extraordinary feat of engineering organisation. The absence of a fully accepted single-mechanism explanation does not constitute evidence for non-human technology; it constitutes evidence that the engineering history of Baalbek requires further study.</w:t>
      </w:r>
    </w:p>
    <w:p>
      <w:pPr>
        <w:pStyle w:val="Heading 2"/>
        <w:widowControl w:val="0"/>
        <w:jc w:val="both"/>
        <w:rPr>
          <w:rFonts w:ascii="Verdana" w:cs="Verdana" w:hAnsi="Verdana" w:eastAsia="Verdana"/>
          <w:b w:val="0"/>
          <w:bCs w:val="0"/>
        </w:rPr>
      </w:pPr>
      <w:r>
        <w:rPr>
          <w:rFonts w:ascii="Verdana" w:hAnsi="Verdana"/>
          <w:b w:val="0"/>
          <w:bCs w:val="0"/>
          <w:sz w:val="24"/>
          <w:szCs w:val="24"/>
          <w:rtl w:val="0"/>
          <w:lang w:val="en-US"/>
        </w:rPr>
        <w:t>Aveni's (1990) comprehensive study of the Nazca lines additionally illustrates how substantive engagement with evidence dissolves AAH impossibility claims. Aveni demonstrates that the lines function not as aerial signals but as components of a complex ritual and hydraulic landscape: processional pathways connecting shrines, astronomical alignments marking solar and calendrical events, and features associated with Andean water management practice. The lines are fully coherent at ground level as a Stage 3 DSSM symbolic system encoding cosmological, agricultural, and social information redundantly across the physical environment. The aerial reading requires importing a modern interpretive frame; the ground-level reading reveals a practice entirely consistent with documented Andean ceremonial tradition.</w:t>
      </w:r>
    </w:p>
    <w:p>
      <w:pPr>
        <w:pStyle w:val="Heading 2"/>
        <w:jc w:val="both"/>
        <w:rPr>
          <w:rFonts w:ascii="Verdana" w:cs="Verdana" w:hAnsi="Verdana" w:eastAsia="Verdana"/>
          <w:b w:val="0"/>
          <w:bCs w:val="0"/>
        </w:rPr>
      </w:pPr>
      <w:r>
        <w:rPr>
          <w:rFonts w:ascii="Verdana" w:hAnsi="Verdana"/>
          <w:b w:val="0"/>
          <w:bCs w:val="0"/>
          <w:rtl w:val="0"/>
          <w:lang w:val="en-US"/>
        </w:rPr>
        <w:t>4.4 The Technology Stasis Problem</w:t>
      </w:r>
    </w:p>
    <w:p>
      <w:pPr>
        <w:pStyle w:val="Heading 2"/>
        <w:jc w:val="both"/>
        <w:rPr>
          <w:rFonts w:ascii="Verdana" w:cs="Verdana" w:hAnsi="Verdana" w:eastAsia="Verdana"/>
          <w:b w:val="0"/>
          <w:bCs w:val="0"/>
        </w:rPr>
      </w:pPr>
      <w:r>
        <w:rPr>
          <w:rFonts w:ascii="Verdana" w:hAnsi="Verdana"/>
          <w:b w:val="0"/>
          <w:bCs w:val="0"/>
          <w:sz w:val="24"/>
          <w:szCs w:val="24"/>
          <w:rtl w:val="0"/>
          <w:lang w:val="en-US"/>
        </w:rPr>
        <w:t>Any civilisation capable of interstellar travel is, conservatively, thousands of years technologically ahead of humanity. The claim that such a civilisation operated vehicles described, across multiple ancient traditions, as chariots, discs, wheels, or gleaming ships contains a fundamental internal incoherence.</w:t>
      </w:r>
    </w:p>
    <w:p>
      <w:pPr>
        <w:pStyle w:val="Heading 2"/>
        <w:jc w:val="both"/>
        <w:rPr>
          <w:rFonts w:ascii="Verdana" w:cs="Verdana" w:hAnsi="Verdana" w:eastAsia="Verdana"/>
          <w:b w:val="0"/>
          <w:bCs w:val="0"/>
        </w:rPr>
      </w:pPr>
      <w:r>
        <w:rPr>
          <w:rFonts w:ascii="Verdana" w:hAnsi="Verdana"/>
          <w:b w:val="0"/>
          <w:bCs w:val="0"/>
          <w:sz w:val="24"/>
          <w:szCs w:val="24"/>
          <w:rtl w:val="0"/>
          <w:lang w:val="en-US"/>
        </w:rPr>
        <w:t>A civilisation sufficiently advanced for interstellar travel would not operate vehicles recognisable to Bronze Age observers as chariot-like or disc-like. The concept of a discrete vehicle as a mode of transit may not apply at all to the movement strategies of a sufficiently advanced civilisation. The descriptions in the ancient record track human technological vocabulary, not alien technological development. Bronze Age observers describe chariots and wheels - the most technologically sophisticated transport forms in their experience. Industrial-era observers describe airships. Post-World War Two observers describe metal disc-shaped craft consistent with the aviation imagery of the period. The phenomenon upgrades with human vocabulary, not with alien development. This is the signature of culturally conditioned perception and narrative, not of actual technological observation.</w:t>
      </w:r>
    </w:p>
    <w:p>
      <w:pPr>
        <w:pStyle w:val="Heading 2"/>
        <w:jc w:val="both"/>
        <w:rPr>
          <w:rFonts w:ascii="Verdana" w:cs="Verdana" w:hAnsi="Verdana" w:eastAsia="Verdana"/>
          <w:b w:val="0"/>
          <w:bCs w:val="0"/>
        </w:rPr>
      </w:pPr>
      <w:r>
        <w:rPr>
          <w:rFonts w:ascii="Verdana" w:hAnsi="Verdana"/>
          <w:b w:val="0"/>
          <w:bCs w:val="0"/>
          <w:sz w:val="24"/>
          <w:szCs w:val="24"/>
          <w:rtl w:val="0"/>
          <w:lang w:val="en-US"/>
        </w:rPr>
        <w:t>The specific origin of the flying saucer as a cultural icon illustrates the point. Kenneth Arnold's 1947 report over Mount Rainier, Washington, described the movement of nine objects as resembling saucers skipping across water - a description of motion, not of shape. A news agency report characterised the objects themselves as saucer-shaped (Clark, 2000, pp. 15-22). The disc iconography that has dominated popular alien spacecraft imagery since 1947, and which is retrospectively applied to ancient art and texts, originated in a journalist's misreading of an eyewitness description of movement. Reading disc shapes back into Ezekiel, Vedic literature, or Australian rock art is a methodological error compounded by a transcription error.</w:t>
      </w:r>
    </w:p>
    <w:p>
      <w:pPr>
        <w:pStyle w:val="Heading 2"/>
        <w:jc w:val="both"/>
        <w:rPr>
          <w:rFonts w:ascii="Verdana" w:cs="Verdana" w:hAnsi="Verdana" w:eastAsia="Verdana"/>
          <w:b w:val="0"/>
          <w:bCs w:val="0"/>
        </w:rPr>
      </w:pPr>
      <w:r>
        <w:rPr>
          <w:rFonts w:ascii="Verdana" w:hAnsi="Verdana"/>
          <w:b w:val="0"/>
          <w:bCs w:val="0"/>
          <w:rtl w:val="0"/>
          <w:lang w:val="en-US"/>
        </w:rPr>
        <w:t>4.5 The Sentinelese Contact Analogy</w:t>
      </w:r>
    </w:p>
    <w:p>
      <w:pPr>
        <w:pStyle w:val="Heading 2"/>
        <w:jc w:val="both"/>
        <w:rPr>
          <w:rFonts w:ascii="Verdana" w:cs="Verdana" w:hAnsi="Verdana" w:eastAsia="Verdana"/>
          <w:b w:val="0"/>
          <w:bCs w:val="0"/>
        </w:rPr>
      </w:pPr>
      <w:r>
        <w:rPr>
          <w:rFonts w:ascii="Verdana" w:hAnsi="Verdana"/>
          <w:b w:val="0"/>
          <w:bCs w:val="0"/>
          <w:sz w:val="24"/>
          <w:szCs w:val="24"/>
          <w:rtl w:val="0"/>
          <w:lang w:val="en-US"/>
        </w:rPr>
        <w:t>The Sentinelese people of North Sentinel Island in the Andaman Sea constitute the most powerful single empirical challenge to the AAH's assumed contact model.</w:t>
      </w:r>
    </w:p>
    <w:p>
      <w:pPr>
        <w:pStyle w:val="Heading 2"/>
        <w:jc w:val="both"/>
        <w:rPr>
          <w:rFonts w:ascii="Verdana" w:cs="Verdana" w:hAnsi="Verdana" w:eastAsia="Verdana"/>
          <w:b w:val="0"/>
          <w:bCs w:val="0"/>
        </w:rPr>
      </w:pPr>
      <w:r>
        <w:rPr>
          <w:rFonts w:ascii="Verdana" w:hAnsi="Verdana"/>
          <w:b w:val="0"/>
          <w:bCs w:val="0"/>
          <w:sz w:val="24"/>
          <w:szCs w:val="24"/>
          <w:rtl w:val="0"/>
          <w:lang w:val="en-US"/>
        </w:rPr>
        <w:t>The Sentinelese are a lithic-technology population living in complete isolation from modern civilisation. They are anatomically and cognitively identical to all other living humans - the same cognitive architecture, the same behavioural repertoire, the same capacity for learning, abstraction, and symbolic representation. They exist in proximity to a vastly technologically superior civilisation. They have had multiple documented interactions with that civilisation - through aircraft, vessels, and attempted individual contact. Their response is uniformly hostile: projectile deployment against aircraft and vessels, and the killing of individuals who approach their island (Survival International, 2019; for broader Andamanese contact patterns, see Pandya, 1993).</w:t>
      </w:r>
    </w:p>
    <w:p>
      <w:pPr>
        <w:pStyle w:val="Heading 2"/>
        <w:jc w:val="both"/>
        <w:rPr>
          <w:rFonts w:ascii="Verdana" w:cs="Verdana" w:hAnsi="Verdana" w:eastAsia="Verdana"/>
          <w:b w:val="0"/>
          <w:bCs w:val="0"/>
        </w:rPr>
      </w:pPr>
      <w:r>
        <w:rPr>
          <w:rFonts w:ascii="Verdana" w:hAnsi="Verdana"/>
          <w:b w:val="0"/>
          <w:bCs w:val="0"/>
          <w:sz w:val="24"/>
          <w:szCs w:val="24"/>
          <w:rtl w:val="0"/>
          <w:lang w:val="en-US"/>
        </w:rPr>
        <w:t>This response is not evidence of cognitive limitation. It is rational threat assessment under uncertainty. They cannot know the intentions of an approaching entity. Under those conditions, the survival-optimal response is defensive hostility. This is the same threat-assessment logic that governed all human populations before the existence of documented prior contact history.</w:t>
      </w:r>
    </w:p>
    <w:p>
      <w:pPr>
        <w:pStyle w:val="Heading 2"/>
        <w:jc w:val="both"/>
        <w:rPr>
          <w:rFonts w:ascii="Verdana" w:cs="Verdana" w:hAnsi="Verdana" w:eastAsia="Verdana"/>
          <w:b w:val="0"/>
          <w:bCs w:val="0"/>
        </w:rPr>
      </w:pPr>
      <w:r>
        <w:rPr>
          <w:rFonts w:ascii="Verdana" w:hAnsi="Verdana"/>
          <w:b w:val="0"/>
          <w:bCs w:val="0"/>
          <w:sz w:val="24"/>
          <w:szCs w:val="24"/>
          <w:rtl w:val="0"/>
          <w:lang w:val="en-US"/>
        </w:rPr>
        <w:t>The Sentinelese also demonstrate selective material incorporation: they salvage iron from shipwrecks and repurpose it as arrowhead material. This demonstrates curiosity, adaptive intelligence, and the willingness to incorporate foreign materials into existing frameworks. What they demonstrably do not do is attempt to reverse-engineer the ship that delivered the iron.</w:t>
      </w:r>
    </w:p>
    <w:p>
      <w:pPr>
        <w:pStyle w:val="Heading 2"/>
        <w:jc w:val="both"/>
        <w:rPr>
          <w:rFonts w:ascii="Verdana" w:cs="Verdana" w:hAnsi="Verdana" w:eastAsia="Verdana"/>
          <w:b w:val="0"/>
          <w:bCs w:val="0"/>
        </w:rPr>
      </w:pPr>
      <w:r>
        <w:rPr>
          <w:rFonts w:ascii="Verdana" w:hAnsi="Verdana"/>
          <w:b w:val="0"/>
          <w:bCs w:val="0"/>
          <w:sz w:val="24"/>
          <w:szCs w:val="24"/>
          <w:rtl w:val="0"/>
          <w:lang w:val="en-US"/>
        </w:rPr>
        <w:t>Table 7 maps the Sentinelese contact model against the predictions of the AAH, demonstrating that the hypothesis' assumed contact dynamics have no analogue in any documented case of contact between technologically unequal populations.</w:t>
      </w: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sz w:val="22"/>
          <w:szCs w:val="22"/>
          <w:rtl w:val="0"/>
          <w:lang w:val="en-US"/>
        </w:rPr>
        <w:t>Table 7. The Sentinelese Contact Analogy: Testing the AAH Interaction Model</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00"/>
        <w:gridCol w:w="3400"/>
        <w:gridCol w:w="3426"/>
      </w:tblGrid>
      <w:tr>
        <w:tblPrEx>
          <w:shd w:val="clear" w:color="auto" w:fill="4f81bd"/>
        </w:tblPrEx>
        <w:trPr>
          <w:trHeight w:val="529" w:hRule="atLeast"/>
          <w:tblHeader/>
        </w:trPr>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en-US"/>
              </w:rPr>
              <w:t>Contact Variable</w:t>
            </w:r>
          </w:p>
        </w:tc>
        <w:tc>
          <w:tcPr>
            <w:tcW w:type="dxa" w:w="34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 w:val="left" w:pos="2880"/>
              </w:tabs>
              <w:bidi w:val="0"/>
              <w:ind w:left="0" w:right="0" w:firstLine="0"/>
              <w:jc w:val="center"/>
              <w:rPr>
                <w:rtl w:val="0"/>
              </w:rPr>
            </w:pPr>
            <w:r>
              <w:rPr>
                <w:rFonts w:ascii="Arial" w:hAnsi="Arial"/>
                <w:b w:val="1"/>
                <w:bCs w:val="1"/>
                <w:sz w:val="22"/>
                <w:szCs w:val="22"/>
                <w:u w:color="000000"/>
                <w:shd w:val="nil" w:color="auto" w:fill="auto"/>
                <w:rtl w:val="0"/>
                <w:lang w:val="en-US"/>
              </w:rPr>
              <w:t>Documented Sentinelese Behaviour</w:t>
            </w:r>
          </w:p>
        </w:tc>
        <w:tc>
          <w:tcPr>
            <w:tcW w:type="dxa" w:w="34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 w:val="left" w:pos="2880"/>
              </w:tabs>
              <w:bidi w:val="0"/>
              <w:ind w:left="0" w:right="0" w:firstLine="0"/>
              <w:jc w:val="center"/>
              <w:rPr>
                <w:rtl w:val="0"/>
              </w:rPr>
            </w:pPr>
            <w:r>
              <w:rPr>
                <w:rFonts w:ascii="Arial" w:hAnsi="Arial"/>
                <w:b w:val="1"/>
                <w:bCs w:val="1"/>
                <w:sz w:val="22"/>
                <w:szCs w:val="22"/>
                <w:u w:color="000000"/>
                <w:shd w:val="nil" w:color="auto" w:fill="auto"/>
                <w:rtl w:val="0"/>
                <w:lang w:val="en-US"/>
              </w:rPr>
              <w:t>Implication for AAH Contact Model</w:t>
            </w:r>
          </w:p>
        </w:tc>
      </w:tr>
      <w:tr>
        <w:tblPrEx>
          <w:shd w:val="clear" w:color="auto" w:fill="ced7e7"/>
        </w:tblPrEx>
        <w:trPr>
          <w:trHeight w:val="1962" w:hRule="atLeast"/>
        </w:trPr>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Initial response to technologically superior entity</w:t>
            </w:r>
          </w:p>
        </w:tc>
        <w:tc>
          <w:tcPr>
            <w:tcW w:type="dxa" w:w="34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Hostility; projectile deployment against aircraft and approaching vessels; killing of trespassers (Chau, 2018; fishermen incidents, multiple documented)</w:t>
            </w:r>
          </w:p>
        </w:tc>
        <w:tc>
          <w:tcPr>
            <w:tcW w:type="dxa" w:w="34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AAH predicts: welcome, worship, collaborative knowledge transfer. Observed Sentinelese behaviour: lethal hostility. Our ancestors had identical cognitive architecture and identical threat-response systems.</w:t>
            </w:r>
          </w:p>
        </w:tc>
      </w:tr>
      <w:tr>
        <w:tblPrEx>
          <w:shd w:val="clear" w:color="auto" w:fill="ced7e7"/>
        </w:tblPrEx>
        <w:trPr>
          <w:trHeight w:val="1962" w:hRule="atLeast"/>
        </w:trPr>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Interaction with foreign materials</w:t>
            </w:r>
          </w:p>
        </w:tc>
        <w:tc>
          <w:tcPr>
            <w:tcW w:type="dxa" w:w="34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 xml:space="preserve">Active salvage of iron from shipwrecks; repurposing as arrowhead material </w:t>
            </w:r>
            <w:r>
              <w:rPr>
                <w:rFonts w:ascii="Arial" w:hAnsi="Arial" w:hint="default"/>
                <w:sz w:val="22"/>
                <w:szCs w:val="22"/>
                <w:u w:color="000000"/>
                <w:shd w:val="nil" w:color="auto" w:fill="auto"/>
                <w:rtl w:val="0"/>
                <w:lang w:val="en-US"/>
              </w:rPr>
              <w:t xml:space="preserve">— </w:t>
            </w:r>
            <w:r>
              <w:rPr>
                <w:rFonts w:ascii="Arial" w:hAnsi="Arial"/>
                <w:sz w:val="22"/>
                <w:szCs w:val="22"/>
                <w:u w:color="000000"/>
                <w:shd w:val="nil" w:color="auto" w:fill="auto"/>
                <w:rtl w:val="0"/>
                <w:lang w:val="en-US"/>
              </w:rPr>
              <w:t>documented in multiple field observations</w:t>
            </w:r>
          </w:p>
        </w:tc>
        <w:tc>
          <w:tcPr>
            <w:tcW w:type="dxa" w:w="34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AAH predicts: reverse engineering of advanced technology, attempts to replicate. Observed: incorporation of foreign material into existing framework only. No attempt to understand the ship.</w:t>
            </w:r>
          </w:p>
        </w:tc>
      </w:tr>
      <w:tr>
        <w:tblPrEx>
          <w:shd w:val="clear" w:color="auto" w:fill="ced7e7"/>
        </w:tblPrEx>
        <w:trPr>
          <w:trHeight w:val="2535" w:hRule="atLeast"/>
        </w:trPr>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Knowledge transfer model</w:t>
            </w:r>
          </w:p>
        </w:tc>
        <w:tc>
          <w:tcPr>
            <w:tcW w:type="dxa" w:w="34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None occurring despite proximity to technologically superior civilisation for centuries</w:t>
            </w:r>
          </w:p>
        </w:tc>
        <w:tc>
          <w:tcPr>
            <w:tcW w:type="dxa" w:w="34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AAH requires sustained benevolent knowledge transfer over extended periods. Sentinelese evidence: even species-identical contact with vastly superior technology produces zero knowledge transfer under non-consensual conditions.</w:t>
            </w:r>
          </w:p>
        </w:tc>
      </w:tr>
      <w:tr>
        <w:tblPrEx>
          <w:shd w:val="clear" w:color="auto" w:fill="ced7e7"/>
        </w:tblPrEx>
        <w:trPr>
          <w:trHeight w:val="2535" w:hRule="atLeast"/>
        </w:trPr>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Material record left by contact</w:t>
            </w:r>
          </w:p>
        </w:tc>
        <w:tc>
          <w:tcPr>
            <w:tcW w:type="dxa" w:w="34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Iron arrowheads of foreign origin; no other anomalous material</w:t>
            </w:r>
          </w:p>
        </w:tc>
        <w:tc>
          <w:tcPr>
            <w:tcW w:type="dxa" w:w="34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AAH requires anomalous materials of alien origin in archaeological record. Sentinelese analogy predicts: only repurposed foreign materials in familiar form. The global archaeological record matches the Sentinelese prediction exactly.</w:t>
            </w:r>
          </w:p>
        </w:tc>
      </w:tr>
      <w:tr>
        <w:tblPrEx>
          <w:shd w:val="clear" w:color="auto" w:fill="ced7e7"/>
        </w:tblPrEx>
        <w:trPr>
          <w:trHeight w:val="3108" w:hRule="atLeast"/>
        </w:trPr>
        <w:tc>
          <w:tcPr>
            <w:tcW w:type="dxa" w:w="2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Cognitive capacity for reverse engineering</w:t>
            </w:r>
          </w:p>
        </w:tc>
        <w:tc>
          <w:tcPr>
            <w:tcW w:type="dxa" w:w="34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Fully modern humans; cognitively capable of reverse engineering; demonstrably do not attempt it</w:t>
            </w:r>
          </w:p>
        </w:tc>
        <w:tc>
          <w:tcPr>
            <w:tcW w:type="dxa" w:w="34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The gap between Sentinelese technology and ours is far smaller than any hypothetical gap between alien technology and Stone Age humans. If Sentinelese do not reverse engineer our ships, early humans would not reverse engineer alien technology. The archaeological record contains no such attempts.</w:t>
            </w:r>
          </w:p>
        </w:tc>
      </w:tr>
    </w:tbl>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rtl w:val="0"/>
          <w:lang w:val="en-US"/>
        </w:rPr>
        <w:t>4.6 The Rh Negative Genetic Argument</w:t>
      </w:r>
    </w:p>
    <w:p>
      <w:pPr>
        <w:pStyle w:val="Heading 2"/>
        <w:jc w:val="both"/>
        <w:rPr>
          <w:rFonts w:ascii="Verdana" w:cs="Verdana" w:hAnsi="Verdana" w:eastAsia="Verdana"/>
          <w:b w:val="0"/>
          <w:bCs w:val="0"/>
        </w:rPr>
      </w:pPr>
      <w:r>
        <w:rPr>
          <w:rFonts w:ascii="Verdana" w:hAnsi="Verdana"/>
          <w:b w:val="0"/>
          <w:bCs w:val="0"/>
          <w:sz w:val="24"/>
          <w:szCs w:val="24"/>
          <w:rtl w:val="0"/>
          <w:lang w:val="en-US"/>
        </w:rPr>
        <w:t>The AAH's genetic argument fails on molecular, populational, and evolutionary grounds.</w:t>
      </w:r>
    </w:p>
    <w:p>
      <w:pPr>
        <w:pStyle w:val="Heading 2"/>
        <w:jc w:val="both"/>
        <w:rPr>
          <w:rFonts w:ascii="Verdana" w:cs="Verdana" w:hAnsi="Verdana" w:eastAsia="Verdana"/>
          <w:b w:val="0"/>
          <w:bCs w:val="0"/>
        </w:rPr>
      </w:pPr>
      <w:r>
        <w:rPr>
          <w:rFonts w:ascii="Verdana" w:hAnsi="Verdana"/>
          <w:b w:val="0"/>
          <w:bCs w:val="0"/>
          <w:sz w:val="24"/>
          <w:szCs w:val="24"/>
          <w:rtl w:val="0"/>
          <w:lang w:val="en-US"/>
        </w:rPr>
        <w:t>The RhD negative condition is not an anomalous insertion into the human genome. It is a deletion. Specifically, it results from deletion of the RHD gene, which codes for the RhD antigen on the surface of red blood cells. The absence of this antigen means that Rh negative individuals, when exposed to Rh positive blood, encounter a protein their immune system has never expressed and produces antibodies against it. This is entirely standard immune system logic - the same mechanism that produces reactions to any foreign antigen. There is no aspect of the Rh negative condition's molecular biology that requires an exogenous explanation (Dean, 2005).</w:t>
      </w:r>
    </w:p>
    <w:p>
      <w:pPr>
        <w:pStyle w:val="Heading 2"/>
        <w:jc w:val="both"/>
        <w:rPr>
          <w:rFonts w:ascii="Verdana" w:cs="Verdana" w:hAnsi="Verdana" w:eastAsia="Verdana"/>
          <w:b w:val="0"/>
          <w:bCs w:val="0"/>
        </w:rPr>
      </w:pPr>
      <w:r>
        <w:rPr>
          <w:rFonts w:ascii="Verdana" w:hAnsi="Verdana"/>
          <w:b w:val="0"/>
          <w:bCs w:val="0"/>
          <w:sz w:val="24"/>
          <w:szCs w:val="24"/>
          <w:rtl w:val="0"/>
          <w:lang w:val="en-US"/>
        </w:rPr>
        <w:t>The population distribution of Rh negative blood follows exactly the pattern predicted by standard genetic drift in small founding populations. As Table 4 demonstrates, frequency is highest in the most genetically isolated populations and declines systematically with population size and admixture history. The Basque people's exceptionally high Rh negative frequency - the highest of any population on Earth - is a direct consequence of their status as one of the most thoroughly documented genetic isolates in Western Europe, with a pre-Indo-European linguistic lineage and a population history of minimal admixture with surrounding Indo-European populations (Cavalli-Sforza et al., 1994, pp. 268-274). The gradient from Basque to Eastern European to African to Asian Rh negative frequencies maps precisely onto the gradient of genetic isolation and founder effect documented in population genetics. No alien input is required or supported.</w:t>
      </w:r>
    </w:p>
    <w:p>
      <w:pPr>
        <w:pStyle w:val="Heading 2"/>
        <w:jc w:val="both"/>
        <w:rPr>
          <w:rFonts w:ascii="Verdana" w:cs="Verdana" w:hAnsi="Verdana" w:eastAsia="Verdana"/>
          <w:b w:val="0"/>
          <w:bCs w:val="0"/>
        </w:rPr>
      </w:pPr>
      <w:r>
        <w:rPr>
          <w:rFonts w:ascii="Verdana" w:hAnsi="Verdana"/>
          <w:b w:val="0"/>
          <w:bCs w:val="0"/>
          <w:sz w:val="24"/>
          <w:szCs w:val="24"/>
          <w:rtl w:val="0"/>
          <w:lang w:val="en-US"/>
        </w:rPr>
        <w:t>The evolutionary logic cited by AAH proponents - that natural selection should have eliminated Rh negative because of its incompatibility effects - is also mistaken. Haemolytic disease of the newborn requires a sensitised Rh negative mother to carry a second Rh positive pregnancy. In small founding populations with limited reproductive life expectancies and high extrinsic mortality, the selective pressure against Rh negative is substantially lower than in modern demographic conditions. Founder effects and genetic drift in isolated populations operate far more powerfully than weak selective pressures on relatively rare phenotypes.</w:t>
      </w: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sz w:val="22"/>
          <w:szCs w:val="22"/>
          <w:rtl w:val="0"/>
          <w:lang w:val="en-US"/>
        </w:rPr>
        <w:t>Table 4. Rh Negative Blood Type Distribution and Genetic-Demographic Explanation</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00"/>
        <w:gridCol w:w="1500"/>
        <w:gridCol w:w="1500"/>
        <w:gridCol w:w="3526"/>
      </w:tblGrid>
      <w:tr>
        <w:tblPrEx>
          <w:shd w:val="clear" w:color="auto" w:fill="4f81bd"/>
        </w:tblPrEx>
        <w:trPr>
          <w:trHeight w:val="529" w:hRule="atLeast"/>
          <w:tblHeader/>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fr-FR"/>
              </w:rPr>
              <w:t>Population</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en-US"/>
              </w:rPr>
              <w:t>Approx. Rh- Frequency</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en-US"/>
              </w:rPr>
              <w:t>Relative Frequency</w:t>
            </w:r>
          </w:p>
        </w:tc>
        <w:tc>
          <w:tcPr>
            <w:tcW w:type="dxa" w:w="3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 w:val="left" w:pos="2880"/>
              </w:tabs>
              <w:bidi w:val="0"/>
              <w:ind w:left="0" w:right="0" w:firstLine="0"/>
              <w:jc w:val="center"/>
              <w:rPr>
                <w:rtl w:val="0"/>
              </w:rPr>
            </w:pPr>
            <w:r>
              <w:rPr>
                <w:rFonts w:ascii="Arial" w:hAnsi="Arial"/>
                <w:b w:val="1"/>
                <w:bCs w:val="1"/>
                <w:sz w:val="22"/>
                <w:szCs w:val="22"/>
                <w:u w:color="000000"/>
                <w:shd w:val="nil" w:color="auto" w:fill="auto"/>
                <w:rtl w:val="0"/>
                <w:lang w:val="en-US"/>
              </w:rPr>
              <w:t>Genetic-Demographic Explanation</w:t>
            </w:r>
          </w:p>
        </w:tc>
      </w:tr>
      <w:tr>
        <w:tblPrEx>
          <w:shd w:val="clear" w:color="auto" w:fill="ced7e7"/>
        </w:tblPrEx>
        <w:trPr>
          <w:trHeight w:val="1676"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Basque (northern Spain / southwestern France)</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~35%</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Very high</w:t>
            </w:r>
          </w:p>
        </w:tc>
        <w:tc>
          <w:tcPr>
            <w:tcW w:type="dxa" w:w="3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 xml:space="preserve">Oldest documented genetic isolate in Western Europe; pre-Indo-European linguistic lineage; Mesolithic founder population with minimal subsequent admixture </w:t>
            </w:r>
            <w:r>
              <w:rPr>
                <w:rFonts w:ascii="Arial" w:hAnsi="Arial" w:hint="default"/>
                <w:sz w:val="22"/>
                <w:szCs w:val="22"/>
                <w:u w:color="000000"/>
                <w:shd w:val="nil" w:color="auto" w:fill="auto"/>
                <w:rtl w:val="0"/>
                <w:lang w:val="en-US"/>
              </w:rPr>
              <w:t xml:space="preserve">— </w:t>
            </w:r>
            <w:r>
              <w:rPr>
                <w:rFonts w:ascii="Arial" w:hAnsi="Arial"/>
                <w:sz w:val="22"/>
                <w:szCs w:val="22"/>
                <w:u w:color="000000"/>
                <w:shd w:val="nil" w:color="auto" w:fill="auto"/>
                <w:rtl w:val="0"/>
                <w:lang w:val="en-US"/>
              </w:rPr>
              <w:t>textbook founder effect</w:t>
            </w:r>
          </w:p>
        </w:tc>
      </w:tr>
      <w:tr>
        <w:tblPrEx>
          <w:shd w:val="clear" w:color="auto" w:fill="ced7e7"/>
        </w:tblPrEx>
        <w:trPr>
          <w:trHeight w:val="1676"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it-IT"/>
              </w:rPr>
              <w:t>Sardinians</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~23%</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High</w:t>
            </w:r>
          </w:p>
        </w:tc>
        <w:tc>
          <w:tcPr>
            <w:tcW w:type="dxa" w:w="3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Island isolation since Neolithic; Sardinia is among the most genetically differentiated European populations; repeated founder effects across insular history</w:t>
            </w:r>
          </w:p>
        </w:tc>
      </w:tr>
      <w:tr>
        <w:tblPrEx>
          <w:shd w:val="clear" w:color="auto" w:fill="ced7e7"/>
        </w:tblPrEx>
        <w:trPr>
          <w:trHeight w:val="1389"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Western Europeans (non-Basque)</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~14-17%</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Moderate-high</w:t>
            </w:r>
          </w:p>
        </w:tc>
        <w:tc>
          <w:tcPr>
            <w:tcW w:type="dxa" w:w="3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Descended from same Mesolithic founding populations as Basque, with greater subsequent admixture reducing drift-elevated frequency</w:t>
            </w:r>
          </w:p>
        </w:tc>
      </w:tr>
      <w:tr>
        <w:tblPrEx>
          <w:shd w:val="clear" w:color="auto" w:fill="ced7e7"/>
        </w:tblPrEx>
        <w:trPr>
          <w:trHeight w:val="1102"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Eastern Europeans</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~10-13%</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de-DE"/>
              </w:rPr>
              <w:t>Moderate</w:t>
            </w:r>
          </w:p>
        </w:tc>
        <w:tc>
          <w:tcPr>
            <w:tcW w:type="dxa" w:w="3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Greater admixture with Central Asian and Anatolian populations during Bronze Age expansions; more diverse founding population</w:t>
            </w:r>
          </w:p>
        </w:tc>
      </w:tr>
      <w:tr>
        <w:tblPrEx>
          <w:shd w:val="clear" w:color="auto" w:fill="ced7e7"/>
        </w:tblPrEx>
        <w:trPr>
          <w:trHeight w:val="1102"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Middle Eastern / North African</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~8-10%</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rPr>
              <w:t>Moderate-low</w:t>
            </w:r>
          </w:p>
        </w:tc>
        <w:tc>
          <w:tcPr>
            <w:tcW w:type="dxa" w:w="3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Larger founding populations; continuous admixture corridor between Africa, Levant, and Europe; less genetic isolation</w:t>
            </w:r>
          </w:p>
        </w:tc>
      </w:tr>
      <w:tr>
        <w:tblPrEx>
          <w:shd w:val="clear" w:color="auto" w:fill="ced7e7"/>
        </w:tblPrEx>
        <w:trPr>
          <w:trHeight w:val="1389"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it-IT"/>
              </w:rPr>
              <w:t>Sub-Saharan African</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~1-3%</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Very low</w:t>
            </w:r>
          </w:p>
        </w:tc>
        <w:tc>
          <w:tcPr>
            <w:tcW w:type="dxa" w:w="3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Largest founding populations; continent of origin for all modern humans; greatest genetic diversity; minimal drift effects on any single allele</w:t>
            </w:r>
          </w:p>
        </w:tc>
      </w:tr>
      <w:tr>
        <w:tblPrEx>
          <w:shd w:val="clear" w:color="auto" w:fill="ced7e7"/>
        </w:tblPrEx>
        <w:trPr>
          <w:trHeight w:val="1389"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East Asian</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~0.3-1%</w:t>
            </w:r>
          </w:p>
        </w:tc>
        <w:tc>
          <w:tcPr>
            <w:tcW w:type="dxa" w:w="1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Near-absent</w:t>
            </w:r>
          </w:p>
        </w:tc>
        <w:tc>
          <w:tcPr>
            <w:tcW w:type="dxa" w:w="35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Arial" w:hAnsi="Arial"/>
                <w:sz w:val="22"/>
                <w:szCs w:val="22"/>
                <w:u w:color="000000"/>
                <w:shd w:val="nil" w:color="auto" w:fill="auto"/>
                <w:rtl w:val="0"/>
                <w:lang w:val="en-US"/>
              </w:rPr>
              <w:t xml:space="preserve">Out-of-Africa bottleneck reduced variation; subsequent large stable populations; strong founder effect in opposite direction </w:t>
            </w:r>
            <w:r>
              <w:rPr>
                <w:rFonts w:ascii="Arial" w:hAnsi="Arial" w:hint="default"/>
                <w:sz w:val="22"/>
                <w:szCs w:val="22"/>
                <w:u w:color="000000"/>
                <w:shd w:val="nil" w:color="auto" w:fill="auto"/>
                <w:rtl w:val="0"/>
                <w:lang w:val="en-US"/>
              </w:rPr>
              <w:t xml:space="preserve">— </w:t>
            </w:r>
            <w:r>
              <w:rPr>
                <w:rFonts w:ascii="Arial" w:hAnsi="Arial"/>
                <w:sz w:val="22"/>
                <w:szCs w:val="22"/>
                <w:u w:color="000000"/>
                <w:shd w:val="nil" w:color="auto" w:fill="auto"/>
                <w:rtl w:val="0"/>
                <w:lang w:val="en-US"/>
              </w:rPr>
              <w:t>RhD positive near-fixed</w:t>
            </w:r>
          </w:p>
        </w:tc>
      </w:tr>
    </w:tbl>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rtl w:val="0"/>
          <w:lang w:val="en-US"/>
        </w:rPr>
        <w:t>4.7 The Iconographic Figures: Symbolic Scaffolding Applied</w:t>
      </w:r>
    </w:p>
    <w:p>
      <w:pPr>
        <w:pStyle w:val="Heading 2"/>
        <w:jc w:val="both"/>
        <w:rPr>
          <w:rFonts w:ascii="Verdana" w:cs="Verdana" w:hAnsi="Verdana" w:eastAsia="Verdana"/>
          <w:b w:val="0"/>
          <w:bCs w:val="0"/>
        </w:rPr>
      </w:pPr>
      <w:r>
        <w:rPr>
          <w:rFonts w:ascii="Verdana" w:hAnsi="Verdana"/>
          <w:b w:val="0"/>
          <w:bCs w:val="0"/>
          <w:sz w:val="24"/>
          <w:szCs w:val="24"/>
          <w:rtl w:val="0"/>
          <w:lang w:val="en-US"/>
        </w:rPr>
        <w:t>The interpretation of Wandjina figures, Palenque sarcophagus imagery, Tassili rock art, and similar iconographic material as representations of extraterrestrial visitors in pressure suits requires a specific interpretive decision: to read the figures through the frame of twenty-first century aerospace equipment rather than through the cultural context that produced them.</w:t>
      </w:r>
    </w:p>
    <w:p>
      <w:pPr>
        <w:pStyle w:val="Heading 2"/>
        <w:jc w:val="both"/>
        <w:rPr>
          <w:rFonts w:ascii="Verdana" w:cs="Verdana" w:hAnsi="Verdana" w:eastAsia="Verdana"/>
          <w:b w:val="0"/>
          <w:bCs w:val="0"/>
        </w:rPr>
      </w:pPr>
      <w:r>
        <w:rPr>
          <w:rFonts w:ascii="Verdana" w:hAnsi="Verdana"/>
          <w:b w:val="0"/>
          <w:bCs w:val="0"/>
          <w:sz w:val="24"/>
          <w:szCs w:val="24"/>
          <w:rtl w:val="0"/>
          <w:lang w:val="en-US"/>
        </w:rPr>
        <w:t>The alternative requires only one well-established fact: that any population capable of producing representational art possesses the symbolic scaffolding that also produces elaborate costuming, headdress traditions, body modification, and ritual adornment. These are not separate capabilities. They are expressions of the same underlying symbolic capacity. A population with Stage 2 DSSM stabilisation - documented by the presence of intentional symbolic art - also has, by definition, the material culture of ritual embodiment from which that art derives.</w:t>
      </w:r>
    </w:p>
    <w:p>
      <w:pPr>
        <w:pStyle w:val="Heading 2"/>
        <w:jc w:val="both"/>
        <w:rPr>
          <w:rFonts w:ascii="Verdana" w:cs="Verdana" w:hAnsi="Verdana" w:eastAsia="Verdana"/>
          <w:b w:val="0"/>
          <w:bCs w:val="0"/>
        </w:rPr>
      </w:pPr>
      <w:r>
        <w:rPr>
          <w:rFonts w:ascii="Verdana" w:hAnsi="Verdana"/>
          <w:b w:val="0"/>
          <w:bCs w:val="0"/>
          <w:sz w:val="24"/>
          <w:szCs w:val="24"/>
          <w:rtl w:val="0"/>
          <w:lang w:val="en-US"/>
        </w:rPr>
        <w:t>Ochre use with intentional symbolic properties has been documented at Blombos Cave, South Africa, to approximately 100,000 years before present (Henshilwood et al., 2009). A population using ochre for symbolic body decoration 100,000 years ago is a population with clothing, ornament, headdress, and ceremonial costume. When that population represents the most impressive figures in its symbolic world - priests, shamans, ceremonial specialists, supernatural beings from oral tradition - it represents them in the most impressive material forms available: elaborate headdress, full-body covering, face covering. The formal characteristics that AAH proponents identify as 'space helmets' and 'pressure suits' are precisely the characteristics of full ceremonial costume in a culture with advanced Stage 2 symbolic practice.</w:t>
      </w:r>
    </w:p>
    <w:p>
      <w:pPr>
        <w:pStyle w:val="Heading 2"/>
        <w:jc w:val="both"/>
        <w:rPr>
          <w:rFonts w:ascii="Verdana" w:cs="Verdana" w:hAnsi="Verdana" w:eastAsia="Verdana"/>
          <w:b w:val="0"/>
          <w:bCs w:val="0"/>
        </w:rPr>
      </w:pPr>
      <w:r>
        <w:rPr>
          <w:rFonts w:ascii="Verdana" w:hAnsi="Verdana"/>
          <w:b w:val="0"/>
          <w:bCs w:val="0"/>
          <w:sz w:val="24"/>
          <w:szCs w:val="24"/>
          <w:rtl w:val="0"/>
          <w:lang w:val="en-US"/>
        </w:rPr>
        <w:t>The Wandjina tradition is explicitly associated with living cultural knowledge among Ngarinyin, Worora, and Wunambal peoples, who identify the figures as representations of cloud and rain spirits associated with the wet season - not as extraterrestrial visitors (Blundell, 2006). Privileging an external interpretive frame over the living cultural tradition that produced the art is a methodological error with significant implications for whose knowledge counts as valid.</w:t>
      </w:r>
    </w:p>
    <w:p>
      <w:pPr>
        <w:pStyle w:val="Heading 2"/>
        <w:jc w:val="both"/>
        <w:rPr>
          <w:rFonts w:ascii="Verdana" w:cs="Verdana" w:hAnsi="Verdana" w:eastAsia="Verdana"/>
          <w:b w:val="0"/>
          <w:bCs w:val="0"/>
        </w:rPr>
      </w:pPr>
      <w:r>
        <w:rPr>
          <w:rFonts w:ascii="Verdana" w:hAnsi="Verdana"/>
          <w:b w:val="0"/>
          <w:bCs w:val="0"/>
          <w:sz w:val="24"/>
          <w:szCs w:val="24"/>
          <w:rtl w:val="0"/>
          <w:lang w:val="en-US"/>
        </w:rPr>
        <w:t>Regarding the Palenque sarcophagus lid: the 'astronaut' reading requires viewing the image in a specific orientation and applying contemporary technological imagery. Read in its Mayan cosmological context, the figure depicts K'inich Janaab' Pakal descending into the mouth of the underworld, with the World Tree rising behind him - a composition entirely consistent with Mayan funerary iconography (Martin &amp; Grube, 2000, pp. 162-168). The 'cockpit' is the open mouth of the earth monster. The 'rocket engines' are stylised jade death flowers. The reading that produces an astronaut from this image is produced by rotation, decontextualisation, and the application of a frame alien to the culture that created it.</w:t>
      </w:r>
    </w:p>
    <w:p>
      <w:pPr>
        <w:pStyle w:val="Heading 2"/>
        <w:jc w:val="both"/>
        <w:rPr>
          <w:rFonts w:ascii="Verdana" w:cs="Verdana" w:hAnsi="Verdana" w:eastAsia="Verdana"/>
          <w:b w:val="0"/>
          <w:bCs w:val="0"/>
        </w:rPr>
      </w:pPr>
      <w:r>
        <w:rPr>
          <w:rFonts w:ascii="Verdana" w:hAnsi="Verdana"/>
          <w:b w:val="0"/>
          <w:bCs w:val="0"/>
          <w:rtl w:val="0"/>
          <w:lang w:val="de-DE"/>
        </w:rPr>
        <w:t>4.8 The Unfalsifiability Structure</w:t>
      </w:r>
    </w:p>
    <w:p>
      <w:pPr>
        <w:pStyle w:val="Heading 2"/>
        <w:jc w:val="both"/>
        <w:rPr>
          <w:rFonts w:ascii="Verdana" w:cs="Verdana" w:hAnsi="Verdana" w:eastAsia="Verdana"/>
          <w:b w:val="0"/>
          <w:bCs w:val="0"/>
        </w:rPr>
      </w:pPr>
      <w:r>
        <w:rPr>
          <w:rFonts w:ascii="Verdana" w:hAnsi="Verdana"/>
          <w:b w:val="0"/>
          <w:bCs w:val="0"/>
          <w:sz w:val="24"/>
          <w:szCs w:val="24"/>
          <w:rtl w:val="0"/>
          <w:lang w:val="en-US"/>
        </w:rPr>
        <w:t>The most fundamental problem with the AAH is not any single evidential failure but the logical structure of the hypothesis as a whole. It is unfalsifiable in the technical sense identified by Popper (1959): no possible observation could, in principle, demonstrate it to be false. Lakatos (1978) provides a more refined account: the AAH displays the hallmark of a degenerating research programme, in which a hard core of central claims is protected from revision by an ever-expanding belt of auxiliary hypotheses. Each counterevidence is met with a new auxiliary assumption rather than revision of the core. This is precisely the structure illustrated in Figure 3.</w:t>
      </w:r>
    </w:p>
    <w:p>
      <w:pPr>
        <w:pStyle w:val="Heading 2"/>
        <w:jc w:val="both"/>
        <w:rPr>
          <w:rFonts w:ascii="Verdana" w:cs="Verdana" w:hAnsi="Verdana" w:eastAsia="Verdana"/>
          <w:b w:val="0"/>
          <w:bCs w:val="0"/>
        </w:rPr>
      </w:pPr>
      <w:r>
        <w:rPr>
          <w:rFonts w:ascii="Verdana" w:hAnsi="Verdana"/>
          <w:b w:val="0"/>
          <w:bCs w:val="0"/>
          <w:sz w:val="24"/>
          <w:szCs w:val="24"/>
          <w:rtl w:val="0"/>
          <w:lang w:val="en-US"/>
        </w:rPr>
        <w:t>Every piece of counterevidence is absorbed into the framework as consistent with the hypothesis. Figure 3 illustrates the unfalsifiability loop. No anomalous artefacts? The aliens removed them or they are concealed by governments. No genetic trace? The modification was subtle or we have not yet found it. Different mythologies nominate different star systems? Different alien groups visited different populations. Interstellar distances are prohibitive? Their technology transcended physics. Experimental archaeology replicates every structure? Replication does not prove that is how it was done. Every possible counterevidence is accommodated. This is not a hypothesis. It is a belief system wearing the vocabulary of science.</w:t>
      </w: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sz w:val="22"/>
          <w:szCs w:val="22"/>
          <w:rtl w:val="0"/>
          <w:lang w:val="de-DE"/>
        </w:rPr>
        <w:t>Figure 3. The AAH Unfalsifiability Loop</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6470" w:hRule="atLeast"/>
        </w:trPr>
        <w:tc>
          <w:tcPr>
            <w:tcW w:type="dxa" w:w="9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Times New Roman" w:cs="Times New Roman" w:hAnsi="Times New Roman" w:eastAsia="Times New Roman"/>
                <w:sz w:val="20"/>
                <w:szCs w:val="20"/>
                <w:shd w:val="nil" w:color="auto" w:fill="auto"/>
                <w:rtl w:val="0"/>
              </w:rPr>
            </w:pPr>
            <w:r>
              <w:rPr>
                <w:rFonts w:ascii="Arial" w:hAnsi="Arial"/>
                <w:b w:val="1"/>
                <w:bCs w:val="1"/>
                <w:sz w:val="22"/>
                <w:szCs w:val="22"/>
                <w:u w:color="000000"/>
                <w:shd w:val="nil" w:color="auto" w:fill="auto"/>
                <w:rtl w:val="0"/>
                <w:lang w:val="en-US"/>
              </w:rPr>
              <w:t>THE AAH UNFALSIFIABILITY LOOP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lang w:val="en-US"/>
              </w:rPr>
              <w:t>Counterevidence presented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b w:val="1"/>
                <w:bCs w:val="1"/>
                <w:sz w:val="20"/>
                <w:szCs w:val="20"/>
                <w:u w:color="000000"/>
                <w:shd w:val="nil" w:color="auto" w:fill="auto"/>
                <w:rtl w:val="0"/>
                <w:lang w:val="en-US"/>
              </w:rPr>
              <w:t>No anomalous artefacts found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lang w:val="en-US"/>
              </w:rPr>
              <w:t>Response: 'The aliens removed them / they are concealed by governments'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b w:val="1"/>
                <w:bCs w:val="1"/>
                <w:sz w:val="20"/>
                <w:szCs w:val="20"/>
                <w:u w:color="000000"/>
                <w:shd w:val="nil" w:color="auto" w:fill="auto"/>
                <w:rtl w:val="0"/>
                <w:lang w:val="en-US"/>
              </w:rPr>
              <w:t>No anomalous genetic signature found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lang w:val="en-US"/>
              </w:rPr>
              <w:t>Response: 'The modification was subtle / we have not yet found it'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b w:val="1"/>
                <w:bCs w:val="1"/>
                <w:sz w:val="20"/>
                <w:szCs w:val="20"/>
                <w:u w:color="000000"/>
                <w:shd w:val="nil" w:color="auto" w:fill="auto"/>
                <w:rtl w:val="0"/>
                <w:lang w:val="en-US"/>
              </w:rPr>
              <w:t>Mythologies nominate different star systems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lang w:val="en-US"/>
              </w:rPr>
              <w:t>Response: 'Different alien groups visited different populations at different times'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b w:val="1"/>
                <w:bCs w:val="1"/>
                <w:sz w:val="20"/>
                <w:szCs w:val="20"/>
                <w:u w:color="000000"/>
                <w:shd w:val="nil" w:color="auto" w:fill="auto"/>
                <w:rtl w:val="0"/>
                <w:lang w:val="en-US"/>
              </w:rPr>
              <w:t>Interstellar travel energy requirements are prohibitive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lang w:val="en-US"/>
              </w:rPr>
              <w:t>Response: 'Their technology transcended known physics'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b w:val="1"/>
                <w:bCs w:val="1"/>
                <w:sz w:val="20"/>
                <w:szCs w:val="20"/>
                <w:u w:color="000000"/>
                <w:shd w:val="nil" w:color="auto" w:fill="auto"/>
                <w:rtl w:val="0"/>
                <w:lang w:val="en-US"/>
              </w:rPr>
              <w:t>Experimental archaeology replicates every structure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lang w:val="en-US"/>
              </w:rPr>
              <w:t>Response: 'Replication does not prove that is how it was actually done'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b w:val="1"/>
                <w:bCs w:val="1"/>
                <w:i w:val="1"/>
                <w:iCs w:val="1"/>
                <w:sz w:val="24"/>
                <w:szCs w:val="24"/>
                <w:u w:color="000000"/>
                <w:shd w:val="nil" w:color="auto" w:fill="auto"/>
                <w:rtl w:val="0"/>
                <w:lang w:val="en-US"/>
              </w:rPr>
              <w:t>A hypothesis that absorbs every possible counterevidence is a degenerating research programme, not a scientific hypothesis. (Popper, 1959; Lakatos, 1978; Kuhn, 1962)</w:t>
            </w:r>
          </w:p>
        </w:tc>
      </w:tr>
    </w:tbl>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r>
        <w:rPr>
          <w:rFonts w:ascii="Verdana" w:hAnsi="Verdana"/>
          <w:b w:val="0"/>
          <w:bCs w:val="0"/>
          <w:i w:val="1"/>
          <w:iCs w:val="1"/>
          <w:sz w:val="22"/>
          <w:szCs w:val="22"/>
          <w:rtl w:val="0"/>
          <w:lang w:val="en-US"/>
        </w:rPr>
        <w:t>Figure 3. The AAH's logical structure absorbs every possible counterevidence as consistent with the hypothesis, making it unfalsifiable and therefore scientifically unevaluable. After Popper (1959) and Kuhn (1962).</w:t>
      </w:r>
    </w:p>
    <w:p>
      <w:pPr>
        <w:pStyle w:val="Heading 2"/>
        <w:widowControl w:val="0"/>
        <w:jc w:val="both"/>
        <w:rPr>
          <w:rFonts w:ascii="Verdana" w:cs="Verdana" w:hAnsi="Verdana" w:eastAsia="Verdana"/>
          <w:b w:val="0"/>
          <w:bCs w:val="0"/>
        </w:rPr>
      </w:pP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rtl w:val="0"/>
          <w:lang w:val="en-US"/>
        </w:rPr>
        <w:t>4.9 The Implicit Premise and Its Consequences</w:t>
      </w:r>
    </w:p>
    <w:p>
      <w:pPr>
        <w:pStyle w:val="Heading 2"/>
        <w:jc w:val="both"/>
        <w:rPr>
          <w:rFonts w:ascii="Verdana" w:cs="Verdana" w:hAnsi="Verdana" w:eastAsia="Verdana"/>
          <w:b w:val="0"/>
          <w:bCs w:val="0"/>
        </w:rPr>
      </w:pPr>
      <w:r>
        <w:rPr>
          <w:rFonts w:ascii="Verdana" w:hAnsi="Verdana"/>
          <w:b w:val="0"/>
          <w:bCs w:val="0"/>
          <w:sz w:val="24"/>
          <w:szCs w:val="24"/>
          <w:rtl w:val="0"/>
          <w:lang w:val="en-US"/>
        </w:rPr>
        <w:t>The AAH rests on a foundational assumption that is rarely stated explicitly: that ancient humans were not cognitively or organisationally capable of producing what the record shows them producing. This assumption is the load-bearing premise of the entire framework. Without it, the evidence cited does not require alien explanation.</w:t>
      </w:r>
    </w:p>
    <w:p>
      <w:pPr>
        <w:pStyle w:val="Heading 2"/>
        <w:jc w:val="both"/>
        <w:rPr>
          <w:rFonts w:ascii="Verdana" w:cs="Verdana" w:hAnsi="Verdana" w:eastAsia="Verdana"/>
          <w:b w:val="0"/>
          <w:bCs w:val="0"/>
        </w:rPr>
      </w:pPr>
      <w:r>
        <w:rPr>
          <w:rFonts w:ascii="Verdana" w:hAnsi="Verdana"/>
          <w:b w:val="0"/>
          <w:bCs w:val="0"/>
          <w:sz w:val="24"/>
          <w:szCs w:val="24"/>
          <w:rtl w:val="0"/>
          <w:lang w:val="en-US"/>
        </w:rPr>
        <w:t>The assumption is empirically false. Anatomically modern humans - Homo sapiens with the same cranial morphology, the same prefrontal cortex development, the same language capacity, and the same working memory architecture as living humans - have been present on Earth for at least 300,000 years (Hublin et al., 2017). The people who built the Great Pyramid were cognitively indistinguishable from the engineers who designed the Large Hadron Collider. They lacked 4,500 years of accumulated technological substrate - the cumulative product of each generation's innovations preserved and transmitted to the next - but possessed every cognitive capacity required to solve the engineering problems they demonstrably solved.</w:t>
      </w:r>
    </w:p>
    <w:p>
      <w:pPr>
        <w:pStyle w:val="Heading 2"/>
        <w:jc w:val="both"/>
        <w:rPr>
          <w:rFonts w:ascii="Verdana" w:cs="Verdana" w:hAnsi="Verdana" w:eastAsia="Verdana"/>
          <w:b w:val="0"/>
          <w:bCs w:val="0"/>
        </w:rPr>
      </w:pPr>
      <w:r>
        <w:rPr>
          <w:rFonts w:ascii="Verdana" w:hAnsi="Verdana"/>
          <w:b w:val="0"/>
          <w:bCs w:val="0"/>
          <w:sz w:val="24"/>
          <w:szCs w:val="24"/>
          <w:rtl w:val="0"/>
          <w:lang w:val="en-US"/>
        </w:rPr>
        <w:t>The AAH's implicit premise carries a specific distributional bias that requires naming. When examining the distribution of structures for which alien assistance is proposed, a pattern emerges: the Egyptian pyramids, the Nazca lines, the Mesoamerican temples, the Angkor complex, the Andean fortresses. European megalithic structures - Stonehenge, Carnac, Newgrange - are occasionally included, but with notably less emphasis. The implicit logic appears to be that certain civilisations - specifically non-Western ones - could not have produced these achievements without help, while comparable European achievements require no such explanation. This embeds a differential epistemic standard: the implicit application of different explanatory criteria to comparable classes of achievement depending on the cultural origin of those achievements. The AAH attributes large-scale organised construction, sophisticated astronomical observation, and complex symbolic programmes to human ingenuity without question in some cultural contexts, while requiring alien assistance to explain equivalent achievements in others. This differential standard has been documented in the history of Egyptology and related disciplines (Fagan, 2004), and its presence in the AAH framework does not require that individual proponents hold consciously discriminatory views - the standard operates at the level of the framework's structural assumptions, not its stated intentions. It is, however, a methodological error with empirical consequences, and the DSSM demonstrates it is also unnecessary: the achievements of every civilisation cited are explicable through the same universal cognitive mechanisms, operating across populations with identical cognitive architecture.</w:t>
      </w:r>
    </w:p>
    <w:p>
      <w:pPr>
        <w:pStyle w:val="Heading"/>
        <w:jc w:val="both"/>
        <w:rPr>
          <w:rFonts w:ascii="Verdana" w:cs="Verdana" w:hAnsi="Verdana" w:eastAsia="Verdana"/>
          <w:b w:val="0"/>
          <w:bCs w:val="0"/>
        </w:rPr>
      </w:pPr>
      <w:r>
        <w:rPr>
          <w:rFonts w:ascii="Verdana" w:hAnsi="Verdana"/>
          <w:b w:val="0"/>
          <w:bCs w:val="0"/>
          <w:rtl w:val="0"/>
          <w:lang w:val="en-US"/>
        </w:rPr>
        <w:t>5. The Deep Symbolic Systems Model: A Complete Account</w:t>
      </w:r>
    </w:p>
    <w:p>
      <w:pPr>
        <w:pStyle w:val="Heading"/>
        <w:jc w:val="both"/>
        <w:rPr>
          <w:rFonts w:ascii="Verdana" w:cs="Verdana" w:hAnsi="Verdana" w:eastAsia="Verdana"/>
          <w:b w:val="0"/>
          <w:bCs w:val="0"/>
        </w:rPr>
      </w:pPr>
      <w:r>
        <w:rPr>
          <w:rFonts w:ascii="Verdana" w:hAnsi="Verdana"/>
          <w:b w:val="0"/>
          <w:bCs w:val="0"/>
          <w:sz w:val="24"/>
          <w:szCs w:val="24"/>
          <w:rtl w:val="0"/>
          <w:lang w:val="en-US"/>
        </w:rPr>
        <w:t>Section 4 demonstrated that the AAH's evidential claims fail. This section does something more important: it shows what actually happened. Refutation alone leaves a void. The DSSM fills it - not with a simpler story but with a complete one, mechanistic and grounded, that accounts for every phenomenon the AAH cites and leaves nothing requiring external explanation.</w:t>
      </w:r>
    </w:p>
    <w:p>
      <w:pPr>
        <w:pStyle w:val="Heading"/>
        <w:jc w:val="both"/>
        <w:rPr>
          <w:rFonts w:ascii="Verdana" w:cs="Verdana" w:hAnsi="Verdana" w:eastAsia="Verdana"/>
          <w:b w:val="0"/>
          <w:bCs w:val="0"/>
        </w:rPr>
      </w:pPr>
      <w:r>
        <w:rPr>
          <w:rFonts w:ascii="Verdana" w:hAnsi="Verdana"/>
          <w:b w:val="0"/>
          <w:bCs w:val="0"/>
          <w:sz w:val="24"/>
          <w:szCs w:val="24"/>
          <w:rtl w:val="0"/>
          <w:lang w:val="en-US"/>
        </w:rPr>
        <w:t>The DSSM does not argue against the existence of alien intelligence. It renders external intervention unnecessary by providing an account in which every civilisational development the AAH attributes to alien assistance follows predictably from the recursive stabilisation of embodied practices through identifiable stages, with identifiable neural substrates, identifiable population thresholds, and identifiable archaeological signatures. Where the DSSM's account is correct, there is no residual phenomenon requiring external explanation.</w:t>
      </w:r>
    </w:p>
    <w:p>
      <w:pPr>
        <w:pStyle w:val="Heading 2"/>
        <w:jc w:val="both"/>
        <w:rPr>
          <w:rFonts w:ascii="Verdana" w:cs="Verdana" w:hAnsi="Verdana" w:eastAsia="Verdana"/>
          <w:b w:val="0"/>
          <w:bCs w:val="0"/>
        </w:rPr>
      </w:pPr>
      <w:r>
        <w:rPr>
          <w:rFonts w:ascii="Verdana" w:hAnsi="Verdana"/>
          <w:b w:val="0"/>
          <w:bCs w:val="0"/>
          <w:rtl w:val="0"/>
          <w:lang w:val="en-US"/>
        </w:rPr>
        <w:t>5.1 Core Thesis</w:t>
      </w:r>
    </w:p>
    <w:p>
      <w:pPr>
        <w:pStyle w:val="Heading 2"/>
        <w:jc w:val="both"/>
        <w:rPr>
          <w:rFonts w:ascii="Verdana" w:cs="Verdana" w:hAnsi="Verdana" w:eastAsia="Verdana"/>
          <w:b w:val="0"/>
          <w:bCs w:val="0"/>
        </w:rPr>
      </w:pPr>
      <w:r>
        <w:rPr>
          <w:rFonts w:ascii="Verdana" w:hAnsi="Verdana"/>
          <w:b w:val="0"/>
          <w:bCs w:val="0"/>
          <w:sz w:val="24"/>
          <w:szCs w:val="24"/>
          <w:rtl w:val="0"/>
          <w:lang w:val="en-US"/>
        </w:rPr>
        <w:t>Before applying the DSSM to the AAH's specific claims, a self-contained account of the framework is necessary for readers encountering it here for the first time. The Deep Symbolic Systems Model is a theoretical framework for the analysis of civilisational emergence, developed across a body of original research by the present author (Vondoom, 2026; Vondoom, 2026b; Vondoom, 2026c). Its foundational claim is that civilisation is not a threshold that populations either cross or do not - it is a continuous process of symbolic stabilisation, proceeding through identifiable stages with identifiable mechanisms, neural substrates, and population conditions. The model rejects two assumptions common to both conventional archaeology and the AAH: first, that civilisation requires writing or monumental architecture as preconditions (these are late-stage outputs, not origins); second, that civilisational development is exogenous - delivered by contact, diffusion, or instruction from a more advanced external source. The DSSM addresses exactly the same evidence the AAH addresses, and its account of that evidence is mechanistic, staged, and falsifiable in principle.</w:t>
      </w:r>
    </w:p>
    <w:p>
      <w:pPr>
        <w:pStyle w:val="Heading 2"/>
        <w:jc w:val="both"/>
        <w:rPr>
          <w:rFonts w:ascii="Verdana" w:cs="Verdana" w:hAnsi="Verdana" w:eastAsia="Verdana"/>
          <w:b w:val="0"/>
          <w:bCs w:val="0"/>
        </w:rPr>
      </w:pPr>
      <w:r>
        <w:rPr>
          <w:rFonts w:ascii="Verdana" w:hAnsi="Verdana"/>
          <w:b w:val="0"/>
          <w:bCs w:val="0"/>
          <w:sz w:val="24"/>
          <w:szCs w:val="24"/>
          <w:rtl w:val="0"/>
          <w:lang w:val="en-US"/>
        </w:rPr>
        <w:t>Central to the framework is the concept of symbolic scaffolding: the cumulative cognitive and material infrastructure that enables increasingly complex representational activity. Each act of symbolic representation - applying ochre, carving a figure, constructing a ritual site, recording a calendar - both expresses existing symbolic capacity and extends it by creating a material referent that can be returned to, modified, and transmitted. The scaffold builds itself. A population with ochre use has Stage 1-2 scaffolding. A population with figurative art has Stage 2 scaffolding. A population with monumental architecture has Stage 3. The model's temporal reach is demonstrated by Bruniquel Cave (176,000 BP): Neanderthal spatial organisation of a deep cave environment - stalagmite structures with no utilitarian function - registers proto-Stage-1 symbolic constraint in the FCP, scoring 8/12 (Jaubert et al., 2016; Vondoom, 2026). Technologies, in this account, are fossilised rituals (Vondoom, 2026): accumulated and stabilised practice externalised into durable form. The wheel, writing, the pyramid - none of these required an external teacher. All of them required time, transmission fidelity, and population scale.</w:t>
      </w:r>
    </w:p>
    <w:p>
      <w:pPr>
        <w:pStyle w:val="Heading 2"/>
        <w:jc w:val="both"/>
        <w:rPr>
          <w:rFonts w:ascii="Verdana" w:cs="Verdana" w:hAnsi="Verdana" w:eastAsia="Verdana"/>
          <w:b w:val="0"/>
          <w:bCs w:val="0"/>
        </w:rPr>
      </w:pPr>
      <w:r>
        <w:rPr>
          <w:rFonts w:ascii="Verdana" w:hAnsi="Verdana"/>
          <w:b w:val="0"/>
          <w:bCs w:val="0"/>
          <w:sz w:val="24"/>
          <w:szCs w:val="24"/>
          <w:rtl w:val="0"/>
          <w:lang w:val="en-US"/>
        </w:rPr>
        <w:t>Civilisation advances through the recursive stabilisation of embodied practices into durable symbolic systems. The sequence is: rituals become symbols; symbols become protocols; protocols become institutions. Each stabilisation stage increases the persistence, transmissibility, and scalability of knowledge across generations and populations. The process does not require external input. It requires only three conditions present in all human populations: bodies capable of performing repeated actions, social groups capable of observing and transmitting those actions, and the cognitive architecture to represent, abstract, and refine them. Given sufficient time, stable environmental conditions, and population thresholds, civilisational emergence is not merely possible. It is predictable.</w:t>
      </w:r>
    </w:p>
    <w:p>
      <w:pPr>
        <w:pStyle w:val="Heading 2"/>
        <w:jc w:val="both"/>
        <w:rPr>
          <w:rFonts w:ascii="Verdana" w:cs="Verdana" w:hAnsi="Verdana" w:eastAsia="Verdana"/>
          <w:b w:val="0"/>
          <w:bCs w:val="0"/>
        </w:rPr>
      </w:pPr>
      <w:r>
        <w:rPr>
          <w:rFonts w:ascii="Verdana" w:hAnsi="Verdana"/>
          <w:b w:val="0"/>
          <w:bCs w:val="0"/>
          <w:sz w:val="24"/>
          <w:szCs w:val="24"/>
          <w:rtl w:val="0"/>
          <w:lang w:val="en-US"/>
        </w:rPr>
        <w:t>The wheel is the ritual of circular rolling stabilised into protocol. Writing is the ritual of symbolic marking stabilised into institutional code. Monumental architecture is the ritual of communal construction stabilised into permanent material claim on landscape. None requires an external teacher. All require accumulated practice, transmission fidelity, and population scale.</w:t>
      </w:r>
    </w:p>
    <w:p>
      <w:pPr>
        <w:pStyle w:val="Heading 2"/>
        <w:jc w:val="both"/>
        <w:rPr>
          <w:rFonts w:ascii="Verdana" w:cs="Verdana" w:hAnsi="Verdana" w:eastAsia="Verdana"/>
          <w:b w:val="0"/>
          <w:bCs w:val="0"/>
        </w:rPr>
      </w:pPr>
      <w:r>
        <w:rPr>
          <w:rFonts w:ascii="Verdana" w:hAnsi="Verdana"/>
          <w:b w:val="0"/>
          <w:bCs w:val="0"/>
          <w:rtl w:val="0"/>
          <w:lang w:val="de-DE"/>
        </w:rPr>
        <w:t>5.2 The Four Stabilisation Stages</w:t>
      </w:r>
    </w:p>
    <w:p>
      <w:pPr>
        <w:pStyle w:val="Heading 2"/>
        <w:jc w:val="both"/>
        <w:rPr>
          <w:rFonts w:ascii="Verdana" w:cs="Verdana" w:hAnsi="Verdana" w:eastAsia="Verdana"/>
          <w:b w:val="0"/>
          <w:bCs w:val="0"/>
        </w:rPr>
      </w:pPr>
      <w:r>
        <w:rPr>
          <w:rFonts w:ascii="Verdana" w:hAnsi="Verdana"/>
          <w:b w:val="0"/>
          <w:bCs w:val="0"/>
          <w:sz w:val="24"/>
          <w:szCs w:val="24"/>
          <w:rtl w:val="0"/>
          <w:lang w:val="en-US"/>
        </w:rPr>
        <w:t>The DSSM identifies four stages of symbolic stabilisation, each with distinct characteristics, neural substrates, archaeological signatures, and population thresholds. These are summarised in Table 5 and Figure 1.</w:t>
      </w: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sz w:val="22"/>
          <w:szCs w:val="22"/>
          <w:rtl w:val="0"/>
          <w:lang w:val="en-US"/>
        </w:rPr>
        <w:t>Table 5. DSSM Stage Characteristics, Neural Substrates, and Archaeological Signatures</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00"/>
        <w:gridCol w:w="1800"/>
        <w:gridCol w:w="1800"/>
        <w:gridCol w:w="2000"/>
        <w:gridCol w:w="2026"/>
      </w:tblGrid>
      <w:tr>
        <w:tblPrEx>
          <w:shd w:val="clear" w:color="auto" w:fill="4f81bd"/>
        </w:tblPrEx>
        <w:trPr>
          <w:trHeight w:val="529" w:hRule="atLeast"/>
          <w:tblHeader/>
        </w:trPr>
        <w:tc>
          <w:tcPr>
            <w:tcW w:type="dxa" w:w="14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Arial" w:hAnsi="Arial"/>
                <w:b w:val="1"/>
                <w:bCs w:val="1"/>
                <w:sz w:val="22"/>
                <w:szCs w:val="22"/>
                <w:u w:color="000000"/>
                <w:shd w:val="nil" w:color="auto" w:fill="auto"/>
                <w:rtl w:val="0"/>
                <w:lang w:val="da-DK"/>
              </w:rPr>
              <w:t>Stage</w:t>
            </w:r>
          </w:p>
        </w:tc>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en-US"/>
              </w:rPr>
              <w:t>Designation</w:t>
            </w:r>
          </w:p>
        </w:tc>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pt-PT"/>
              </w:rPr>
              <w:t>Neural Substrate</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en-US"/>
              </w:rPr>
              <w:t>Archaeological Signature</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en-US"/>
              </w:rPr>
              <w:t>Population / Social Threshold</w:t>
            </w:r>
          </w:p>
        </w:tc>
      </w:tr>
      <w:tr>
        <w:tblPrEx>
          <w:shd w:val="clear" w:color="auto" w:fill="ced7e7"/>
        </w:tblPrEx>
        <w:trPr>
          <w:trHeight w:val="2249" w:hRule="atLeast"/>
        </w:trPr>
        <w:tc>
          <w:tcPr>
            <w:tcW w:type="dxa" w:w="14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2"/>
                <w:szCs w:val="22"/>
                <w:u w:color="000000"/>
                <w:shd w:val="nil" w:color="auto" w:fill="auto"/>
                <w:rtl w:val="0"/>
                <w:lang w:val="da-DK"/>
              </w:rPr>
              <w:t>Stage 1</w:t>
            </w:r>
          </w:p>
        </w:tc>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Embodied Procedural Knowledge</w:t>
            </w:r>
          </w:p>
        </w:tc>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Basal ganglia; cerebellum; procedural memory networks (Graybiel, 2008; Yin &amp; Knowlton, 2006)</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Tool standardisation; consistent butchery patterns; systematic ochre use; structured foraging routes</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No threshold required; observable in small bands</w:t>
            </w:r>
          </w:p>
        </w:tc>
      </w:tr>
      <w:tr>
        <w:tblPrEx>
          <w:shd w:val="clear" w:color="auto" w:fill="ced7e7"/>
        </w:tblPrEx>
        <w:trPr>
          <w:trHeight w:val="1962" w:hRule="atLeast"/>
        </w:trPr>
        <w:tc>
          <w:tcPr>
            <w:tcW w:type="dxa" w:w="14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2"/>
                <w:szCs w:val="22"/>
                <w:u w:color="000000"/>
                <w:shd w:val="nil" w:color="auto" w:fill="auto"/>
                <w:rtl w:val="0"/>
                <w:lang w:val="da-DK"/>
              </w:rPr>
              <w:t>Stage 2</w:t>
            </w:r>
          </w:p>
        </w:tc>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Ritualised Repetition</w:t>
            </w:r>
          </w:p>
        </w:tc>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Long-term potentiation; hippocampal-cortical consolidation (Squire &amp; Dede, 2015)</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Burial practices; persistent site use; repetitive symbolic motifs; body ornament</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Minimum: stable social group of ~25-50 individuals with intergenerational continuity</w:t>
            </w:r>
          </w:p>
        </w:tc>
      </w:tr>
      <w:tr>
        <w:tblPrEx>
          <w:shd w:val="clear" w:color="auto" w:fill="ced7e7"/>
        </w:tblPrEx>
        <w:trPr>
          <w:trHeight w:val="5687" w:hRule="atLeast"/>
        </w:trPr>
        <w:tc>
          <w:tcPr>
            <w:tcW w:type="dxa" w:w="14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2"/>
                <w:szCs w:val="22"/>
                <w:u w:color="000000"/>
                <w:shd w:val="nil" w:color="auto" w:fill="auto"/>
                <w:rtl w:val="0"/>
                <w:lang w:val="da-DK"/>
              </w:rPr>
              <w:t>Stage 3</w:t>
            </w:r>
          </w:p>
        </w:tc>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Cross-Media Redundancy and Proto-Institutions</w:t>
            </w:r>
          </w:p>
        </w:tc>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Distributed cortical networks; working memory offloading to environment</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Monumental architecture; specialist roles; persistent settlement; astronomical notation</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Critical threshold: approximately 400-600 individuals in stable spatial association (Dunbar, 1992; Henrich, 2016; Hamilton et al., 2007; Bandy, 2004) - theoretically derived via transmission fidelity model; DSSM Prediction P7 (Vondoom, 2026); enables institutional proto-structures</w:t>
            </w:r>
          </w:p>
        </w:tc>
      </w:tr>
      <w:tr>
        <w:tblPrEx>
          <w:shd w:val="clear" w:color="auto" w:fill="ced7e7"/>
        </w:tblPrEx>
        <w:trPr>
          <w:trHeight w:val="2535" w:hRule="atLeast"/>
        </w:trPr>
        <w:tc>
          <w:tcPr>
            <w:tcW w:type="dxa" w:w="14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2"/>
                <w:szCs w:val="22"/>
                <w:u w:color="000000"/>
                <w:shd w:val="nil" w:color="auto" w:fill="auto"/>
                <w:rtl w:val="0"/>
                <w:lang w:val="da-DK"/>
              </w:rPr>
              <w:t>Stage 4</w:t>
            </w:r>
          </w:p>
        </w:tc>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Cognitive Offloading and Institutional Emergence</w:t>
            </w:r>
          </w:p>
        </w:tc>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Prefrontal-mediated executive function operating on externalised representations</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Writing; standardised weights and measures; administrative architecture; canonical art forms; legal codes</w:t>
            </w:r>
          </w:p>
        </w:tc>
        <w:tc>
          <w:tcPr>
            <w:tcW w:type="dxa" w:w="20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Threshold: sustained urban or proto-urban population; administrative specialist class; cross-generational institutional memory</w:t>
            </w:r>
          </w:p>
        </w:tc>
      </w:tr>
    </w:tbl>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r>
        <w:rPr>
          <w:rFonts w:ascii="Verdana" w:hAnsi="Verdana"/>
          <w:b w:val="0"/>
          <w:bCs w:val="0"/>
          <w:sz w:val="22"/>
          <w:szCs w:val="22"/>
          <w:rtl w:val="0"/>
          <w:lang w:val="en-US"/>
        </w:rPr>
        <w:t>Figure 1. DSSM Four-Stage Progression: Characteristics, Neural Substrates, Archaeological Signatures, and Population Thresholds</w:t>
      </w:r>
    </w:p>
    <w:tbl>
      <w:tblPr>
        <w:tblW w:w="90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54"/>
        <w:gridCol w:w="2255"/>
        <w:gridCol w:w="2255"/>
        <w:gridCol w:w="2256"/>
      </w:tblGrid>
      <w:tr>
        <w:tblPrEx>
          <w:shd w:val="clear" w:color="auto" w:fill="ced7e7"/>
        </w:tblPrEx>
        <w:trPr>
          <w:trHeight w:val="243" w:hRule="atLeast"/>
        </w:trPr>
        <w:tc>
          <w:tcPr>
            <w:tcW w:type="dxa" w:w="2254"/>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de-DE"/>
              </w:rPr>
              <w:t>STAGE 1</w:t>
            </w:r>
          </w:p>
        </w:tc>
        <w:tc>
          <w:tcPr>
            <w:tcW w:type="dxa" w:w="2254"/>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de-DE"/>
              </w:rPr>
              <w:t>STAGE 2</w:t>
            </w:r>
          </w:p>
        </w:tc>
        <w:tc>
          <w:tcPr>
            <w:tcW w:type="dxa" w:w="2255"/>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de-DE"/>
              </w:rPr>
              <w:t>STAGE 3</w:t>
            </w:r>
          </w:p>
        </w:tc>
        <w:tc>
          <w:tcPr>
            <w:tcW w:type="dxa" w:w="2255"/>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de-DE"/>
              </w:rPr>
              <w:t>STAGE 4</w:t>
            </w:r>
          </w:p>
        </w:tc>
      </w:tr>
      <w:tr>
        <w:tblPrEx>
          <w:shd w:val="clear" w:color="auto" w:fill="ced7e7"/>
        </w:tblPrEx>
        <w:trPr>
          <w:trHeight w:val="1582" w:hRule="atLeast"/>
        </w:trPr>
        <w:tc>
          <w:tcPr>
            <w:tcW w:type="dxa" w:w="2254"/>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b w:val="1"/>
                <w:bCs w:val="1"/>
                <w:sz w:val="22"/>
                <w:szCs w:val="22"/>
                <w:u w:color="000000"/>
                <w:shd w:val="nil" w:color="auto" w:fill="auto"/>
                <w:rtl w:val="0"/>
              </w:rPr>
            </w:pPr>
            <w:r>
              <w:rPr>
                <w:rFonts w:ascii="Arial" w:hAnsi="Arial"/>
                <w:b w:val="1"/>
                <w:bCs w:val="1"/>
                <w:sz w:val="22"/>
                <w:szCs w:val="22"/>
                <w:u w:color="000000"/>
                <w:shd w:val="nil" w:color="auto" w:fill="auto"/>
                <w:rtl w:val="0"/>
                <w:lang w:val="en-US"/>
              </w:rPr>
              <w:t>Embodied</w:t>
            </w:r>
          </w:p>
          <w:p>
            <w:pPr>
              <w:pStyle w:val="Default"/>
              <w:tabs>
                <w:tab w:val="left" w:pos="720"/>
                <w:tab w:val="left" w:pos="1440"/>
                <w:tab w:val="left" w:pos="2160"/>
              </w:tabs>
              <w:jc w:val="center"/>
              <w:rPr>
                <w:rFonts w:ascii="Arial" w:cs="Arial" w:hAnsi="Arial" w:eastAsia="Arial"/>
                <w:b w:val="1"/>
                <w:bCs w:val="1"/>
                <w:sz w:val="22"/>
                <w:szCs w:val="22"/>
                <w:u w:color="000000"/>
                <w:shd w:val="nil" w:color="auto" w:fill="auto"/>
                <w:rtl w:val="0"/>
              </w:rPr>
            </w:pPr>
            <w:r>
              <w:rPr>
                <w:rFonts w:ascii="Arial" w:hAnsi="Arial"/>
                <w:b w:val="1"/>
                <w:bCs w:val="1"/>
                <w:sz w:val="22"/>
                <w:szCs w:val="22"/>
                <w:u w:color="000000"/>
                <w:shd w:val="nil" w:color="auto" w:fill="auto"/>
                <w:rtl w:val="0"/>
              </w:rPr>
              <w:t>Procedural</w:t>
            </w:r>
          </w:p>
          <w:p>
            <w:pPr>
              <w:pStyle w:val="Default"/>
              <w:tabs>
                <w:tab w:val="left" w:pos="720"/>
                <w:tab w:val="left" w:pos="1440"/>
                <w:tab w:val="left" w:pos="2160"/>
              </w:tabs>
              <w:jc w:val="center"/>
            </w:pPr>
            <w:r>
              <w:rPr>
                <w:rFonts w:ascii="Arial" w:hAnsi="Arial"/>
                <w:b w:val="1"/>
                <w:bCs w:val="1"/>
                <w:sz w:val="22"/>
                <w:szCs w:val="22"/>
                <w:u w:color="000000"/>
                <w:shd w:val="nil" w:color="auto" w:fill="auto"/>
                <w:rtl w:val="0"/>
                <w:lang w:val="en-US"/>
              </w:rPr>
              <w:t>Knowledge</w:t>
            </w:r>
          </w:p>
        </w:tc>
        <w:tc>
          <w:tcPr>
            <w:tcW w:type="dxa" w:w="2254"/>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b w:val="1"/>
                <w:bCs w:val="1"/>
                <w:sz w:val="22"/>
                <w:szCs w:val="22"/>
                <w:u w:color="000000"/>
                <w:shd w:val="nil" w:color="auto" w:fill="auto"/>
                <w:rtl w:val="0"/>
              </w:rPr>
            </w:pPr>
            <w:r>
              <w:rPr>
                <w:rFonts w:ascii="Arial" w:hAnsi="Arial"/>
                <w:b w:val="1"/>
                <w:bCs w:val="1"/>
                <w:sz w:val="22"/>
                <w:szCs w:val="22"/>
                <w:u w:color="000000"/>
                <w:shd w:val="nil" w:color="auto" w:fill="auto"/>
                <w:rtl w:val="0"/>
                <w:lang w:val="en-US"/>
              </w:rPr>
              <w:t>Ritualised</w:t>
            </w:r>
          </w:p>
          <w:p>
            <w:pPr>
              <w:pStyle w:val="Default"/>
              <w:tabs>
                <w:tab w:val="left" w:pos="720"/>
                <w:tab w:val="left" w:pos="1440"/>
                <w:tab w:val="left" w:pos="2160"/>
              </w:tabs>
              <w:jc w:val="center"/>
            </w:pPr>
            <w:r>
              <w:rPr>
                <w:rFonts w:ascii="Arial" w:hAnsi="Arial"/>
                <w:b w:val="1"/>
                <w:bCs w:val="1"/>
                <w:sz w:val="22"/>
                <w:szCs w:val="22"/>
                <w:u w:color="000000"/>
                <w:shd w:val="nil" w:color="auto" w:fill="auto"/>
                <w:rtl w:val="0"/>
                <w:lang w:val="en-US"/>
              </w:rPr>
              <w:t>Repetition</w:t>
            </w:r>
          </w:p>
        </w:tc>
        <w:tc>
          <w:tcPr>
            <w:tcW w:type="dxa" w:w="2255"/>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b w:val="1"/>
                <w:bCs w:val="1"/>
                <w:sz w:val="22"/>
                <w:szCs w:val="22"/>
                <w:u w:color="000000"/>
                <w:shd w:val="nil" w:color="auto" w:fill="auto"/>
                <w:rtl w:val="0"/>
              </w:rPr>
            </w:pPr>
            <w:r>
              <w:rPr>
                <w:rFonts w:ascii="Arial" w:hAnsi="Arial"/>
                <w:b w:val="1"/>
                <w:bCs w:val="1"/>
                <w:sz w:val="22"/>
                <w:szCs w:val="22"/>
                <w:u w:color="000000"/>
                <w:shd w:val="nil" w:color="auto" w:fill="auto"/>
                <w:rtl w:val="0"/>
                <w:lang w:val="it-IT"/>
              </w:rPr>
              <w:t>Cross-Media</w:t>
            </w:r>
          </w:p>
          <w:p>
            <w:pPr>
              <w:pStyle w:val="Default"/>
              <w:tabs>
                <w:tab w:val="left" w:pos="720"/>
                <w:tab w:val="left" w:pos="1440"/>
                <w:tab w:val="left" w:pos="2160"/>
              </w:tabs>
              <w:jc w:val="center"/>
            </w:pPr>
            <w:r>
              <w:rPr>
                <w:rFonts w:ascii="Arial" w:hAnsi="Arial"/>
                <w:b w:val="1"/>
                <w:bCs w:val="1"/>
                <w:sz w:val="22"/>
                <w:szCs w:val="22"/>
                <w:u w:color="000000"/>
                <w:shd w:val="nil" w:color="auto" w:fill="auto"/>
                <w:rtl w:val="0"/>
                <w:lang w:val="en-US"/>
              </w:rPr>
              <w:t>Redundancy</w:t>
            </w:r>
          </w:p>
        </w:tc>
        <w:tc>
          <w:tcPr>
            <w:tcW w:type="dxa" w:w="2255"/>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b w:val="1"/>
                <w:bCs w:val="1"/>
                <w:sz w:val="22"/>
                <w:szCs w:val="22"/>
                <w:u w:color="000000"/>
                <w:shd w:val="nil" w:color="auto" w:fill="auto"/>
                <w:rtl w:val="0"/>
              </w:rPr>
            </w:pPr>
            <w:r>
              <w:rPr>
                <w:rFonts w:ascii="Arial" w:hAnsi="Arial"/>
                <w:b w:val="1"/>
                <w:bCs w:val="1"/>
                <w:sz w:val="22"/>
                <w:szCs w:val="22"/>
                <w:u w:color="000000"/>
                <w:shd w:val="nil" w:color="auto" w:fill="auto"/>
                <w:rtl w:val="0"/>
                <w:lang w:val="it-IT"/>
              </w:rPr>
              <w:t>Cognitive</w:t>
            </w:r>
          </w:p>
          <w:p>
            <w:pPr>
              <w:pStyle w:val="Default"/>
              <w:tabs>
                <w:tab w:val="left" w:pos="720"/>
                <w:tab w:val="left" w:pos="1440"/>
                <w:tab w:val="left" w:pos="2160"/>
              </w:tabs>
              <w:jc w:val="center"/>
              <w:rPr>
                <w:rFonts w:ascii="Arial" w:cs="Arial" w:hAnsi="Arial" w:eastAsia="Arial"/>
                <w:b w:val="1"/>
                <w:bCs w:val="1"/>
                <w:sz w:val="22"/>
                <w:szCs w:val="22"/>
                <w:u w:color="000000"/>
                <w:shd w:val="nil" w:color="auto" w:fill="auto"/>
                <w:rtl w:val="0"/>
              </w:rPr>
            </w:pPr>
            <w:r>
              <w:rPr>
                <w:rFonts w:ascii="Arial" w:hAnsi="Arial"/>
                <w:b w:val="1"/>
                <w:bCs w:val="1"/>
                <w:sz w:val="22"/>
                <w:szCs w:val="22"/>
                <w:u w:color="000000"/>
                <w:shd w:val="nil" w:color="auto" w:fill="auto"/>
                <w:rtl w:val="0"/>
                <w:lang w:val="en-US"/>
              </w:rPr>
              <w:t>Offloading /</w:t>
            </w:r>
          </w:p>
          <w:p>
            <w:pPr>
              <w:pStyle w:val="Default"/>
              <w:tabs>
                <w:tab w:val="left" w:pos="720"/>
                <w:tab w:val="left" w:pos="1440"/>
                <w:tab w:val="left" w:pos="2160"/>
              </w:tabs>
              <w:jc w:val="center"/>
              <w:rPr>
                <w:rFonts w:ascii="Arial" w:cs="Arial" w:hAnsi="Arial" w:eastAsia="Arial"/>
                <w:b w:val="1"/>
                <w:bCs w:val="1"/>
                <w:sz w:val="22"/>
                <w:szCs w:val="22"/>
                <w:u w:color="000000"/>
                <w:shd w:val="nil" w:color="auto" w:fill="auto"/>
                <w:rtl w:val="0"/>
              </w:rPr>
            </w:pPr>
            <w:r>
              <w:rPr>
                <w:rFonts w:ascii="Arial" w:hAnsi="Arial"/>
                <w:b w:val="1"/>
                <w:bCs w:val="1"/>
                <w:sz w:val="22"/>
                <w:szCs w:val="22"/>
                <w:u w:color="000000"/>
                <w:shd w:val="nil" w:color="auto" w:fill="auto"/>
                <w:rtl w:val="0"/>
                <w:lang w:val="fr-FR"/>
              </w:rPr>
              <w:t>Institutional</w:t>
            </w:r>
          </w:p>
          <w:p>
            <w:pPr>
              <w:pStyle w:val="Default"/>
              <w:tabs>
                <w:tab w:val="left" w:pos="720"/>
                <w:tab w:val="left" w:pos="1440"/>
                <w:tab w:val="left" w:pos="2160"/>
              </w:tabs>
              <w:jc w:val="center"/>
            </w:pPr>
            <w:r>
              <w:rPr>
                <w:rFonts w:ascii="Arial" w:hAnsi="Arial"/>
                <w:b w:val="1"/>
                <w:bCs w:val="1"/>
                <w:sz w:val="22"/>
                <w:szCs w:val="22"/>
                <w:u w:color="000000"/>
                <w:shd w:val="nil" w:color="auto" w:fill="auto"/>
                <w:rtl w:val="0"/>
                <w:lang w:val="fr-FR"/>
              </w:rPr>
              <w:t>Emergence</w:t>
            </w:r>
          </w:p>
        </w:tc>
      </w:tr>
      <w:tr>
        <w:tblPrEx>
          <w:shd w:val="clear" w:color="auto" w:fill="ced7e7"/>
        </w:tblPrEx>
        <w:trPr>
          <w:trHeight w:val="1914" w:hRule="atLeast"/>
        </w:trPr>
        <w:tc>
          <w:tcPr>
            <w:tcW w:type="dxa" w:w="2254"/>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it-IT"/>
              </w:rPr>
              <w:t>Basal ganglia</w:t>
            </w:r>
          </w:p>
          <w:p>
            <w:pPr>
              <w:pStyle w:val="Default"/>
              <w:tabs>
                <w:tab w:val="left" w:pos="720"/>
                <w:tab w:val="left" w:pos="1440"/>
                <w:tab w:val="left" w:pos="2160"/>
              </w:tabs>
              <w:jc w:val="center"/>
            </w:pPr>
            <w:r>
              <w:rPr>
                <w:rFonts w:ascii="Arial" w:hAnsi="Arial"/>
                <w:sz w:val="20"/>
                <w:szCs w:val="20"/>
                <w:u w:color="000000"/>
                <w:shd w:val="nil" w:color="auto" w:fill="auto"/>
                <w:rtl w:val="0"/>
                <w:lang w:val="nl-NL"/>
              </w:rPr>
              <w:t>Cerebellum</w:t>
            </w:r>
          </w:p>
        </w:tc>
        <w:tc>
          <w:tcPr>
            <w:tcW w:type="dxa" w:w="2254"/>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Long-term</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potentiation</w:t>
            </w:r>
          </w:p>
          <w:p>
            <w:pPr>
              <w:pStyle w:val="Default"/>
              <w:tabs>
                <w:tab w:val="left" w:pos="720"/>
                <w:tab w:val="left" w:pos="1440"/>
                <w:tab w:val="left" w:pos="2160"/>
              </w:tabs>
              <w:jc w:val="center"/>
            </w:pPr>
            <w:r>
              <w:rPr>
                <w:rFonts w:ascii="Arial" w:hAnsi="Arial"/>
                <w:sz w:val="20"/>
                <w:szCs w:val="20"/>
                <w:u w:color="000000"/>
                <w:shd w:val="nil" w:color="auto" w:fill="auto"/>
                <w:rtl w:val="0"/>
                <w:lang w:val="it-IT"/>
              </w:rPr>
              <w:t>Hippocampus</w:t>
            </w:r>
          </w:p>
        </w:tc>
        <w:tc>
          <w:tcPr>
            <w:tcW w:type="dxa" w:w="2255"/>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Distributed</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cortical networks;</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s-ES_tradnl"/>
              </w:rPr>
              <w:t>prefrontal-motor</w:t>
            </w:r>
          </w:p>
          <w:p>
            <w:pPr>
              <w:pStyle w:val="Default"/>
              <w:tabs>
                <w:tab w:val="left" w:pos="720"/>
                <w:tab w:val="left" w:pos="1440"/>
                <w:tab w:val="left" w:pos="2160"/>
              </w:tabs>
              <w:jc w:val="center"/>
            </w:pPr>
            <w:r>
              <w:rPr>
                <w:rFonts w:ascii="Arial" w:hAnsi="Arial"/>
                <w:sz w:val="20"/>
                <w:szCs w:val="20"/>
                <w:u w:color="000000"/>
                <w:shd w:val="nil" w:color="auto" w:fill="auto"/>
                <w:rtl w:val="0"/>
                <w:lang w:val="en-US"/>
              </w:rPr>
              <w:t>integration</w:t>
            </w:r>
          </w:p>
        </w:tc>
        <w:tc>
          <w:tcPr>
            <w:tcW w:type="dxa" w:w="2255"/>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it-IT"/>
              </w:rPr>
              <w:t>Prefrontal</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rPr>
              <w:t>executive</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function +</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pt-PT"/>
              </w:rPr>
              <w:t>external</w:t>
            </w:r>
          </w:p>
          <w:p>
            <w:pPr>
              <w:pStyle w:val="Default"/>
              <w:tabs>
                <w:tab w:val="left" w:pos="720"/>
                <w:tab w:val="left" w:pos="1440"/>
                <w:tab w:val="left" w:pos="2160"/>
              </w:tabs>
              <w:jc w:val="center"/>
            </w:pPr>
            <w:r>
              <w:rPr>
                <w:rFonts w:ascii="Arial" w:hAnsi="Arial"/>
                <w:sz w:val="20"/>
                <w:szCs w:val="20"/>
                <w:u w:color="000000"/>
                <w:shd w:val="nil" w:color="auto" w:fill="auto"/>
                <w:rtl w:val="0"/>
                <w:lang w:val="en-US"/>
              </w:rPr>
              <w:t>representations</w:t>
            </w:r>
          </w:p>
        </w:tc>
      </w:tr>
      <w:tr>
        <w:tblPrEx>
          <w:shd w:val="clear" w:color="auto" w:fill="ced7e7"/>
        </w:tblPrEx>
        <w:trPr>
          <w:trHeight w:val="1914" w:hRule="atLeast"/>
        </w:trPr>
        <w:tc>
          <w:tcPr>
            <w:tcW w:type="dxa" w:w="2254"/>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Tool</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fr-FR"/>
              </w:rPr>
              <w:t>standardisation;</w:t>
            </w:r>
          </w:p>
          <w:p>
            <w:pPr>
              <w:pStyle w:val="Default"/>
              <w:tabs>
                <w:tab w:val="left" w:pos="720"/>
                <w:tab w:val="left" w:pos="1440"/>
                <w:tab w:val="left" w:pos="2160"/>
              </w:tabs>
              <w:jc w:val="center"/>
            </w:pPr>
            <w:r>
              <w:rPr>
                <w:rFonts w:ascii="Arial" w:hAnsi="Arial"/>
                <w:sz w:val="20"/>
                <w:szCs w:val="20"/>
                <w:u w:color="000000"/>
                <w:shd w:val="nil" w:color="auto" w:fill="auto"/>
                <w:rtl w:val="0"/>
                <w:lang w:val="de-DE"/>
              </w:rPr>
              <w:t>ochre use</w:t>
            </w:r>
          </w:p>
        </w:tc>
        <w:tc>
          <w:tcPr>
            <w:tcW w:type="dxa" w:w="2254"/>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rPr>
              <w:t>Burial;</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fr-FR"/>
              </w:rPr>
              <w:t>persistent</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site use;</w:t>
            </w:r>
          </w:p>
          <w:p>
            <w:pPr>
              <w:pStyle w:val="Default"/>
              <w:tabs>
                <w:tab w:val="left" w:pos="720"/>
                <w:tab w:val="left" w:pos="1440"/>
                <w:tab w:val="left" w:pos="2160"/>
              </w:tabs>
              <w:jc w:val="center"/>
            </w:pPr>
            <w:r>
              <w:rPr>
                <w:rFonts w:ascii="Arial" w:hAnsi="Arial"/>
                <w:sz w:val="20"/>
                <w:szCs w:val="20"/>
                <w:u w:color="000000"/>
                <w:shd w:val="nil" w:color="auto" w:fill="auto"/>
                <w:rtl w:val="0"/>
                <w:lang w:val="en-US"/>
              </w:rPr>
              <w:t>body ornament</w:t>
            </w:r>
          </w:p>
        </w:tc>
        <w:tc>
          <w:tcPr>
            <w:tcW w:type="dxa" w:w="2255"/>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it-IT"/>
              </w:rPr>
              <w:t>Monumental</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architecture;</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pt-PT"/>
              </w:rPr>
              <w:t>specialist</w:t>
            </w:r>
          </w:p>
          <w:p>
            <w:pPr>
              <w:pStyle w:val="Default"/>
              <w:tabs>
                <w:tab w:val="left" w:pos="720"/>
                <w:tab w:val="left" w:pos="1440"/>
                <w:tab w:val="left" w:pos="2160"/>
              </w:tabs>
              <w:jc w:val="center"/>
            </w:pPr>
            <w:r>
              <w:rPr>
                <w:rFonts w:ascii="Arial" w:hAnsi="Arial"/>
                <w:sz w:val="20"/>
                <w:szCs w:val="20"/>
                <w:u w:color="000000"/>
                <w:shd w:val="nil" w:color="auto" w:fill="auto"/>
                <w:rtl w:val="0"/>
                <w:lang w:val="fr-FR"/>
              </w:rPr>
              <w:t>roles</w:t>
            </w:r>
          </w:p>
        </w:tc>
        <w:tc>
          <w:tcPr>
            <w:tcW w:type="dxa" w:w="2255"/>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Writing;</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legal codes;</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standardised</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measure;</w:t>
            </w:r>
          </w:p>
          <w:p>
            <w:pPr>
              <w:pStyle w:val="Default"/>
              <w:tabs>
                <w:tab w:val="left" w:pos="720"/>
                <w:tab w:val="left" w:pos="1440"/>
                <w:tab w:val="left" w:pos="2160"/>
              </w:tabs>
              <w:jc w:val="center"/>
            </w:pPr>
            <w:r>
              <w:rPr>
                <w:rFonts w:ascii="Arial" w:hAnsi="Arial"/>
                <w:sz w:val="20"/>
                <w:szCs w:val="20"/>
                <w:u w:color="000000"/>
                <w:shd w:val="nil" w:color="auto" w:fill="auto"/>
                <w:rtl w:val="0"/>
              </w:rPr>
              <w:t>admin arch.</w:t>
            </w:r>
          </w:p>
        </w:tc>
      </w:tr>
      <w:tr>
        <w:tblPrEx>
          <w:shd w:val="clear" w:color="auto" w:fill="ced7e7"/>
        </w:tblPrEx>
        <w:trPr>
          <w:trHeight w:val="1492" w:hRule="atLeast"/>
        </w:trPr>
        <w:tc>
          <w:tcPr>
            <w:tcW w:type="dxa" w:w="2254"/>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Any stable</w:t>
            </w:r>
          </w:p>
          <w:p>
            <w:pPr>
              <w:pStyle w:val="Default"/>
              <w:tabs>
                <w:tab w:val="left" w:pos="720"/>
                <w:tab w:val="left" w:pos="1440"/>
                <w:tab w:val="left" w:pos="2160"/>
              </w:tabs>
              <w:jc w:val="center"/>
            </w:pPr>
            <w:r>
              <w:rPr>
                <w:rFonts w:ascii="Arial" w:hAnsi="Arial"/>
                <w:sz w:val="20"/>
                <w:szCs w:val="20"/>
                <w:u w:color="000000"/>
                <w:shd w:val="nil" w:color="auto" w:fill="auto"/>
                <w:rtl w:val="0"/>
              </w:rPr>
              <w:t>band</w:t>
            </w:r>
          </w:p>
        </w:tc>
        <w:tc>
          <w:tcPr>
            <w:tcW w:type="dxa" w:w="2254"/>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rPr>
              <w:t>25-50</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it-IT"/>
              </w:rPr>
              <w:t>individuals</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with</w:t>
            </w:r>
          </w:p>
          <w:p>
            <w:pPr>
              <w:pStyle w:val="Default"/>
              <w:tabs>
                <w:tab w:val="left" w:pos="720"/>
                <w:tab w:val="left" w:pos="1440"/>
                <w:tab w:val="left" w:pos="2160"/>
              </w:tabs>
              <w:jc w:val="center"/>
            </w:pPr>
            <w:r>
              <w:rPr>
                <w:rFonts w:ascii="Arial" w:hAnsi="Arial"/>
                <w:sz w:val="20"/>
                <w:szCs w:val="20"/>
                <w:u w:color="000000"/>
                <w:shd w:val="nil" w:color="auto" w:fill="auto"/>
                <w:rtl w:val="0"/>
                <w:lang w:val="it-IT"/>
              </w:rPr>
              <w:t>continuity</w:t>
            </w:r>
          </w:p>
        </w:tc>
        <w:tc>
          <w:tcPr>
            <w:tcW w:type="dxa" w:w="2255"/>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~500</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it-IT"/>
              </w:rPr>
              <w:t>individuals</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in stable</w:t>
            </w:r>
          </w:p>
          <w:p>
            <w:pPr>
              <w:pStyle w:val="Default"/>
              <w:tabs>
                <w:tab w:val="left" w:pos="720"/>
                <w:tab w:val="left" w:pos="1440"/>
                <w:tab w:val="left" w:pos="2160"/>
              </w:tabs>
              <w:jc w:val="center"/>
            </w:pPr>
            <w:r>
              <w:rPr>
                <w:rFonts w:ascii="Arial" w:hAnsi="Arial"/>
                <w:sz w:val="20"/>
                <w:szCs w:val="20"/>
                <w:u w:color="000000"/>
                <w:shd w:val="nil" w:color="auto" w:fill="auto"/>
                <w:rtl w:val="0"/>
                <w:lang w:val="fr-FR"/>
              </w:rPr>
              <w:t>association</w:t>
            </w:r>
          </w:p>
        </w:tc>
        <w:tc>
          <w:tcPr>
            <w:tcW w:type="dxa" w:w="2255"/>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Sustained</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rPr>
              <w:t>urban / proto-</w:t>
            </w:r>
          </w:p>
          <w:p>
            <w:pPr>
              <w:pStyle w:val="Default"/>
              <w:tabs>
                <w:tab w:val="left" w:pos="720"/>
                <w:tab w:val="left" w:pos="1440"/>
                <w:tab w:val="left" w:pos="2160"/>
              </w:tabs>
              <w:jc w:val="center"/>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rPr>
              <w:t>urban</w:t>
            </w:r>
          </w:p>
          <w:p>
            <w:pPr>
              <w:pStyle w:val="Default"/>
              <w:tabs>
                <w:tab w:val="left" w:pos="720"/>
                <w:tab w:val="left" w:pos="1440"/>
                <w:tab w:val="left" w:pos="2160"/>
              </w:tabs>
              <w:jc w:val="center"/>
            </w:pPr>
            <w:r>
              <w:rPr>
                <w:rFonts w:ascii="Arial" w:hAnsi="Arial"/>
                <w:sz w:val="20"/>
                <w:szCs w:val="20"/>
                <w:u w:color="000000"/>
                <w:shd w:val="nil" w:color="auto" w:fill="auto"/>
                <w:rtl w:val="0"/>
                <w:lang w:val="fr-FR"/>
              </w:rPr>
              <w:t>population</w:t>
            </w:r>
          </w:p>
        </w:tc>
      </w:tr>
    </w:tbl>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r>
        <w:rPr>
          <w:rFonts w:ascii="Verdana" w:hAnsi="Verdana"/>
          <w:b w:val="0"/>
          <w:bCs w:val="0"/>
          <w:i w:val="1"/>
          <w:iCs w:val="1"/>
          <w:sz w:val="22"/>
          <w:szCs w:val="22"/>
          <w:rtl w:val="0"/>
          <w:lang w:val="en-US"/>
        </w:rPr>
        <w:t>Figure 1. The DSSM's four stages of symbolic stabilisation. Each stage is characterised by a distinct neural substrate, archaeological signature, and population or social threshold. Civilisational emergence - the production of monumental architecture, astronomical notation, writing, and administrative institutions - is the predictable outcome of Stage 3-4 stabilisation given adequate population scale and environmental stability.</w:t>
      </w:r>
    </w:p>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r>
        <w:rPr>
          <w:rFonts w:ascii="Verdana" w:hAnsi="Verdana"/>
          <w:b w:val="0"/>
          <w:bCs w:val="0"/>
          <w:sz w:val="24"/>
          <w:szCs w:val="24"/>
          <w:rtl w:val="0"/>
          <w:lang w:val="en-US"/>
        </w:rPr>
        <w:t>The DSSM's stage architecture rests on three independent bodies of empirical evidence. First, the neural timescale bridge derives archaeologically detectable windows from laboratory neuroscience: Stage 1 procedural memory consolidation generates a 100-500 year detection window (Graybiel, 2008; Yin &amp; Knowlton, 2006); Stage 2 long-term potentiation generates 200-800 years (Squire &amp; Dede, 2015); Stage 3 cultural transmission fidelity accumulation generates 300-1,000 years (Henrich, 2016; Hamilton et al., 2007). For Egypt, the Badarian-to-Naqada I transition (~500 years) and the Naqada I-to-Naqada II transition (~500 years) both fall within their predicted ranges - confirmation derived independently of the record the model explains (Vondoom, 2026).</w:t>
      </w:r>
    </w:p>
    <w:p>
      <w:pPr>
        <w:pStyle w:val="Heading 2"/>
        <w:widowControl w:val="0"/>
        <w:jc w:val="both"/>
        <w:rPr>
          <w:rFonts w:ascii="Verdana" w:cs="Verdana" w:hAnsi="Verdana" w:eastAsia="Verdana"/>
          <w:b w:val="0"/>
          <w:bCs w:val="0"/>
        </w:rPr>
      </w:pPr>
      <w:r>
        <w:rPr>
          <w:rFonts w:ascii="Verdana" w:hAnsi="Verdana"/>
          <w:b w:val="0"/>
          <w:bCs w:val="0"/>
          <w:sz w:val="24"/>
          <w:szCs w:val="24"/>
          <w:rtl w:val="0"/>
          <w:lang w:val="en-US"/>
        </w:rPr>
        <w:t>Second, the FCP's inter-rater reliability has been empirically tested. A pilot study - two raters, thirty assemblage contexts, five Egyptian periods, scored without prior DSSM theory instruction - produced Cohen's kappa = 0.71 (substantial agreement; Landis &amp; Koch, 1977), demonstrating that FCP observables can be reliably applied by independent researchers. The CV thresholds are operationally defined: CV &lt; 0.25 for Stage 2 onset; CV &lt; 0.15 for Stage 3 completion (Vondoom, 2026b).</w:t>
      </w:r>
    </w:p>
    <w:p>
      <w:pPr>
        <w:pStyle w:val="Heading 2"/>
        <w:widowControl w:val="0"/>
        <w:jc w:val="both"/>
        <w:rPr>
          <w:rFonts w:ascii="Verdana" w:cs="Verdana" w:hAnsi="Verdana" w:eastAsia="Verdana"/>
          <w:b w:val="0"/>
          <w:bCs w:val="0"/>
        </w:rPr>
      </w:pPr>
      <w:r>
        <w:rPr>
          <w:rFonts w:ascii="Verdana" w:hAnsi="Verdana"/>
          <w:b w:val="0"/>
          <w:bCs w:val="0"/>
          <w:sz w:val="24"/>
          <w:szCs w:val="24"/>
          <w:rtl w:val="0"/>
          <w:lang w:val="en-US"/>
        </w:rPr>
        <w:t>Third, the DSSM generates seven falsifiable predictions evaluated against both positive and negative comparison cases (Vondoom, 2026). The three negative cases analysed in the published corpus - Aboriginal Australia, Sub-Saharan Africa, Late Neolithic Europe - represent three distinct DSSM failure modes, not post-hoc accommodations. A model that cannot predict where symbolic saturation should not occur is not falsifiable. The DSSM is.</w:t>
      </w:r>
    </w:p>
    <w:p>
      <w:pPr>
        <w:pStyle w:val="Heading 2"/>
        <w:jc w:val="both"/>
        <w:rPr>
          <w:rFonts w:ascii="Verdana" w:cs="Verdana" w:hAnsi="Verdana" w:eastAsia="Verdana"/>
          <w:b w:val="0"/>
          <w:bCs w:val="0"/>
        </w:rPr>
      </w:pPr>
      <w:r>
        <w:rPr>
          <w:rFonts w:ascii="Verdana" w:hAnsi="Verdana"/>
          <w:b w:val="0"/>
          <w:bCs w:val="0"/>
          <w:rtl w:val="0"/>
          <w:lang w:val="en-US"/>
        </w:rPr>
        <w:t>5.3 The Symbolic Scaffolding Principle</w:t>
      </w:r>
    </w:p>
    <w:p>
      <w:pPr>
        <w:pStyle w:val="Heading 2"/>
        <w:jc w:val="both"/>
        <w:rPr>
          <w:rFonts w:ascii="Verdana" w:cs="Verdana" w:hAnsi="Verdana" w:eastAsia="Verdana"/>
          <w:b w:val="0"/>
          <w:bCs w:val="0"/>
        </w:rPr>
      </w:pPr>
      <w:r>
        <w:rPr>
          <w:rFonts w:ascii="Verdana" w:hAnsi="Verdana"/>
          <w:b w:val="0"/>
          <w:bCs w:val="0"/>
          <w:sz w:val="24"/>
          <w:szCs w:val="24"/>
          <w:rtl w:val="0"/>
          <w:lang w:val="en-US"/>
        </w:rPr>
        <w:t>Central to the DSSM's engagement with AAH iconographic evidence is the concept of symbolic scaffolding - the cumulative cognitive and material infrastructure that enables increasingly complex representational activity.</w:t>
      </w:r>
    </w:p>
    <w:p>
      <w:pPr>
        <w:pStyle w:val="Heading 2"/>
        <w:jc w:val="both"/>
        <w:rPr>
          <w:rFonts w:ascii="Verdana" w:cs="Verdana" w:hAnsi="Verdana" w:eastAsia="Verdana"/>
          <w:b w:val="0"/>
          <w:bCs w:val="0"/>
        </w:rPr>
      </w:pPr>
      <w:r>
        <w:rPr>
          <w:rFonts w:ascii="Verdana" w:hAnsi="Verdana"/>
          <w:b w:val="0"/>
          <w:bCs w:val="0"/>
          <w:sz w:val="24"/>
          <w:szCs w:val="24"/>
          <w:rtl w:val="0"/>
          <w:lang w:val="en-US"/>
        </w:rPr>
        <w:t>Symbolic scaffolding develops recursively. Each representational act - the application of ochre, the carving of a figure, the arrangement of stones - both expresses existing symbolic capacity and extends it by creating a material referent that can be returned to, modified, and transmitted. The scaffold builds itself. A population with ochre use has Stage 1-2 scaffolding. A population with figurative cave art has Stage 2 scaffolding. A population with monumental architecture has Stage 3 scaffolding.</w:t>
      </w:r>
    </w:p>
    <w:p>
      <w:pPr>
        <w:pStyle w:val="Heading 2"/>
        <w:jc w:val="both"/>
        <w:rPr>
          <w:rFonts w:ascii="Verdana" w:cs="Verdana" w:hAnsi="Verdana" w:eastAsia="Verdana"/>
          <w:b w:val="0"/>
          <w:bCs w:val="0"/>
        </w:rPr>
      </w:pPr>
      <w:r>
        <w:rPr>
          <w:rFonts w:ascii="Verdana" w:hAnsi="Verdana"/>
          <w:b w:val="0"/>
          <w:bCs w:val="0"/>
          <w:sz w:val="24"/>
          <w:szCs w:val="24"/>
          <w:rtl w:val="0"/>
          <w:lang w:val="en-US"/>
        </w:rPr>
        <w:t>The critical implication for AAH iconographic claims: a population capable of producing representational art of the sophistication of the Wandjina figures, the Palenque sarcophagus, or the Tassili rock art, necessarily already possesses the symbolic scaffolding that produces elaborate ceremonial costuming, headdress, and ritual embodiment. These are not separate capabilities. They are expressions of the same Stage 2-3 symbolic capacity. The most sophisticated representational art in any cultural context depicts the most symbolically dense material objects in that culture. Those objects are ceremonial costumes and the beings who wear them.</w:t>
      </w:r>
    </w:p>
    <w:p>
      <w:pPr>
        <w:pStyle w:val="Heading 2"/>
        <w:jc w:val="both"/>
        <w:rPr>
          <w:rFonts w:ascii="Verdana" w:cs="Verdana" w:hAnsi="Verdana" w:eastAsia="Verdana"/>
          <w:b w:val="0"/>
          <w:bCs w:val="0"/>
        </w:rPr>
      </w:pPr>
      <w:r>
        <w:rPr>
          <w:rFonts w:ascii="Verdana" w:hAnsi="Verdana"/>
          <w:b w:val="0"/>
          <w:bCs w:val="0"/>
          <w:sz w:val="24"/>
          <w:szCs w:val="24"/>
          <w:rtl w:val="0"/>
          <w:lang w:val="en-US"/>
        </w:rPr>
        <w:t>The AAH's iconographic reading collapses when symbolic scaffolding is understood, because the alternative to 'this is a spacesuit' is not 'this is a simple garment' - it is 'this is the most elaborate ritual costume this culture's symbolic capacity could produce.' That is always the more parsimonious reading for a culture with documented ceremonial traditions.</w:t>
      </w:r>
    </w:p>
    <w:p>
      <w:pPr>
        <w:pStyle w:val="Heading 2"/>
        <w:jc w:val="both"/>
        <w:rPr>
          <w:rFonts w:ascii="Verdana" w:cs="Verdana" w:hAnsi="Verdana" w:eastAsia="Verdana"/>
          <w:b w:val="0"/>
          <w:bCs w:val="0"/>
        </w:rPr>
      </w:pPr>
      <w:r>
        <w:rPr>
          <w:rFonts w:ascii="Verdana" w:hAnsi="Verdana"/>
          <w:b w:val="0"/>
          <w:bCs w:val="0"/>
          <w:rtl w:val="0"/>
          <w:lang w:val="en-US"/>
        </w:rPr>
        <w:t>5.4 The Foundational Civilisational Potential Observable Score</w:t>
      </w:r>
    </w:p>
    <w:p>
      <w:pPr>
        <w:pStyle w:val="Heading 2"/>
        <w:jc w:val="both"/>
        <w:rPr>
          <w:rFonts w:ascii="Verdana" w:cs="Verdana" w:hAnsi="Verdana" w:eastAsia="Verdana"/>
          <w:b w:val="0"/>
          <w:bCs w:val="0"/>
        </w:rPr>
      </w:pPr>
      <w:r>
        <w:rPr>
          <w:rFonts w:ascii="Verdana" w:hAnsi="Verdana"/>
          <w:b w:val="0"/>
          <w:bCs w:val="0"/>
          <w:sz w:val="24"/>
          <w:szCs w:val="24"/>
          <w:rtl w:val="0"/>
          <w:lang w:val="en-US"/>
        </w:rPr>
        <w:t>The DSSM provides a formal scoring methodology for assessing civilisational maturity: the Field Companion Protocol (FCP), published as a standalone operational instrument (Vondoom, 2026b). The FCP scores six observables on two independent axes - Evidence Strength (E) and Symbolic Specificity (S) - with a minimum-rule combination (final score = min(E,S)) preventing evidence robustness from compensating for symbolic ambiguity. Maximum composite score is 12. Saturation - the threshold at which Stage 4 institutional emergence is predicted - requires a minimum total score of 7 out of 12 with no observable at zero.</w:t>
      </w:r>
    </w:p>
    <w:p>
      <w:pPr>
        <w:pStyle w:val="Heading 2"/>
        <w:jc w:val="both"/>
        <w:rPr>
          <w:rFonts w:ascii="Verdana" w:cs="Verdana" w:hAnsi="Verdana" w:eastAsia="Verdana"/>
          <w:b w:val="0"/>
          <w:bCs w:val="0"/>
        </w:rPr>
      </w:pPr>
      <w:r>
        <w:rPr>
          <w:rFonts w:ascii="Verdana" w:hAnsi="Verdana"/>
          <w:b w:val="0"/>
          <w:bCs w:val="0"/>
          <w:sz w:val="24"/>
          <w:szCs w:val="24"/>
          <w:rtl w:val="0"/>
          <w:lang w:val="en-US"/>
        </w:rPr>
        <w:t>Table 6 applies the FCP scoring methodology to Old Kingdom Egypt at the time of the construction of the Great Pyramid - the culture most frequently cited by AAH proponents as requiring external assistance.</w:t>
      </w: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sz w:val="22"/>
          <w:szCs w:val="22"/>
          <w:rtl w:val="0"/>
          <w:lang w:val="en-US"/>
        </w:rPr>
        <w:t>Table 6. FCP Observable Score: Old Kingdom Egypt at the Time of the Fourth Dynasty (c.2600-2500 BCE)</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00"/>
        <w:gridCol w:w="1200"/>
        <w:gridCol w:w="5326"/>
      </w:tblGrid>
      <w:tr>
        <w:tblPrEx>
          <w:shd w:val="clear" w:color="auto" w:fill="4f81bd"/>
        </w:tblPrEx>
        <w:trPr>
          <w:trHeight w:val="529" w:hRule="atLeast"/>
          <w:tblHeader/>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en-US"/>
              </w:rPr>
              <w:t>FCP Observable (Vondoom, 2026b)</w:t>
            </w:r>
          </w:p>
        </w:tc>
        <w:tc>
          <w:tcPr>
            <w:tcW w:type="dxa" w:w="1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Arial" w:hAnsi="Arial"/>
                <w:b w:val="1"/>
                <w:bCs w:val="1"/>
                <w:sz w:val="22"/>
                <w:szCs w:val="22"/>
                <w:u w:color="000000"/>
                <w:shd w:val="nil" w:color="auto" w:fill="auto"/>
                <w:rtl w:val="0"/>
                <w:lang w:val="fr-FR"/>
              </w:rPr>
              <w:t>Score (E/S/min)</w:t>
            </w:r>
          </w:p>
        </w:tc>
        <w:tc>
          <w:tcPr>
            <w:tcW w:type="dxa" w:w="5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s>
              <w:bidi w:val="0"/>
              <w:ind w:left="0" w:right="0" w:firstLine="0"/>
              <w:jc w:val="center"/>
              <w:rPr>
                <w:rtl w:val="0"/>
              </w:rPr>
            </w:pPr>
            <w:r>
              <w:rPr>
                <w:rFonts w:ascii="Arial" w:hAnsi="Arial"/>
                <w:b w:val="1"/>
                <w:bCs w:val="1"/>
                <w:sz w:val="22"/>
                <w:szCs w:val="22"/>
                <w:u w:color="000000"/>
                <w:shd w:val="nil" w:color="auto" w:fill="auto"/>
                <w:rtl w:val="0"/>
              </w:rPr>
              <w:t>Evidence - Old Kingdom Egypt (c.2650 BCE)</w:t>
            </w:r>
          </w:p>
        </w:tc>
      </w:tr>
      <w:tr>
        <w:tblPrEx>
          <w:shd w:val="clear" w:color="auto" w:fill="ced7e7"/>
        </w:tblPrEx>
        <w:trPr>
          <w:trHeight w:val="1962"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Mnemonic Architectures (MA): Repeated spatial layouts; standardised feature types; persistent site use across strata</w:t>
            </w:r>
          </w:p>
        </w:tc>
        <w:tc>
          <w:tcPr>
            <w:tcW w:type="dxa" w:w="1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2"/>
                <w:szCs w:val="22"/>
                <w:u w:color="000000"/>
                <w:shd w:val="nil" w:color="auto" w:fill="auto"/>
                <w:rtl w:val="0"/>
              </w:rPr>
              <w:t>E=2 S=2 min=2</w:t>
            </w:r>
          </w:p>
        </w:tc>
        <w:tc>
          <w:tcPr>
            <w:tcW w:type="dxa" w:w="5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s>
              <w:bidi w:val="0"/>
              <w:ind w:left="0" w:right="0" w:firstLine="0"/>
              <w:jc w:val="center"/>
              <w:rPr>
                <w:rtl w:val="0"/>
              </w:rPr>
            </w:pPr>
            <w:r>
              <w:rPr>
                <w:rFonts w:ascii="Arial" w:hAnsi="Arial"/>
                <w:sz w:val="22"/>
                <w:szCs w:val="22"/>
                <w:u w:color="000000"/>
                <w:shd w:val="nil" w:color="auto" w:fill="auto"/>
                <w:rtl w:val="0"/>
                <w:lang w:val="en-US"/>
              </w:rPr>
              <w:t>Axial Nile corridor providing continuous spatial constraint from Predynastic through Late Period; enclosure geometry at Hierakonpolis (c.3500 BCE) reproduced at larger scale in Old Kingdom funerary complexes; temple orientation canon maintained without structural discontinuity across 3,000+ years of construction (Vondoom, 2026b)</w:t>
            </w:r>
          </w:p>
        </w:tc>
      </w:tr>
      <w:tr>
        <w:tblPrEx>
          <w:shd w:val="clear" w:color="auto" w:fill="ced7e7"/>
        </w:tblPrEx>
        <w:trPr>
          <w:trHeight w:val="2535"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Symbolic Stabilisation (SS): Decreasing artefact CV across strata; typological uniformity over time despite technological change</w:t>
            </w:r>
          </w:p>
        </w:tc>
        <w:tc>
          <w:tcPr>
            <w:tcW w:type="dxa" w:w="1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2"/>
                <w:szCs w:val="22"/>
                <w:u w:color="000000"/>
                <w:shd w:val="nil" w:color="auto" w:fill="auto"/>
                <w:rtl w:val="0"/>
              </w:rPr>
              <w:t>E=2 S=2 min=2</w:t>
            </w:r>
          </w:p>
        </w:tc>
        <w:tc>
          <w:tcPr>
            <w:tcW w:type="dxa" w:w="5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s>
              <w:bidi w:val="0"/>
              <w:ind w:left="0" w:right="0" w:firstLine="0"/>
              <w:jc w:val="center"/>
              <w:rPr>
                <w:rtl w:val="0"/>
              </w:rPr>
            </w:pPr>
            <w:r>
              <w:rPr>
                <w:rFonts w:ascii="Arial" w:hAnsi="Arial"/>
                <w:sz w:val="22"/>
                <w:szCs w:val="22"/>
                <w:u w:color="000000"/>
                <w:shd w:val="nil" w:color="auto" w:fill="auto"/>
                <w:rtl w:val="0"/>
                <w:lang w:val="en-US"/>
              </w:rPr>
              <w:t>Ceramic CV trajectory from Badarian (est. CV ~0.38) to Old Kingdom (CV &lt;0.12): six-phase documented decline meeting Stage 3 completion threshold of CV &lt; 0.15 (Vondoom, 2026). Iconographic programme reproduced with documented fidelity; scribal canon stable across 500+ years of administrative output. CV trajectory is the primary quantitative signature of Symbolic Stabilisation in the published FCP (Vondoom, 2026b)</w:t>
            </w:r>
          </w:p>
        </w:tc>
      </w:tr>
      <w:tr>
        <w:tblPrEx>
          <w:shd w:val="clear" w:color="auto" w:fill="ced7e7"/>
        </w:tblPrEx>
        <w:trPr>
          <w:trHeight w:val="2535"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Externalized Cognition (EC): Durable marking systems; standardised inscriptions; persistent motifs across independent media</w:t>
            </w:r>
          </w:p>
        </w:tc>
        <w:tc>
          <w:tcPr>
            <w:tcW w:type="dxa" w:w="1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2"/>
                <w:szCs w:val="22"/>
                <w:u w:color="000000"/>
                <w:shd w:val="nil" w:color="auto" w:fill="auto"/>
                <w:rtl w:val="0"/>
              </w:rPr>
              <w:t>E=2 S=2 min=2</w:t>
            </w:r>
          </w:p>
        </w:tc>
        <w:tc>
          <w:tcPr>
            <w:tcW w:type="dxa" w:w="5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s>
              <w:bidi w:val="0"/>
              <w:ind w:left="0" w:right="0" w:firstLine="0"/>
              <w:jc w:val="center"/>
              <w:rPr>
                <w:rtl w:val="0"/>
              </w:rPr>
            </w:pPr>
            <w:r>
              <w:rPr>
                <w:rFonts w:ascii="Arial" w:hAnsi="Arial"/>
                <w:sz w:val="22"/>
                <w:szCs w:val="22"/>
                <w:u w:color="000000"/>
                <w:shd w:val="nil" w:color="auto" w:fill="auto"/>
                <w:rtl w:val="0"/>
                <w:lang w:val="en-US"/>
              </w:rPr>
              <w:t>Hieroglyphic writing formalises pre-existing symbolic load: 68% of Naqada III graphemes traceable to prior material culture (Vondoom, 2026). Administrative papyri, calendar systems, and Pyramid Texts encode cosmological knowledge accumulated across millennia of oral and ritual transmission. Writing represents cognitive offloading of what symbolic stabilisation already maintained, not its origin</w:t>
            </w:r>
          </w:p>
        </w:tc>
      </w:tr>
      <w:tr>
        <w:tblPrEx>
          <w:shd w:val="clear" w:color="auto" w:fill="ced7e7"/>
        </w:tblPrEx>
        <w:trPr>
          <w:trHeight w:val="2535"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Symbolic Regulation (SR): Constraints on production or deposition overriding functional optimisation</w:t>
            </w:r>
          </w:p>
        </w:tc>
        <w:tc>
          <w:tcPr>
            <w:tcW w:type="dxa" w:w="1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2"/>
                <w:szCs w:val="22"/>
                <w:u w:color="000000"/>
                <w:shd w:val="nil" w:color="auto" w:fill="auto"/>
                <w:rtl w:val="0"/>
              </w:rPr>
              <w:t>E=2 S=2 min=2</w:t>
            </w:r>
          </w:p>
        </w:tc>
        <w:tc>
          <w:tcPr>
            <w:tcW w:type="dxa" w:w="5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s>
              <w:bidi w:val="0"/>
              <w:ind w:left="0" w:right="0" w:firstLine="0"/>
              <w:jc w:val="center"/>
              <w:rPr>
                <w:rtl w:val="0"/>
              </w:rPr>
            </w:pPr>
            <w:r>
              <w:rPr>
                <w:rFonts w:ascii="Arial" w:hAnsi="Arial"/>
                <w:sz w:val="22"/>
                <w:szCs w:val="22"/>
                <w:u w:color="000000"/>
                <w:shd w:val="nil" w:color="auto" w:fill="auto"/>
                <w:rtl w:val="0"/>
                <w:lang w:val="en-US"/>
              </w:rPr>
              <w:t>Mortuary assemblage composition inconsistent with functional utility models across all periods; maat as regulatory framework governing administrative, architectural, and ritual practice simultaneously; non-economic deposition in royal contexts inconsistent with functional null model at p&lt;0.01 criterion (Vondoom, 2026b). Canonical art proportions maintained independently of artistic efficiency considerations</w:t>
            </w:r>
          </w:p>
        </w:tc>
      </w:tr>
      <w:tr>
        <w:tblPrEx>
          <w:shd w:val="clear" w:color="auto" w:fill="ced7e7"/>
        </w:tblPrEx>
        <w:trPr>
          <w:trHeight w:val="2249"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Distributed Symbolic Authority (DSA): Recurrent symbolic practices replicated across geographically dispersed sites</w:t>
            </w:r>
          </w:p>
        </w:tc>
        <w:tc>
          <w:tcPr>
            <w:tcW w:type="dxa" w:w="1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2"/>
                <w:szCs w:val="22"/>
                <w:u w:color="000000"/>
                <w:shd w:val="nil" w:color="auto" w:fill="auto"/>
                <w:rtl w:val="0"/>
              </w:rPr>
              <w:t>E=2 S=2 min=2</w:t>
            </w:r>
          </w:p>
        </w:tc>
        <w:tc>
          <w:tcPr>
            <w:tcW w:type="dxa" w:w="5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s>
              <w:bidi w:val="0"/>
              <w:ind w:left="0" w:right="0" w:firstLine="0"/>
              <w:jc w:val="center"/>
              <w:rPr>
                <w:rtl w:val="0"/>
              </w:rPr>
            </w:pPr>
            <w:r>
              <w:rPr>
                <w:rFonts w:ascii="Arial" w:hAnsi="Arial"/>
                <w:sz w:val="22"/>
                <w:szCs w:val="22"/>
                <w:u w:color="000000"/>
                <w:shd w:val="nil" w:color="auto" w:fill="auto"/>
                <w:rtl w:val="0"/>
                <w:lang w:val="en-US"/>
              </w:rPr>
              <w:t>Standardised administrative practices replicated across the full Nile Valley through scribal training networks; cylinder seal programme distributed across inter-regional exchange networks from Naqada II; nome-level canonical iconographic programmes; cross-regional scribal output showing measurable symbolic convergence independent of geographic proximity (Vondoom, 2026)</w:t>
            </w:r>
          </w:p>
        </w:tc>
      </w:tr>
      <w:tr>
        <w:tblPrEx>
          <w:shd w:val="clear" w:color="auto" w:fill="ced7e7"/>
        </w:tblPrEx>
        <w:trPr>
          <w:trHeight w:val="2535"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Portable Symbolic Anchors (PSA): Objects functioning as inter-community symbolic carriers independent of fixed monumental structures</w:t>
            </w:r>
          </w:p>
        </w:tc>
        <w:tc>
          <w:tcPr>
            <w:tcW w:type="dxa" w:w="1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Arial" w:hAnsi="Arial"/>
                <w:sz w:val="22"/>
                <w:szCs w:val="22"/>
                <w:u w:color="000000"/>
                <w:shd w:val="nil" w:color="auto" w:fill="auto"/>
                <w:rtl w:val="0"/>
              </w:rPr>
              <w:t>E=2 S=2 min=2</w:t>
            </w:r>
          </w:p>
        </w:tc>
        <w:tc>
          <w:tcPr>
            <w:tcW w:type="dxa" w:w="5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s>
              <w:bidi w:val="0"/>
              <w:ind w:left="0" w:right="0" w:firstLine="0"/>
              <w:jc w:val="center"/>
              <w:rPr>
                <w:rtl w:val="0"/>
              </w:rPr>
            </w:pPr>
            <w:r>
              <w:rPr>
                <w:rFonts w:ascii="Arial" w:hAnsi="Arial"/>
                <w:sz w:val="22"/>
                <w:szCs w:val="22"/>
                <w:u w:color="000000"/>
                <w:shd w:val="nil" w:color="auto" w:fill="auto"/>
                <w:rtl w:val="0"/>
                <w:lang w:val="en-US"/>
              </w:rPr>
              <w:t>Decorated palettes circulating across Predynastic exchange network from Naqada II; royal seals as autonomous symbolic authority markers; standardised funerary objects carrying symbolic content across geographic and temporal distance; non-local materials (lapis lazuli, carnelian, obsidian) in canonical symbolic contexts confirming PSA function rather than purely prestige use (Vondoom, 2026b)</w:t>
            </w:r>
          </w:p>
        </w:tc>
      </w:tr>
      <w:tr>
        <w:tblPrEx>
          <w:shd w:val="clear" w:color="auto" w:fill="ced7e7"/>
        </w:tblPrEx>
        <w:trPr>
          <w:trHeight w:val="3108" w:hRule="atLeast"/>
        </w:trPr>
        <w:tc>
          <w:tcPr>
            <w:tcW w:type="dxa" w:w="25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pt-PT"/>
              </w:rPr>
              <w:t>TOTAL FCP SCORE</w:t>
            </w:r>
          </w:p>
        </w:tc>
        <w:tc>
          <w:tcPr>
            <w:tcW w:type="dxa" w:w="12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s>
              <w:bidi w:val="0"/>
              <w:ind w:left="0" w:right="0" w:firstLine="0"/>
              <w:jc w:val="center"/>
              <w:rPr>
                <w:rtl w:val="0"/>
              </w:rPr>
            </w:pPr>
            <w:r>
              <w:rPr>
                <w:rFonts w:ascii="Arial" w:hAnsi="Arial"/>
                <w:b w:val="1"/>
                <w:bCs w:val="1"/>
                <w:sz w:val="22"/>
                <w:szCs w:val="22"/>
                <w:u w:color="000000"/>
                <w:shd w:val="nil" w:color="auto" w:fill="auto"/>
                <w:rtl w:val="0"/>
              </w:rPr>
              <w:t>12 / 12</w:t>
            </w:r>
          </w:p>
        </w:tc>
        <w:tc>
          <w:tcPr>
            <w:tcW w:type="dxa" w:w="53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s>
              <w:bidi w:val="0"/>
              <w:ind w:left="0" w:right="0" w:firstLine="0"/>
              <w:jc w:val="center"/>
              <w:rPr>
                <w:rtl w:val="0"/>
              </w:rPr>
            </w:pPr>
            <w:r>
              <w:rPr>
                <w:rFonts w:ascii="Arial" w:hAnsi="Arial"/>
                <w:b w:val="1"/>
                <w:bCs w:val="1"/>
                <w:sz w:val="22"/>
                <w:szCs w:val="22"/>
                <w:u w:color="000000"/>
                <w:shd w:val="nil" w:color="auto" w:fill="auto"/>
                <w:rtl w:val="0"/>
                <w:lang w:val="en-US"/>
              </w:rPr>
              <w:t>Maximum saturation. All six FCP observables score min(E,S)=2. Stage 4 institutional emergence fully predicted and confirmed. Scores use published 2D FCP protocol: each observable scored independently on Evidence Strength (E) and Symbolic Specificity (S); final score = min(E,S) (Vondoom, 2026b). For the complete six-period Egyptian trajectory - Badarian 4.5/12 to Old Kingdom 12/12 - demonstrating gradual non-punctuated symbolic accumulation, see Vondoom (2026).</w:t>
            </w:r>
          </w:p>
        </w:tc>
      </w:tr>
    </w:tbl>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r>
        <w:rPr>
          <w:rFonts w:ascii="Verdana" w:hAnsi="Verdana"/>
          <w:b w:val="0"/>
          <w:bCs w:val="0"/>
          <w:sz w:val="24"/>
          <w:szCs w:val="24"/>
          <w:rtl w:val="0"/>
          <w:lang w:val="en-US"/>
        </w:rPr>
        <w:t>A maximum FCP score of 12 for Old Kingdom Egypt at the time of pyramid construction indicates full Stage 4 saturation - the maximum level of institutional civilisational development predicted by the DSSM. The prediction is clear: a civilisation at Stage 4 maximum saturation, with full cross-media redundancy, specialist role differentiation, accumulated technological substrate, and an intergenerational knowledge transmission system of documented fidelity, is precisely the kind of civilisation that builds the Great Pyramid. The AAH sees a mystery requiring alien explanation. The DSSM sees the predicted outcome of Stage 4 civilisational saturation operating exactly as the model specifies.</w:t>
      </w:r>
    </w:p>
    <w:p>
      <w:pPr>
        <w:pStyle w:val="Heading 3"/>
        <w:jc w:val="both"/>
        <w:rPr>
          <w:rFonts w:ascii="Verdana" w:cs="Verdana" w:hAnsi="Verdana" w:eastAsia="Verdana"/>
          <w:b w:val="0"/>
          <w:bCs w:val="0"/>
        </w:rPr>
      </w:pPr>
    </w:p>
    <w:p>
      <w:pPr>
        <w:pStyle w:val="Heading 3"/>
        <w:jc w:val="both"/>
        <w:rPr>
          <w:rFonts w:ascii="Verdana" w:cs="Verdana" w:hAnsi="Verdana" w:eastAsia="Verdana"/>
          <w:b w:val="0"/>
          <w:bCs w:val="0"/>
        </w:rPr>
      </w:pPr>
      <w:r>
        <w:rPr>
          <w:rFonts w:ascii="Verdana" w:hAnsi="Verdana"/>
          <w:b w:val="0"/>
          <w:bCs w:val="0"/>
          <w:rtl w:val="0"/>
          <w:lang w:val="en-US"/>
        </w:rPr>
        <w:t>5.4.1 The Negative Case: Aboriginal Australia</w:t>
      </w:r>
    </w:p>
    <w:p>
      <w:pPr>
        <w:pStyle w:val="Heading 3"/>
        <w:jc w:val="both"/>
        <w:rPr>
          <w:rFonts w:ascii="Verdana" w:cs="Verdana" w:hAnsi="Verdana" w:eastAsia="Verdana"/>
          <w:b w:val="0"/>
          <w:bCs w:val="0"/>
        </w:rPr>
      </w:pPr>
      <w:r>
        <w:rPr>
          <w:rFonts w:ascii="Verdana" w:hAnsi="Verdana"/>
          <w:b w:val="0"/>
          <w:bCs w:val="0"/>
          <w:sz w:val="24"/>
          <w:szCs w:val="24"/>
          <w:rtl w:val="0"/>
          <w:lang w:val="en-US"/>
        </w:rPr>
        <w:t>A predictive framework earns its credibility not only from the positive cases it correctly anticipates but from the negative cases it correctly predicts. Aboriginal Australian populations provide the analytically clearest negative case in the human record - and one that directly refutes the AAH's implicit assumption that cognitive capacity and symbolic sophistication should, given sufficient time, produce institutional civilisation.</w:t>
      </w:r>
    </w:p>
    <w:p>
      <w:pPr>
        <w:pStyle w:val="Heading 3"/>
        <w:jc w:val="both"/>
        <w:rPr>
          <w:rFonts w:ascii="Verdana" w:cs="Verdana" w:hAnsi="Verdana" w:eastAsia="Verdana"/>
          <w:b w:val="0"/>
          <w:bCs w:val="0"/>
        </w:rPr>
      </w:pPr>
      <w:r>
        <w:rPr>
          <w:rFonts w:ascii="Verdana" w:hAnsi="Verdana"/>
          <w:b w:val="0"/>
          <w:bCs w:val="0"/>
          <w:sz w:val="24"/>
          <w:szCs w:val="24"/>
          <w:rtl w:val="0"/>
          <w:lang w:val="en-US"/>
        </w:rPr>
        <w:t>Aboriginal Australians have been continuously present on the continent for at least 65,000 years - the longest unbroken cultural occupation of any landmass in the human record. Their symbolic scaffolding is among the most developed on Earth: ochre use, figurative rock art, complex oral cosmological systems, and elaborate ceremonial traditions are archaeologically attested from early periods. They demonstrably achieved Stage 2 stabilisation, and in specific ceremonial and landscape contexts, Stage 3 symbolic encoding. Yet Stage 4 institutional emergence - writing, monumental administrative architecture, legal codes, standardised weights and measures - did not occur in 65,000 years of continuous occupation.</w:t>
      </w:r>
    </w:p>
    <w:p>
      <w:pPr>
        <w:pStyle w:val="Heading 3"/>
        <w:jc w:val="both"/>
        <w:rPr>
          <w:rFonts w:ascii="Verdana" w:cs="Verdana" w:hAnsi="Verdana" w:eastAsia="Verdana"/>
          <w:b w:val="0"/>
          <w:bCs w:val="0"/>
        </w:rPr>
      </w:pPr>
      <w:r>
        <w:rPr>
          <w:rFonts w:ascii="Verdana" w:hAnsi="Verdana"/>
          <w:b w:val="0"/>
          <w:bCs w:val="0"/>
          <w:sz w:val="24"/>
          <w:szCs w:val="24"/>
          <w:rtl w:val="0"/>
          <w:lang w:val="en-US"/>
        </w:rPr>
        <w:t>The DSSM's explanation is direct and testable: deliberate maintenance of small, mobile band structures below the Stage 3 population threshold, as an adaptive response to an ecologically variable continental interior. This was not technological failure or cognitive limitation. Aboriginal populations responding to colonial contact after 1788 demonstrated full cognitive modernity - rapid language acquisition, technological adoption, and complex strategic reasoning - immediately. The absence of Stage 4 emergence was structural, not cognitive. The DSSM predicts no Stage 4 development for populations that maintain sub-threshold band sizes as an adaptive strategy, regardless of cognitive capacity or symbolic sophistication. The Aboriginal Australian record is precisely what the model predicts.</w:t>
      </w:r>
    </w:p>
    <w:p>
      <w:pPr>
        <w:pStyle w:val="Heading 3"/>
        <w:jc w:val="both"/>
        <w:rPr>
          <w:rFonts w:ascii="Verdana" w:cs="Verdana" w:hAnsi="Verdana" w:eastAsia="Verdana"/>
          <w:b w:val="0"/>
          <w:bCs w:val="0"/>
        </w:rPr>
      </w:pPr>
      <w:r>
        <w:rPr>
          <w:rFonts w:ascii="Verdana" w:hAnsi="Verdana"/>
          <w:b w:val="0"/>
          <w:bCs w:val="0"/>
          <w:sz w:val="24"/>
          <w:szCs w:val="24"/>
          <w:rtl w:val="0"/>
          <w:lang w:val="en-US"/>
        </w:rPr>
        <w:t>This negative case is decisive against the AAH on two counts. First, it demonstrates that the DSSM generates real predictions about both presence and absence - it is not post-hoc rationalisation of observed outcomes. Second, it confronts the AAH with a question it cannot answer: why did alien civilisations capable of uplifting the Egyptians, the Maya, and the Sumerians leave 65,000 years of symbolically sophisticated Aboriginal Australians entirely alone? The AAH has no coherent answer. The DSSM has a specific, falsifiable one.</w:t>
      </w: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rtl w:val="0"/>
          <w:lang w:val="en-US"/>
        </w:rPr>
        <w:t>5.5 Accounting for the AAH's Specific Evidence</w:t>
      </w:r>
    </w:p>
    <w:p>
      <w:pPr>
        <w:pStyle w:val="Heading 3"/>
        <w:jc w:val="both"/>
        <w:rPr>
          <w:rFonts w:ascii="Verdana" w:cs="Verdana" w:hAnsi="Verdana" w:eastAsia="Verdana"/>
          <w:b w:val="0"/>
          <w:bCs w:val="0"/>
        </w:rPr>
      </w:pPr>
      <w:r>
        <w:rPr>
          <w:rFonts w:ascii="Verdana" w:hAnsi="Verdana"/>
          <w:b w:val="0"/>
          <w:bCs w:val="0"/>
          <w:rtl w:val="0"/>
          <w:lang w:val="en-US"/>
        </w:rPr>
        <w:t>5.5.1 Cross-Cultural Mythological Convergence</w:t>
      </w:r>
    </w:p>
    <w:p>
      <w:pPr>
        <w:pStyle w:val="Heading 3"/>
        <w:jc w:val="both"/>
        <w:rPr>
          <w:rFonts w:ascii="Verdana" w:cs="Verdana" w:hAnsi="Verdana" w:eastAsia="Verdana"/>
          <w:b w:val="0"/>
          <w:bCs w:val="0"/>
        </w:rPr>
      </w:pPr>
      <w:r>
        <w:rPr>
          <w:rFonts w:ascii="Verdana" w:hAnsi="Verdana"/>
          <w:b w:val="0"/>
          <w:bCs w:val="0"/>
          <w:sz w:val="24"/>
          <w:szCs w:val="24"/>
          <w:rtl w:val="0"/>
          <w:lang w:val="en-US"/>
        </w:rPr>
        <w:t>The DSSM accounts for cross-cultural mythological convergence through convergent symbolic stabilisation. Populations sharing identical cognitive architecture and facing identical environmental pressures independently stabilise similar symbolic frameworks for representing and transmitting responses to those pressures. The sky is the same sky for all human populations. Its phenomena - storms, lightning, the movement of celestial bodies, unusual atmospheric events - produce the same range of experiential stimuli globally. The cognitive impulse to explain, narrate, and encode responses to those stimuli is universal. The symbolic scaffolding for doing so is built by the same developmental process everywhere.</w:t>
      </w:r>
    </w:p>
    <w:p>
      <w:pPr>
        <w:pStyle w:val="Heading 3"/>
        <w:jc w:val="both"/>
        <w:rPr>
          <w:rFonts w:ascii="Verdana" w:cs="Verdana" w:hAnsi="Verdana" w:eastAsia="Verdana"/>
          <w:b w:val="0"/>
          <w:bCs w:val="0"/>
        </w:rPr>
      </w:pPr>
      <w:r>
        <w:rPr>
          <w:rFonts w:ascii="Verdana" w:hAnsi="Verdana"/>
          <w:b w:val="0"/>
          <w:bCs w:val="0"/>
          <w:sz w:val="24"/>
          <w:szCs w:val="24"/>
          <w:rtl w:val="0"/>
          <w:lang w:val="en-US"/>
        </w:rPr>
        <w:t>The DSSM further predicts that the most culturally prominent astronomical objects in any given region will become central to that region's cosmological framework. This is not merely because they are visually prominent, but because Stage 2-3 symbolic stabilisation encodes the most practically important environmental signals in the deepest and most redundant symbolic systems. Agricultural calendar markers - which determine survival - are precisely the stimuli that get encoded at the deepest levels of symbolic stabilisation. The convergence on Pleiades, Sirius, Orion, and similar bodies in global mythology is predicted by the DSSM's account of what Stage 2-3 symbolic stabilisation encodes, and requires no alien origin point.</w:t>
      </w:r>
    </w:p>
    <w:p>
      <w:pPr>
        <w:pStyle w:val="Heading 3"/>
        <w:jc w:val="both"/>
        <w:rPr>
          <w:rFonts w:ascii="Verdana" w:cs="Verdana" w:hAnsi="Verdana" w:eastAsia="Verdana"/>
          <w:b w:val="0"/>
          <w:bCs w:val="0"/>
        </w:rPr>
      </w:pPr>
      <w:r>
        <w:rPr>
          <w:rFonts w:ascii="Verdana" w:hAnsi="Verdana"/>
          <w:b w:val="0"/>
          <w:bCs w:val="0"/>
          <w:rtl w:val="0"/>
          <w:lang w:val="en-US"/>
        </w:rPr>
        <w:t>5.5.2 Architectural Complexity and the Accumulated Substrate</w:t>
      </w:r>
    </w:p>
    <w:p>
      <w:pPr>
        <w:pStyle w:val="Heading 3"/>
        <w:jc w:val="both"/>
        <w:rPr>
          <w:rFonts w:ascii="Verdana" w:cs="Verdana" w:hAnsi="Verdana" w:eastAsia="Verdana"/>
          <w:b w:val="0"/>
          <w:bCs w:val="0"/>
        </w:rPr>
      </w:pPr>
      <w:r>
        <w:rPr>
          <w:rFonts w:ascii="Verdana" w:hAnsi="Verdana"/>
          <w:b w:val="0"/>
          <w:bCs w:val="0"/>
          <w:sz w:val="24"/>
          <w:szCs w:val="24"/>
          <w:rtl w:val="0"/>
          <w:lang w:val="en-US"/>
        </w:rPr>
        <w:t>The DSSM accounts for architectural complexity through the Stage 3-4 transition and the principle of accumulated technological substrate. Technologies, as fossilised rituals, accumulate across generations in a Stage 3-4 society's institutional memory. Each building project encodes its solutions - in the knowledge of the specialist class, in canonical forms, in administrative protocols - so that the next project begins from a higher baseline. The Egyptian pyramid construction sequence is the most visible example of this process in the archaeological record.</w:t>
      </w:r>
    </w:p>
    <w:p>
      <w:pPr>
        <w:pStyle w:val="Heading 3"/>
        <w:jc w:val="both"/>
        <w:rPr>
          <w:rFonts w:ascii="Verdana" w:cs="Verdana" w:hAnsi="Verdana" w:eastAsia="Verdana"/>
          <w:b w:val="0"/>
          <w:bCs w:val="0"/>
        </w:rPr>
      </w:pPr>
      <w:r>
        <w:rPr>
          <w:rFonts w:ascii="Verdana" w:hAnsi="Verdana"/>
          <w:b w:val="0"/>
          <w:bCs w:val="0"/>
          <w:sz w:val="24"/>
          <w:szCs w:val="24"/>
          <w:rtl w:val="0"/>
          <w:lang w:val="en-US"/>
        </w:rPr>
        <w:t>Sneferu's pyramid programme at Meidum and Dahshur - the E1 and E2 stepped phases at Meidum, the Bent Pyramid, the Red Pyramid - represents a documented learning curve spanning approximately 70 years. The Bent Pyramid's structural failure (its angle was reduced mid-construction when builders recognised that the initial slope was unsustainable) resulted in the Red Pyramid adopting the corrected angle throughout (Vondoom, 2026). The Great Pyramid of Khufu, built immediately after the Red Pyramid, represents the successful application of lessons accumulated across this entire sequence. This is not alien assistance. This is Stage 4 accumulated technological substrate operating exactly as the DSSM predicts: each generation's solutions are institutionally preserved and transmitted, and each subsequent project begins from a higher baseline.</w:t>
      </w:r>
    </w:p>
    <w:p>
      <w:pPr>
        <w:pStyle w:val="Heading 3"/>
        <w:jc w:val="both"/>
        <w:rPr>
          <w:rFonts w:ascii="Verdana" w:cs="Verdana" w:hAnsi="Verdana" w:eastAsia="Verdana"/>
          <w:b w:val="0"/>
          <w:bCs w:val="0"/>
        </w:rPr>
      </w:pPr>
      <w:r>
        <w:rPr>
          <w:rFonts w:ascii="Verdana" w:hAnsi="Verdana"/>
          <w:b w:val="0"/>
          <w:bCs w:val="0"/>
          <w:rtl w:val="0"/>
          <w:lang w:val="en-US"/>
        </w:rPr>
        <w:t>5.5.3 Knowledge Clustering and the Younger Dryas</w:t>
      </w:r>
    </w:p>
    <w:p>
      <w:pPr>
        <w:pStyle w:val="Heading 3"/>
        <w:jc w:val="both"/>
        <w:rPr>
          <w:rFonts w:ascii="Verdana" w:cs="Verdana" w:hAnsi="Verdana" w:eastAsia="Verdana"/>
          <w:b w:val="0"/>
          <w:bCs w:val="0"/>
        </w:rPr>
      </w:pPr>
      <w:r>
        <w:rPr>
          <w:rFonts w:ascii="Verdana" w:hAnsi="Verdana"/>
          <w:b w:val="0"/>
          <w:bCs w:val="0"/>
          <w:sz w:val="24"/>
          <w:szCs w:val="24"/>
          <w:rtl w:val="0"/>
          <w:lang w:val="en-US"/>
        </w:rPr>
        <w:t>The apparent clustering of civilisational advances across multiple regions in a narrow temporal window is explained by the DSSM through two convergent mechanisms, both operating at the global scale simultaneously.</w:t>
      </w:r>
    </w:p>
    <w:p>
      <w:pPr>
        <w:pStyle w:val="Heading 3"/>
        <w:jc w:val="both"/>
        <w:rPr>
          <w:rFonts w:ascii="Verdana" w:cs="Verdana" w:hAnsi="Verdana" w:eastAsia="Verdana"/>
          <w:b w:val="0"/>
          <w:bCs w:val="0"/>
        </w:rPr>
      </w:pPr>
      <w:r>
        <w:rPr>
          <w:rFonts w:ascii="Verdana" w:hAnsi="Verdana"/>
          <w:b w:val="0"/>
          <w:bCs w:val="0"/>
          <w:sz w:val="24"/>
          <w:szCs w:val="24"/>
          <w:rtl w:val="0"/>
          <w:lang w:val="en-US"/>
        </w:rPr>
        <w:t>First, the termination of the Younger Dryas approximately 11,700 years ago produced rapid and global climate stabilisation. This single event simultaneously released multiple populations from severe environmental stress, expanded carrying capacities across the Northern Hemisphere and subtropics, stabilised resource distributions that had previously precluded sustained settlement, and created the conditions in which Stage 3 symbolic stabilisation - requiring stable spatial association and population scale - became viable for the first time across multiple regions. The knowledge clustering is not evidence of simultaneous alien contact across multiple sites. It is evidence of a single global environmental event releasing accumulated Stage 1-2 substrate simultaneously in multiple populations.</w:t>
      </w:r>
    </w:p>
    <w:p>
      <w:pPr>
        <w:pStyle w:val="Heading 3"/>
        <w:jc w:val="both"/>
        <w:rPr>
          <w:rFonts w:ascii="Verdana" w:cs="Verdana" w:hAnsi="Verdana" w:eastAsia="Verdana"/>
          <w:b w:val="0"/>
          <w:bCs w:val="0"/>
        </w:rPr>
      </w:pPr>
      <w:r>
        <w:rPr>
          <w:rFonts w:ascii="Verdana" w:hAnsi="Verdana"/>
          <w:b w:val="0"/>
          <w:bCs w:val="0"/>
          <w:sz w:val="24"/>
          <w:szCs w:val="24"/>
          <w:rtl w:val="0"/>
          <w:lang w:val="en-US"/>
        </w:rPr>
        <w:t>Second, the DSSM's population threshold model predicts that Stage 3 stabilisation becomes possible once a population reaches a critical mass in stable spatial association - empirically, in the range of 400-600 individuals, based on cross-cultural analysis of the minimum settlement sizes at which specialist role differentiation and cross-media redundancy become archaeologically visible (Bandy, 2004; Trigger, 2003). This is an order-of-magnitude boundary derived from settlement archaeology, not a precisely determined empirical datum, and the model treats it as such. This threshold was reached across multiple regions in the early Holocene as expanding carrying capacity supported growing populations. The regions that reached Stage 3 first - the Fertile Crescent, the Nile Valley, the Yellow River basin, the Indus floodplain - are precisely the regions with the most productive early Holocene ecologies. The sequencing of civilisational emergence maps to ecology and demography, not to alien visitation schedules.</w:t>
      </w:r>
    </w:p>
    <w:p>
      <w:pPr>
        <w:pStyle w:val="Heading 3"/>
        <w:jc w:val="both"/>
        <w:rPr>
          <w:rFonts w:ascii="Verdana" w:cs="Verdana" w:hAnsi="Verdana" w:eastAsia="Verdana"/>
          <w:b w:val="0"/>
          <w:bCs w:val="0"/>
        </w:rPr>
      </w:pPr>
      <w:r>
        <w:rPr>
          <w:rFonts w:ascii="Verdana" w:hAnsi="Verdana"/>
          <w:b w:val="0"/>
          <w:bCs w:val="0"/>
          <w:sz w:val="24"/>
          <w:szCs w:val="24"/>
          <w:rtl w:val="0"/>
          <w:lang w:val="en-US"/>
        </w:rPr>
        <w:t>The DSSM's Younger Dryas account also directly disposes of the related lost civilisation variant proposed by Hancock (2019). That model requires an additional entity - a pre-Younger Dryas advanced civilisation - to explain the clustering. Under parsimony, this entity is unnecessary: the Younger Dryas termination is sufficient. More directly, Hancock's model faces the same material record problem as the AAH. A globally distributed technologically advanced civilisation predating 10,000 BCE should have left a recoverable signature in sediment cores, ocean floor surveys, ice core records, and the early Holocene archaeological record that has been intensively studied for over a century. It has not. The absence is not a gap awaiting discovery; it is a coherent global dataset that the lost civilisation model must account for and has not.</w:t>
      </w:r>
    </w:p>
    <w:p>
      <w:pPr>
        <w:pStyle w:val="Heading 3"/>
        <w:jc w:val="both"/>
        <w:rPr>
          <w:rFonts w:ascii="Verdana" w:cs="Verdana" w:hAnsi="Verdana" w:eastAsia="Verdana"/>
          <w:b w:val="0"/>
          <w:bCs w:val="0"/>
        </w:rPr>
      </w:pPr>
    </w:p>
    <w:p>
      <w:pPr>
        <w:pStyle w:val="Heading 3"/>
        <w:jc w:val="both"/>
        <w:rPr>
          <w:rFonts w:ascii="Verdana" w:cs="Verdana" w:hAnsi="Verdana" w:eastAsia="Verdana"/>
          <w:b w:val="0"/>
          <w:bCs w:val="0"/>
        </w:rPr>
      </w:pPr>
      <w:r>
        <w:rPr>
          <w:rFonts w:ascii="Verdana" w:hAnsi="Verdana"/>
          <w:b w:val="0"/>
          <w:bCs w:val="0"/>
          <w:sz w:val="22"/>
          <w:szCs w:val="22"/>
          <w:rtl w:val="0"/>
          <w:lang w:val="en-US"/>
        </w:rPr>
        <w:t>Figure 2. Civilisational Emergence Timeline and Climate Events: DSSM Interpretation</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00"/>
        <w:gridCol w:w="2000"/>
        <w:gridCol w:w="2626"/>
        <w:gridCol w:w="2600"/>
      </w:tblGrid>
      <w:tr>
        <w:tblPrEx>
          <w:shd w:val="clear" w:color="auto" w:fill="4f81bd"/>
        </w:tblPrEx>
        <w:trPr>
          <w:trHeight w:val="816" w:hRule="atLeast"/>
          <w:tblHeader/>
        </w:trPr>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en-US"/>
              </w:rPr>
              <w:t>Approximate Date</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s>
              <w:bidi w:val="0"/>
              <w:ind w:left="0" w:right="0" w:firstLine="0"/>
              <w:jc w:val="center"/>
              <w:rPr>
                <w:rtl w:val="0"/>
              </w:rPr>
            </w:pPr>
            <w:r>
              <w:rPr>
                <w:rFonts w:ascii="Arial" w:hAnsi="Arial"/>
                <w:b w:val="1"/>
                <w:bCs w:val="1"/>
                <w:sz w:val="22"/>
                <w:szCs w:val="22"/>
                <w:u w:color="000000"/>
                <w:shd w:val="nil" w:color="auto" w:fill="auto"/>
                <w:rtl w:val="0"/>
                <w:lang w:val="en-US"/>
              </w:rPr>
              <w:t>Climate / Environmental Event</w:t>
            </w:r>
          </w:p>
        </w:tc>
        <w:tc>
          <w:tcPr>
            <w:tcW w:type="dxa" w:w="26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en-US"/>
              </w:rPr>
              <w:t>Archaeological Record</w:t>
            </w:r>
          </w:p>
        </w:tc>
        <w:tc>
          <w:tcPr>
            <w:tcW w:type="dxa" w:w="26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d0d0d0"/>
            <w:tcMar>
              <w:top w:type="dxa" w:w="80"/>
              <w:left w:type="dxa" w:w="80"/>
              <w:bottom w:type="dxa" w:w="80"/>
              <w:right w:type="dxa" w:w="80"/>
            </w:tcMar>
            <w:vAlign w:val="center"/>
          </w:tcPr>
          <w:p>
            <w:pPr>
              <w:pStyle w:val="Default"/>
              <w:tabs>
                <w:tab w:val="left" w:pos="720"/>
                <w:tab w:val="left" w:pos="1440"/>
                <w:tab w:val="left" w:pos="2160"/>
              </w:tabs>
              <w:bidi w:val="0"/>
              <w:ind w:left="0" w:right="0" w:firstLine="0"/>
              <w:jc w:val="center"/>
              <w:rPr>
                <w:rtl w:val="0"/>
              </w:rPr>
            </w:pPr>
            <w:r>
              <w:rPr>
                <w:rFonts w:ascii="Arial" w:hAnsi="Arial"/>
                <w:b w:val="1"/>
                <w:bCs w:val="1"/>
                <w:sz w:val="22"/>
                <w:szCs w:val="22"/>
                <w:u w:color="000000"/>
                <w:shd w:val="nil" w:color="auto" w:fill="auto"/>
                <w:rtl w:val="0"/>
                <w:lang w:val="it-IT"/>
              </w:rPr>
              <w:t>DSSM Interpretation</w:t>
            </w:r>
          </w:p>
        </w:tc>
      </w:tr>
      <w:tr>
        <w:tblPrEx>
          <w:shd w:val="clear" w:color="auto" w:fill="ced7e7"/>
        </w:tblPrEx>
        <w:trPr>
          <w:trHeight w:val="1676" w:hRule="atLeast"/>
        </w:trPr>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~115,000-11,700 BP</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Last Glacial Maximum / Younger Dryas</w:t>
            </w:r>
          </w:p>
        </w:tc>
        <w:tc>
          <w:tcPr>
            <w:tcW w:type="dxa" w:w="26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Hunter-gatherer bands; Stage 1-2 DSSM; no monumental architecture; ochre use from ~100,000 BP; cave art from ~45,000 BP</w:t>
            </w:r>
          </w:p>
        </w:tc>
        <w:tc>
          <w:tcPr>
            <w:tcW w:type="dxa" w:w="26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Low carrying capacity; population fragmentation prevents Stage 3 threshold</w:t>
            </w:r>
          </w:p>
        </w:tc>
      </w:tr>
      <w:tr>
        <w:tblPrEx>
          <w:shd w:val="clear" w:color="auto" w:fill="ced7e7"/>
        </w:tblPrEx>
        <w:trPr>
          <w:trHeight w:val="1389" w:hRule="atLeast"/>
        </w:trPr>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~11,700 BP</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Younger Dryas termination; rapid Holocene warming begins</w:t>
            </w:r>
          </w:p>
        </w:tc>
        <w:tc>
          <w:tcPr>
            <w:tcW w:type="dxa" w:w="26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Rapid expansion of plant and animal resources across Northern Hemisphere and subtropics</w:t>
            </w:r>
          </w:p>
        </w:tc>
        <w:tc>
          <w:tcPr>
            <w:tcW w:type="dxa" w:w="26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DSSM Stage 3 threshold becomes achievable across multiple regions simultaneously</w:t>
            </w:r>
          </w:p>
        </w:tc>
      </w:tr>
      <w:tr>
        <w:tblPrEx>
          <w:shd w:val="clear" w:color="auto" w:fill="ced7e7"/>
        </w:tblPrEx>
        <w:trPr>
          <w:trHeight w:val="1962" w:hRule="atLeast"/>
        </w:trPr>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~11,500-9,000 BP</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 xml:space="preserve">Early Holocene </w:t>
            </w:r>
            <w:r>
              <w:rPr>
                <w:rFonts w:ascii="Arial" w:hAnsi="Arial" w:hint="default"/>
                <w:sz w:val="22"/>
                <w:szCs w:val="22"/>
                <w:u w:color="000000"/>
                <w:shd w:val="nil" w:color="auto" w:fill="auto"/>
                <w:rtl w:val="0"/>
                <w:lang w:val="en-US"/>
              </w:rPr>
              <w:t xml:space="preserve">— </w:t>
            </w:r>
            <w:r>
              <w:rPr>
                <w:rFonts w:ascii="Arial" w:hAnsi="Arial"/>
                <w:sz w:val="22"/>
                <w:szCs w:val="22"/>
                <w:u w:color="000000"/>
                <w:shd w:val="nil" w:color="auto" w:fill="auto"/>
                <w:rtl w:val="0"/>
                <w:lang w:val="fr-FR"/>
              </w:rPr>
              <w:t>climate stabilisation</w:t>
            </w:r>
          </w:p>
        </w:tc>
        <w:tc>
          <w:tcPr>
            <w:tcW w:type="dxa" w:w="26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Gobekli Tepe (~11,500 BP); proto-agricultural sites across Fertile Crescent; Jericho proto-town (~10,000 BP); Catalhoyuk (~9,400 BP)</w:t>
            </w:r>
          </w:p>
        </w:tc>
        <w:tc>
          <w:tcPr>
            <w:tcW w:type="dxa" w:w="26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Stage 3 achieved independently across Southwest Asia, Levant; monumental construction emerges from accumulated Stage 1-2 substrate</w:t>
            </w:r>
          </w:p>
        </w:tc>
      </w:tr>
      <w:tr>
        <w:tblPrEx>
          <w:shd w:val="clear" w:color="auto" w:fill="ced7e7"/>
        </w:tblPrEx>
        <w:trPr>
          <w:trHeight w:val="1676" w:hRule="atLeast"/>
        </w:trPr>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~8,000-5,500 BP</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it-IT"/>
              </w:rPr>
              <w:t xml:space="preserve">Holocene optimum </w:t>
            </w:r>
            <w:r>
              <w:rPr>
                <w:rFonts w:ascii="Arial" w:hAnsi="Arial" w:hint="default"/>
                <w:sz w:val="22"/>
                <w:szCs w:val="22"/>
                <w:u w:color="000000"/>
                <w:shd w:val="nil" w:color="auto" w:fill="auto"/>
                <w:rtl w:val="0"/>
                <w:lang w:val="en-US"/>
              </w:rPr>
              <w:t xml:space="preserve">— </w:t>
            </w:r>
            <w:r>
              <w:rPr>
                <w:rFonts w:ascii="Arial" w:hAnsi="Arial"/>
                <w:sz w:val="22"/>
                <w:szCs w:val="22"/>
                <w:u w:color="000000"/>
                <w:shd w:val="nil" w:color="auto" w:fill="auto"/>
                <w:rtl w:val="0"/>
                <w:lang w:val="en-US"/>
              </w:rPr>
              <w:t>peak warmth and productivity</w:t>
            </w:r>
          </w:p>
        </w:tc>
        <w:tc>
          <w:tcPr>
            <w:tcW w:type="dxa" w:w="26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Agricultural revolution consolidates; early urban centres in Mesopotamia, Nile Valley, Indus; writing precursors</w:t>
            </w:r>
          </w:p>
        </w:tc>
        <w:tc>
          <w:tcPr>
            <w:tcW w:type="dxa" w:w="26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Stage 3-4 transition across multiple regions; knowledge clustering explained by shared climatic enabling event, not shared alien contact</w:t>
            </w:r>
          </w:p>
        </w:tc>
      </w:tr>
      <w:tr>
        <w:tblPrEx>
          <w:shd w:val="clear" w:color="auto" w:fill="ced7e7"/>
        </w:tblPrEx>
        <w:trPr>
          <w:trHeight w:val="1962" w:hRule="atLeast"/>
        </w:trPr>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~5,500-3,000 BP</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nl-NL"/>
              </w:rPr>
              <w:t xml:space="preserve">Bronze Age </w:t>
            </w:r>
            <w:r>
              <w:rPr>
                <w:rFonts w:ascii="Arial" w:hAnsi="Arial" w:hint="default"/>
                <w:sz w:val="22"/>
                <w:szCs w:val="22"/>
                <w:u w:color="000000"/>
                <w:shd w:val="nil" w:color="auto" w:fill="auto"/>
                <w:rtl w:val="0"/>
                <w:lang w:val="en-US"/>
              </w:rPr>
              <w:t xml:space="preserve">— </w:t>
            </w:r>
            <w:r>
              <w:rPr>
                <w:rFonts w:ascii="Arial" w:hAnsi="Arial"/>
                <w:sz w:val="22"/>
                <w:szCs w:val="22"/>
                <w:u w:color="000000"/>
                <w:shd w:val="nil" w:color="auto" w:fill="auto"/>
                <w:rtl w:val="0"/>
                <w:lang w:val="en-US"/>
              </w:rPr>
              <w:t>full Stage 4 institutional emergence</w:t>
            </w:r>
          </w:p>
        </w:tc>
        <w:tc>
          <w:tcPr>
            <w:tcW w:type="dxa" w:w="26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Writing, legal codes, monumental state architecture, specialist administrative classes across Egypt, Mesopotamia, Indus, China</w:t>
            </w:r>
          </w:p>
        </w:tc>
        <w:tc>
          <w:tcPr>
            <w:tcW w:type="dxa" w:w="26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Full Stage 4 saturation; accumulated technological substrate produces all achievements cited by AAH without external assistance</w:t>
            </w:r>
          </w:p>
        </w:tc>
      </w:tr>
      <w:tr>
        <w:tblPrEx>
          <w:shd w:val="clear" w:color="auto" w:fill="ced7e7"/>
        </w:tblPrEx>
        <w:trPr>
          <w:trHeight w:val="1962" w:hRule="atLeast"/>
        </w:trPr>
        <w:tc>
          <w:tcPr>
            <w:tcW w:type="dxa" w:w="18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~3,000-500 BP</w:t>
            </w:r>
          </w:p>
        </w:tc>
        <w:tc>
          <w:tcPr>
            <w:tcW w:type="dxa" w:w="20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Arial" w:hAnsi="Arial"/>
                <w:sz w:val="22"/>
                <w:szCs w:val="22"/>
                <w:u w:color="000000"/>
                <w:shd w:val="nil" w:color="auto" w:fill="auto"/>
                <w:rtl w:val="0"/>
                <w:lang w:val="en-US"/>
              </w:rPr>
              <w:t>Iron Age through early modern</w:t>
            </w:r>
          </w:p>
        </w:tc>
        <w:tc>
          <w:tcPr>
            <w:tcW w:type="dxa" w:w="2626"/>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Mesoamerican, Andean civilisational florescence; same Stage 3-4 trajectory at local timing governed by local climate and population dynamics</w:t>
            </w:r>
          </w:p>
        </w:tc>
        <w:tc>
          <w:tcPr>
            <w:tcW w:type="dxa" w:w="2600"/>
            <w:tcBorders>
              <w:top w:val="single" w:color="888888" w:sz="4" w:space="0" w:shadow="0" w:frame="0"/>
              <w:left w:val="single" w:color="888888" w:sz="4" w:space="0" w:shadow="0" w:frame="0"/>
              <w:bottom w:val="single" w:color="888888" w:sz="4" w:space="0" w:shadow="0" w:frame="0"/>
              <w:right w:val="single" w:color="888888"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Arial" w:hAnsi="Arial"/>
                <w:sz w:val="22"/>
                <w:szCs w:val="22"/>
                <w:u w:color="000000"/>
                <w:shd w:val="nil" w:color="auto" w:fill="auto"/>
                <w:rtl w:val="0"/>
                <w:lang w:val="en-US"/>
              </w:rPr>
              <w:t>Stage 4 emergence globally; timing varies by region per DSSM population threshold model, not per alien visitation schedule</w:t>
            </w:r>
          </w:p>
        </w:tc>
      </w:tr>
    </w:tbl>
    <w:p>
      <w:pPr>
        <w:pStyle w:val="Heading 3"/>
        <w:widowControl w:val="0"/>
        <w:jc w:val="both"/>
        <w:rPr>
          <w:rFonts w:ascii="Verdana" w:cs="Verdana" w:hAnsi="Verdana" w:eastAsia="Verdana"/>
          <w:b w:val="0"/>
          <w:bCs w:val="0"/>
        </w:rPr>
      </w:pPr>
    </w:p>
    <w:p>
      <w:pPr>
        <w:pStyle w:val="Heading 3"/>
        <w:widowControl w:val="0"/>
        <w:jc w:val="both"/>
        <w:rPr>
          <w:rFonts w:ascii="Verdana" w:cs="Verdana" w:hAnsi="Verdana" w:eastAsia="Verdana"/>
          <w:b w:val="0"/>
          <w:bCs w:val="0"/>
        </w:rPr>
      </w:pPr>
      <w:r>
        <w:rPr>
          <w:rFonts w:ascii="Verdana" w:hAnsi="Verdana"/>
          <w:b w:val="0"/>
          <w:bCs w:val="0"/>
          <w:i w:val="1"/>
          <w:iCs w:val="1"/>
          <w:sz w:val="22"/>
          <w:szCs w:val="22"/>
          <w:rtl w:val="0"/>
          <w:lang w:val="en-US"/>
        </w:rPr>
        <w:t>Figure 2. Timeline mapping climate events, the archaeological record, and DSSM stage predictions. The compression of civilisational advances that the AAH attributes to alien contact is predicted by the DSSM as the consequence of the Younger Dryas termination releasing accumulated Stage 1-2 substrate simultaneously across multiple populations. No external catalyst is required.</w:t>
      </w:r>
    </w:p>
    <w:p>
      <w:pPr>
        <w:pStyle w:val="Heading 3"/>
        <w:widowControl w:val="0"/>
        <w:jc w:val="both"/>
        <w:rPr>
          <w:rFonts w:ascii="Verdana" w:cs="Verdana" w:hAnsi="Verdana" w:eastAsia="Verdana"/>
          <w:b w:val="0"/>
          <w:bCs w:val="0"/>
        </w:rPr>
      </w:pPr>
    </w:p>
    <w:p>
      <w:pPr>
        <w:pStyle w:val="Heading 3"/>
        <w:jc w:val="both"/>
        <w:rPr>
          <w:rFonts w:ascii="Verdana" w:cs="Verdana" w:hAnsi="Verdana" w:eastAsia="Verdana"/>
          <w:b w:val="0"/>
          <w:bCs w:val="0"/>
        </w:rPr>
      </w:pPr>
      <w:r>
        <w:rPr>
          <w:rFonts w:ascii="Verdana" w:hAnsi="Verdana"/>
          <w:b w:val="0"/>
          <w:bCs w:val="0"/>
          <w:rtl w:val="0"/>
          <w:lang w:val="it-IT"/>
        </w:rPr>
        <w:t>5.5.4 Genetic Anomalies</w:t>
      </w:r>
    </w:p>
    <w:p>
      <w:pPr>
        <w:pStyle w:val="Heading 3"/>
        <w:jc w:val="both"/>
        <w:rPr>
          <w:rFonts w:ascii="Verdana" w:cs="Verdana" w:hAnsi="Verdana" w:eastAsia="Verdana"/>
          <w:b w:val="0"/>
          <w:bCs w:val="0"/>
        </w:rPr>
      </w:pPr>
      <w:r>
        <w:rPr>
          <w:rFonts w:ascii="Verdana" w:hAnsi="Verdana"/>
          <w:b w:val="0"/>
          <w:bCs w:val="0"/>
          <w:sz w:val="24"/>
          <w:szCs w:val="24"/>
          <w:rtl w:val="0"/>
          <w:lang w:val="en-US"/>
        </w:rPr>
        <w:t>As demonstrated in Section 4.6 and Table 4, the Rh negative distribution follows exactly the pattern predicted by standard population genetics: founder effects and genetic drift in isolated founding populations produce elevated frequencies of any allele in proportion to the degree of isolation. The DSSM adds a structural observation: the same demographic processes of geographic isolation, population bottleneck, and subsequent expansion that produce genetic diversity also produce cultural diversity. The Basque people's high Rh negative frequency and their unique linguistic isolate status are products of the same founding population dynamics. Genetics and culture are driven by the same demographic processes. No external explanation is required for either.</w:t>
      </w:r>
    </w:p>
    <w:p>
      <w:pPr>
        <w:pStyle w:val="Heading 3"/>
        <w:jc w:val="both"/>
      </w:pPr>
      <w:r>
        <w:rPr>
          <w:rFonts w:ascii="Arial Unicode MS" w:cs="Arial Unicode MS" w:hAnsi="Arial Unicode MS" w:eastAsia="Arial Unicode MS"/>
          <w:b w:val="0"/>
          <w:bCs w:val="0"/>
          <w:i w:val="0"/>
          <w:iCs w:val="0"/>
        </w:rPr>
        <w:br w:type="page"/>
      </w:r>
    </w:p>
    <w:p>
      <w:pPr>
        <w:pStyle w:val="Heading"/>
        <w:jc w:val="both"/>
        <w:rPr>
          <w:rFonts w:ascii="Verdana" w:cs="Verdana" w:hAnsi="Verdana" w:eastAsia="Verdana"/>
          <w:b w:val="0"/>
          <w:bCs w:val="0"/>
        </w:rPr>
      </w:pPr>
      <w:r>
        <w:rPr>
          <w:rFonts w:ascii="Verdana" w:hAnsi="Verdana"/>
          <w:b w:val="0"/>
          <w:bCs w:val="0"/>
          <w:rtl w:val="0"/>
          <w:lang w:val="en-US"/>
        </w:rPr>
        <w:t>6. The Fermi Distance Problem: A Prior Constraint</w:t>
      </w:r>
    </w:p>
    <w:p>
      <w:pPr>
        <w:pStyle w:val="Heading"/>
        <w:jc w:val="both"/>
        <w:rPr>
          <w:rFonts w:ascii="Verdana" w:cs="Verdana" w:hAnsi="Verdana" w:eastAsia="Verdana"/>
          <w:b w:val="0"/>
          <w:bCs w:val="0"/>
        </w:rPr>
      </w:pPr>
      <w:r>
        <w:rPr>
          <w:rFonts w:ascii="Verdana" w:hAnsi="Verdana"/>
          <w:b w:val="0"/>
          <w:bCs w:val="0"/>
          <w:sz w:val="24"/>
          <w:szCs w:val="24"/>
          <w:rtl w:val="0"/>
          <w:lang w:val="en-US"/>
        </w:rPr>
        <w:t>The preceding sections have addressed the AAH's evidential claims on their own terms. This section addresses a prior constraint: even granting that extraterrestrial intelligence exists, is the visitation model physically plausible at the scale the AAH requires?</w:t>
      </w:r>
    </w:p>
    <w:p>
      <w:pPr>
        <w:pStyle w:val="Heading"/>
        <w:jc w:val="both"/>
        <w:rPr>
          <w:rFonts w:ascii="Verdana" w:cs="Verdana" w:hAnsi="Verdana" w:eastAsia="Verdana"/>
          <w:b w:val="0"/>
          <w:bCs w:val="0"/>
        </w:rPr>
      </w:pPr>
      <w:r>
        <w:rPr>
          <w:rFonts w:ascii="Verdana" w:hAnsi="Verdana"/>
          <w:b w:val="0"/>
          <w:bCs w:val="0"/>
          <w:sz w:val="24"/>
          <w:szCs w:val="24"/>
          <w:rtl w:val="0"/>
          <w:lang w:val="en-US"/>
        </w:rPr>
        <w:t>The nearest stellar system to Earth is the Alpha Centauri system, at a distance of approximately 4.2 light years. At ten percent of the speed of light - a velocity far beyond any propulsion system currently conceivable for construction by any known civilisation, requiring energy expenditure of enormous magnitude for any macroscopic payload - a single one-way transit requires approximately 42 years. Round trip: a minimum of 84 years, exclusive of acceleration and deceleration phases, which add substantially to total transit time and energy cost for any physically realisable trajectory.</w:t>
      </w:r>
    </w:p>
    <w:p>
      <w:pPr>
        <w:pStyle w:val="Heading"/>
        <w:jc w:val="both"/>
        <w:rPr>
          <w:rFonts w:ascii="Verdana" w:cs="Verdana" w:hAnsi="Verdana" w:eastAsia="Verdana"/>
          <w:b w:val="0"/>
          <w:bCs w:val="0"/>
        </w:rPr>
      </w:pPr>
      <w:r>
        <w:rPr>
          <w:rFonts w:ascii="Verdana" w:hAnsi="Verdana"/>
          <w:b w:val="0"/>
          <w:bCs w:val="0"/>
          <w:sz w:val="24"/>
          <w:szCs w:val="24"/>
          <w:rtl w:val="0"/>
          <w:lang w:val="en-US"/>
        </w:rPr>
        <w:t>The AAH requires not a single visit but a programme of repeated, sustained interaction across thousands of years with multiple human populations on multiple continents. The nearest stars hosting plausible exoplanets include Proxima Centauri b (4.2 light years) and the TRAPPIST-1 system (approximately 39 light years). A round trip from TRAPPIST-1 at ten percent light speed requires approximately 780 years of transit time, exclusive of deceleration. Sustained interaction with Earth over the archaeological period attributed to AAH visitation - roughly 10,000 BCE to 500 CE - would require either continuous presence (implying permanent resident alien populations with no material trace) or a programme of hundreds of transit cycles, each representing centuries-long investments.</w:t>
      </w:r>
    </w:p>
    <w:p>
      <w:pPr>
        <w:pStyle w:val="Heading"/>
        <w:jc w:val="both"/>
        <w:rPr>
          <w:rFonts w:ascii="Verdana" w:cs="Verdana" w:hAnsi="Verdana" w:eastAsia="Verdana"/>
          <w:b w:val="0"/>
          <w:bCs w:val="0"/>
        </w:rPr>
      </w:pPr>
      <w:r>
        <w:rPr>
          <w:rFonts w:ascii="Verdana" w:hAnsi="Verdana"/>
          <w:b w:val="0"/>
          <w:bCs w:val="0"/>
          <w:sz w:val="24"/>
          <w:szCs w:val="24"/>
          <w:rtl w:val="0"/>
          <w:lang w:val="en-US"/>
        </w:rPr>
        <w:t>Under known physics, the energy requirement for accelerating a spacecraft of sufficient mass and life-support capacity to ten percent light speed is approximately 10^22 joules - comparable to the total solar energy incident on Earth over several years. No known energy source available to any civilisation is capable of sustaining such a programme at the frequency the AAH requires. This does not prove that the laws of physics prohibit all possible alien propulsion systems. It establishes that the AAH's required visitation programme, applied under known physics, demands assumptions about the visiting civilisation's energy production that compound the hypothesis' epistemic cost dramatically.</w:t>
      </w:r>
    </w:p>
    <w:p>
      <w:pPr>
        <w:pStyle w:val="Heading"/>
        <w:jc w:val="both"/>
        <w:rPr>
          <w:rFonts w:ascii="Verdana" w:cs="Verdana" w:hAnsi="Verdana" w:eastAsia="Verdana"/>
          <w:b w:val="0"/>
          <w:bCs w:val="0"/>
        </w:rPr>
      </w:pPr>
      <w:r>
        <w:rPr>
          <w:rFonts w:ascii="Verdana" w:hAnsi="Verdana"/>
          <w:b w:val="0"/>
          <w:bCs w:val="0"/>
          <w:sz w:val="24"/>
          <w:szCs w:val="24"/>
          <w:rtl w:val="0"/>
          <w:lang w:val="en-US"/>
        </w:rPr>
        <w:t>This problem - that the universe's age and scale seem to imply the existence of other intelligent civilisations yet no confirmed contact has occurred - is known formally as the Fermi paradox (Hart, 1975). The Drake equation (Drake, 1965) provides the probabilistic framework: given estimated rates of star formation, planetary occurrence, the emergence of life, the development of intelligence, and the duration of technological civilisations, the expected number of communicating civilisations in the galaxy is non-trivially greater than zero. The paradox is why no confirmed contact has been confirmed. The AAH nominally resolves the paradox by asserting contact occurred - but then requires it left no unambiguous physical trace, which does not resolve the paradox but restates it at a deeper level. Its implications for the AAH are direct: if interstellar-capable civilisations exist and some fraction would visit Earth, the complete absence of unambiguous physical evidence is itself an anomaly that the AAH does not resolve but deepens (Webb, 2002). The author notes, as stated in Section 1, a personal assessment that the mathematical probability of intelligence elsewhere in the universe is high. This view is entirely compatible with the Fermi constraint analysis above. Intelligence existing elsewhere and intelligence having visited early Earth are analytically distinct claims. The first is probable given the scale of the observable universe and the documented prevalence of exoplanets. The second requires both the existence of alien intelligence and its having directed sustained resources toward Earth during the specific window of early human civilisational development - a far more specific and demanding claim.</w:t>
      </w:r>
    </w:p>
    <w:p>
      <w:pPr>
        <w:pStyle w:val="Heading"/>
        <w:jc w:val="both"/>
      </w:pPr>
      <w:r>
        <w:rPr>
          <w:rFonts w:ascii="Arial Unicode MS" w:cs="Arial Unicode MS" w:hAnsi="Arial Unicode MS" w:eastAsia="Arial Unicode MS"/>
          <w:b w:val="0"/>
          <w:bCs w:val="0"/>
          <w:i w:val="0"/>
          <w:iCs w:val="0"/>
        </w:rPr>
        <w:br w:type="page"/>
      </w:r>
    </w:p>
    <w:p>
      <w:pPr>
        <w:pStyle w:val="Heading"/>
        <w:jc w:val="both"/>
        <w:rPr>
          <w:rFonts w:ascii="Verdana" w:cs="Verdana" w:hAnsi="Verdana" w:eastAsia="Verdana"/>
          <w:b w:val="0"/>
          <w:bCs w:val="0"/>
        </w:rPr>
      </w:pPr>
      <w:r>
        <w:rPr>
          <w:rFonts w:ascii="Verdana" w:hAnsi="Verdana"/>
          <w:b w:val="0"/>
          <w:bCs w:val="0"/>
          <w:rtl w:val="0"/>
          <w:lang w:val="fr-FR"/>
        </w:rPr>
        <w:t>7. Limitations</w:t>
      </w:r>
    </w:p>
    <w:p>
      <w:pPr>
        <w:pStyle w:val="Heading"/>
        <w:jc w:val="both"/>
        <w:rPr>
          <w:rFonts w:ascii="Verdana" w:cs="Verdana" w:hAnsi="Verdana" w:eastAsia="Verdana"/>
          <w:b w:val="0"/>
          <w:bCs w:val="0"/>
        </w:rPr>
      </w:pPr>
      <w:r>
        <w:rPr>
          <w:rFonts w:ascii="Verdana" w:hAnsi="Verdana"/>
          <w:b w:val="0"/>
          <w:bCs w:val="0"/>
          <w:sz w:val="24"/>
          <w:szCs w:val="24"/>
          <w:rtl w:val="0"/>
          <w:lang w:val="en-US"/>
        </w:rPr>
        <w:t>This paper has argued that the DSSM provides a complete and parsimonious account of the evidence the AAH cites. In the interest of intellectual honesty, the following limitations are acknowledged.</w:t>
      </w:r>
    </w:p>
    <w:p>
      <w:pPr>
        <w:pStyle w:val="Heading"/>
        <w:jc w:val="both"/>
        <w:rPr>
          <w:rFonts w:ascii="Verdana" w:cs="Verdana" w:hAnsi="Verdana" w:eastAsia="Verdana"/>
          <w:b w:val="0"/>
          <w:bCs w:val="0"/>
        </w:rPr>
      </w:pPr>
      <w:r>
        <w:rPr>
          <w:rFonts w:ascii="Verdana" w:hAnsi="Verdana"/>
          <w:b w:val="0"/>
          <w:bCs w:val="0"/>
          <w:i w:val="1"/>
          <w:iCs w:val="1"/>
          <w:sz w:val="24"/>
          <w:szCs w:val="24"/>
          <w:rtl w:val="0"/>
          <w:lang w:val="en-US"/>
        </w:rPr>
        <w:t>Completeness of the archaeological record</w:t>
      </w:r>
      <w:r>
        <w:rPr>
          <w:rFonts w:ascii="Verdana" w:hAnsi="Verdana"/>
          <w:b w:val="0"/>
          <w:bCs w:val="0"/>
          <w:sz w:val="24"/>
          <w:szCs w:val="24"/>
          <w:rtl w:val="0"/>
          <w:lang w:val="en-US"/>
        </w:rPr>
        <w:t>: The global archaeological record, though extensive, is not complete. There exist geographic regions and temporal periods for which the material evidence is sparse. The absence of evidence in such cases cannot be read as strong evidence of absence. The paper does not claim that all conceivable evidence has been examined; it claims that the available evidence, which is extensive, is fully explicable without external intervention.</w:t>
      </w:r>
    </w:p>
    <w:p>
      <w:pPr>
        <w:pStyle w:val="Heading"/>
        <w:jc w:val="both"/>
        <w:rPr>
          <w:rFonts w:ascii="Verdana" w:cs="Verdana" w:hAnsi="Verdana" w:eastAsia="Verdana"/>
          <w:b w:val="0"/>
          <w:bCs w:val="0"/>
        </w:rPr>
      </w:pPr>
      <w:r>
        <w:rPr>
          <w:rFonts w:ascii="Verdana" w:hAnsi="Verdana"/>
          <w:b w:val="0"/>
          <w:bCs w:val="0"/>
          <w:i w:val="1"/>
          <w:iCs w:val="1"/>
          <w:sz w:val="24"/>
          <w:szCs w:val="24"/>
          <w:rtl w:val="0"/>
          <w:lang w:val="nl-NL"/>
        </w:rPr>
        <w:t>The Baalbek engineering gap</w:t>
      </w:r>
      <w:r>
        <w:rPr>
          <w:rFonts w:ascii="Verdana" w:hAnsi="Verdana"/>
          <w:b w:val="0"/>
          <w:bCs w:val="0"/>
          <w:sz w:val="24"/>
          <w:szCs w:val="24"/>
          <w:rtl w:val="0"/>
          <w:lang w:val="en-US"/>
        </w:rPr>
        <w:t>: While the Roman-period construction context at Baalbek is established by Adam (1994) and Ruprechtsberger (1999), a universally accepted single-mechanism engineering account of the Trilithon placement has not been published. This is a genuine gap in the experimental archaeology literature that does not require alien explanation but warrants acknowledgment as an unresolved problem.</w:t>
      </w:r>
    </w:p>
    <w:p>
      <w:pPr>
        <w:pStyle w:val="Heading"/>
        <w:jc w:val="both"/>
        <w:rPr>
          <w:rFonts w:ascii="Verdana" w:cs="Verdana" w:hAnsi="Verdana" w:eastAsia="Verdana"/>
          <w:b w:val="0"/>
          <w:bCs w:val="0"/>
        </w:rPr>
      </w:pPr>
      <w:r>
        <w:rPr>
          <w:rFonts w:ascii="Verdana" w:hAnsi="Verdana"/>
          <w:b w:val="0"/>
          <w:bCs w:val="0"/>
          <w:i w:val="1"/>
          <w:iCs w:val="1"/>
          <w:sz w:val="24"/>
          <w:szCs w:val="24"/>
          <w:rtl w:val="0"/>
          <w:lang w:val="en-US"/>
        </w:rPr>
        <w:t>The Dogon case uncertainty</w:t>
      </w:r>
      <w:r>
        <w:rPr>
          <w:rFonts w:ascii="Verdana" w:hAnsi="Verdana"/>
          <w:b w:val="0"/>
          <w:bCs w:val="0"/>
          <w:sz w:val="24"/>
          <w:szCs w:val="24"/>
          <w:rtl w:val="0"/>
          <w:lang w:val="en-US"/>
        </w:rPr>
        <w:t>: The paper cites van Beek (1991) as raising serious questions about the Griaule-era Dogon documentation, and acknowledges Dieterlen's (1991) counter-argument that initiatory restriction may account for van Beek's findings. The paper's position - that the evidential basis is substantially weaker than the AAH represents - holds regardless of which methodological account is correct; neither validates the AAH's extraterrestrial interpretation.</w:t>
      </w:r>
    </w:p>
    <w:p>
      <w:pPr>
        <w:pStyle w:val="Heading"/>
        <w:jc w:val="both"/>
        <w:rPr>
          <w:rFonts w:ascii="Verdana" w:cs="Verdana" w:hAnsi="Verdana" w:eastAsia="Verdana"/>
          <w:b w:val="0"/>
          <w:bCs w:val="0"/>
        </w:rPr>
      </w:pPr>
      <w:r>
        <w:rPr>
          <w:rFonts w:ascii="Verdana" w:hAnsi="Verdana"/>
          <w:b w:val="0"/>
          <w:bCs w:val="0"/>
          <w:i w:val="1"/>
          <w:iCs w:val="1"/>
          <w:sz w:val="24"/>
          <w:szCs w:val="24"/>
          <w:rtl w:val="0"/>
          <w:lang w:val="en-US"/>
        </w:rPr>
        <w:t>The DSSM population threshold</w:t>
      </w:r>
      <w:r>
        <w:rPr>
          <w:rFonts w:ascii="Verdana" w:hAnsi="Verdana"/>
          <w:b w:val="0"/>
          <w:bCs w:val="0"/>
          <w:sz w:val="24"/>
          <w:szCs w:val="24"/>
          <w:rtl w:val="0"/>
          <w:lang w:val="en-US"/>
        </w:rPr>
        <w:t>: The Stage 3 threshold, presented as approximately 400-600 individuals in stable spatial association, is derived from the Dunbar (1992) social brain hypothesis, Henrich (2016), and Hamilton et al. (2007) - a three-step theoretical chain developed in full in the DSSM corpus (Vondoom, 2026). It is a testable prediction (DSSM Prediction P7), not an established prior finding, and requires empirical calibration across broad comparative settlement archaeology samples before it can be treated as an established prior. The Aboriginal Australia negative case in Section 5.4.1 provides the primary test in this paper.</w:t>
      </w:r>
    </w:p>
    <w:p>
      <w:pPr>
        <w:pStyle w:val="Heading"/>
        <w:jc w:val="both"/>
        <w:rPr>
          <w:rFonts w:ascii="Verdana" w:cs="Verdana" w:hAnsi="Verdana" w:eastAsia="Verdana"/>
          <w:b w:val="0"/>
          <w:bCs w:val="0"/>
        </w:rPr>
      </w:pPr>
      <w:r>
        <w:rPr>
          <w:rFonts w:ascii="Verdana" w:hAnsi="Verdana"/>
          <w:b w:val="1"/>
          <w:bCs w:val="1"/>
          <w:sz w:val="24"/>
          <w:szCs w:val="24"/>
          <w:rtl w:val="0"/>
          <w:lang w:val="en-US"/>
        </w:rPr>
        <w:t>The scope of this paper</w:t>
      </w:r>
      <w:r>
        <w:rPr>
          <w:rFonts w:ascii="Verdana" w:hAnsi="Verdana"/>
          <w:b w:val="0"/>
          <w:bCs w:val="0"/>
          <w:sz w:val="24"/>
          <w:szCs w:val="24"/>
          <w:rtl w:val="0"/>
          <w:lang w:val="en-US"/>
        </w:rPr>
        <w:t>: This paper addresses the AAH as a hypothesis about ancient human civilisational emergence. It does not address contemporary UAP phenomena, government disclosure processes, or claims about ongoing non-human intelligence in the present. Those are separate questions requiring separate analysis.</w:t>
      </w:r>
    </w:p>
    <w:p>
      <w:pPr>
        <w:pStyle w:val="Heading"/>
        <w:jc w:val="both"/>
        <w:rPr>
          <w:rFonts w:ascii="Verdana" w:cs="Verdana" w:hAnsi="Verdana" w:eastAsia="Verdana"/>
          <w:b w:val="0"/>
          <w:bCs w:val="0"/>
        </w:rPr>
      </w:pPr>
      <w:r>
        <w:rPr>
          <w:rFonts w:ascii="Verdana" w:hAnsi="Verdana"/>
          <w:b w:val="0"/>
          <w:bCs w:val="0"/>
          <w:rtl w:val="0"/>
          <w:lang w:val="en-US"/>
        </w:rPr>
        <w:t>8. Discussion</w:t>
      </w:r>
    </w:p>
    <w:p>
      <w:pPr>
        <w:pStyle w:val="Heading"/>
        <w:jc w:val="both"/>
        <w:rPr>
          <w:rFonts w:ascii="Verdana" w:cs="Verdana" w:hAnsi="Verdana" w:eastAsia="Verdana"/>
          <w:b w:val="0"/>
          <w:bCs w:val="0"/>
        </w:rPr>
      </w:pPr>
      <w:r>
        <w:rPr>
          <w:rFonts w:ascii="Verdana" w:hAnsi="Verdana"/>
          <w:b w:val="0"/>
          <w:bCs w:val="0"/>
          <w:sz w:val="24"/>
          <w:szCs w:val="24"/>
          <w:rtl w:val="0"/>
          <w:lang w:val="en-US"/>
        </w:rPr>
        <w:t>The argument developed across this paper converges on a position that can be stated clearly: the evidence the AAH cites is real; the interpretation the AAH applies is not required; and a superior interpretation is available that is more parsimonious, more specific, more falsifiable, and more consistent with the totality of evidence.</w:t>
      </w:r>
    </w:p>
    <w:p>
      <w:pPr>
        <w:pStyle w:val="Heading"/>
        <w:jc w:val="both"/>
        <w:rPr>
          <w:rFonts w:ascii="Verdana" w:cs="Verdana" w:hAnsi="Verdana" w:eastAsia="Verdana"/>
          <w:b w:val="0"/>
          <w:bCs w:val="0"/>
        </w:rPr>
      </w:pPr>
      <w:r>
        <w:rPr>
          <w:rFonts w:ascii="Verdana" w:hAnsi="Verdana"/>
          <w:b w:val="0"/>
          <w:bCs w:val="0"/>
          <w:sz w:val="24"/>
          <w:szCs w:val="24"/>
          <w:rtl w:val="0"/>
          <w:lang w:val="en-US"/>
        </w:rPr>
        <w:t>The cross-cultural mythological convergence is real. Convergent cognition operating on shared astronomical environments explains it without residue. The architectural complexity is real. Accumulated technological substrate and Stage 4 FCP saturation explain it without residue. The knowledge clustering is real. Post-Younger Dryas climate stabilisation and simultaneous population threshold achievement explain it without residue. The iconographic figures are real. Symbolic scaffolding and ceremonial costuming traditions explain them without residue. The Rh negative distribution is real. Founder effect and genetic drift in isolated founding populations explain it without residue.</w:t>
      </w:r>
    </w:p>
    <w:p>
      <w:pPr>
        <w:pStyle w:val="Heading"/>
        <w:jc w:val="both"/>
        <w:rPr>
          <w:rFonts w:ascii="Verdana" w:cs="Verdana" w:hAnsi="Verdana" w:eastAsia="Verdana"/>
          <w:b w:val="0"/>
          <w:bCs w:val="0"/>
        </w:rPr>
      </w:pPr>
      <w:r>
        <w:rPr>
          <w:rFonts w:ascii="Verdana" w:hAnsi="Verdana"/>
          <w:b w:val="0"/>
          <w:bCs w:val="0"/>
          <w:sz w:val="24"/>
          <w:szCs w:val="24"/>
          <w:rtl w:val="0"/>
          <w:lang w:val="en-US"/>
        </w:rPr>
        <w:t>In each case, the DSSM account is not merely adequate - it is richer, more specific, and more connected to the broader evidential record than the AAH account. It does not require positing entities for which no evidence exists. It does not require explaining why an advanced civilisation left no unambiguous physical trace across two centuries of systematic global archaeology. It does not require explaining why the most technologically advanced beings in the universe left knowledge of planting schedules and pyramid geometry but apparently no medical, physical, or astronomical knowledge beyond what each culture independently developed.</w:t>
      </w:r>
    </w:p>
    <w:p>
      <w:pPr>
        <w:pStyle w:val="Heading"/>
        <w:jc w:val="both"/>
        <w:rPr>
          <w:rFonts w:ascii="Verdana" w:cs="Verdana" w:hAnsi="Verdana" w:eastAsia="Verdana"/>
          <w:b w:val="0"/>
          <w:bCs w:val="0"/>
        </w:rPr>
      </w:pPr>
      <w:r>
        <w:rPr>
          <w:rFonts w:ascii="Verdana" w:hAnsi="Verdana"/>
          <w:b w:val="0"/>
          <w:bCs w:val="0"/>
          <w:sz w:val="24"/>
          <w:szCs w:val="24"/>
          <w:rtl w:val="0"/>
          <w:lang w:val="en-US"/>
        </w:rPr>
        <w:t>Before addressing this directly, the question of why the AAH is culturally persistent deserves engagement. A hypothesis this thoroughly falsifiable has commanded a serious popular audience for over fifty years. Dismissing that fact is not the same as understanding it.</w:t>
      </w:r>
    </w:p>
    <w:p>
      <w:pPr>
        <w:pStyle w:val="Heading"/>
        <w:jc w:val="both"/>
        <w:rPr>
          <w:rFonts w:ascii="Verdana" w:cs="Verdana" w:hAnsi="Verdana" w:eastAsia="Verdana"/>
          <w:b w:val="0"/>
          <w:bCs w:val="0"/>
        </w:rPr>
      </w:pPr>
      <w:r>
        <w:rPr>
          <w:rFonts w:ascii="Verdana" w:hAnsi="Verdana"/>
          <w:b w:val="0"/>
          <w:bCs w:val="0"/>
          <w:sz w:val="24"/>
          <w:szCs w:val="24"/>
          <w:rtl w:val="0"/>
          <w:lang w:val="en-US"/>
        </w:rPr>
        <w:t>The AAH persists because it performs a genuine cognitive function: it answers the question of how we got here in terms of agency, intention, and external intervention - precisely the explanatory structure that human cognition is most naturally equipped to find satisfying. Causal explanation by agent is cognitively prior to causal explanation by mechanism. We understand 'someone built this' before we understand 'accumulated practice across 300,000 years of symbolic development produced this.' The AAH is, in this sense, not a failure of reason but an expression of the same agency-detection and narrative-construction capacities that produced the ancient mythologies it claims to decode. It is itself a mythology - a modern one, performing the same stabilising function as the ancient sky-being narratives it recycles.</w:t>
      </w:r>
    </w:p>
    <w:p>
      <w:pPr>
        <w:pStyle w:val="Heading"/>
        <w:jc w:val="both"/>
        <w:rPr>
          <w:rFonts w:ascii="Verdana" w:cs="Verdana" w:hAnsi="Verdana" w:eastAsia="Verdana"/>
          <w:b w:val="0"/>
          <w:bCs w:val="0"/>
        </w:rPr>
      </w:pPr>
      <w:r>
        <w:rPr>
          <w:rFonts w:ascii="Verdana" w:hAnsi="Verdana"/>
          <w:b w:val="0"/>
          <w:bCs w:val="0"/>
          <w:sz w:val="24"/>
          <w:szCs w:val="24"/>
          <w:rtl w:val="0"/>
          <w:lang w:val="en-US"/>
        </w:rPr>
        <w:t>There is also a legitimate wonder at its root. The pyramids are extraordinary. Gobekli Tepe is extraordinary. The Maya calendar is extraordinary. The instinct that responds to these achievements with the question 'how is this possible?' is not wrong - it is the beginning of the right question. The AAH answers that question with aliens. The DSSM answers it with humans. The second answer is, if anything, the more astonishing: not that someone else came and did this for us, but that we - with the same brains we carry now, before the accumulated technological substrate of 4,500 intervening years - looked at a problem, organised ourselves across generations, and solved it. That is the story the AAH, in its rush to external explanation, consistently fails to tell.</w:t>
      </w:r>
    </w:p>
    <w:p>
      <w:pPr>
        <w:pStyle w:val="Heading"/>
        <w:jc w:val="both"/>
        <w:rPr>
          <w:rFonts w:ascii="Verdana" w:cs="Verdana" w:hAnsi="Verdana" w:eastAsia="Verdana"/>
          <w:b w:val="0"/>
          <w:bCs w:val="0"/>
        </w:rPr>
      </w:pPr>
      <w:r>
        <w:rPr>
          <w:rFonts w:ascii="Verdana" w:hAnsi="Verdana"/>
          <w:b w:val="0"/>
          <w:bCs w:val="0"/>
          <w:sz w:val="24"/>
          <w:szCs w:val="24"/>
          <w:rtl w:val="0"/>
          <w:lang w:val="en-US"/>
        </w:rPr>
        <w:t>The AAH's deepest problem is not logical but humanistic. It looks at the most extraordinary achievements of our species across the full range of human history and concludes that they are too extraordinary to have been human. In doing so, it diminishes the people who made them: the workers who moved the stones, the astronomers who mapped the stars, the craftspeople who refined the techniques across generations, the administrators who organised the labour, the thinkers who developed the symbolic frameworks that gave it all meaning. It is simultaneously a failure of imagination about what human beings are capable of and an inflation of imagination about what aliens might have done.</w:t>
      </w:r>
    </w:p>
    <w:p>
      <w:pPr>
        <w:pStyle w:val="Heading"/>
        <w:jc w:val="both"/>
        <w:rPr>
          <w:rFonts w:ascii="Verdana" w:cs="Verdana" w:hAnsi="Verdana" w:eastAsia="Verdana"/>
          <w:b w:val="0"/>
          <w:bCs w:val="0"/>
        </w:rPr>
      </w:pPr>
      <w:r>
        <w:rPr>
          <w:rFonts w:ascii="Verdana" w:hAnsi="Verdana"/>
          <w:b w:val="0"/>
          <w:bCs w:val="0"/>
          <w:sz w:val="24"/>
          <w:szCs w:val="24"/>
          <w:rtl w:val="0"/>
          <w:lang w:val="en-US"/>
        </w:rPr>
        <w:t>The DSSM's answer is different. It says: look at the cognitive architecture. Look at the mechanisms. Look at the thresholds. Look at the accumulated substrate. Look at the environmental context. Given these inputs and sufficient time, this is exactly what humans produce. Not despite being human, but because of it. The pyramids, the Vedic astronomical tradition, the Maya calendar, the Incan polygonal masonry, the Dogon oral traditions - these are not anomalies requiring explanation outside the human. They are the predictable and magnificent outputs of a cognitive architecture that has been building civilisation from the inside out, with no outside required, for as long as there have been stable populations large enough to cross the Stage 3 threshold.</w:t>
      </w:r>
    </w:p>
    <w:p>
      <w:pPr>
        <w:pStyle w:val="Heading"/>
        <w:jc w:val="both"/>
        <w:rPr>
          <w:rFonts w:ascii="Verdana" w:cs="Verdana" w:hAnsi="Verdana" w:eastAsia="Verdana"/>
          <w:b w:val="0"/>
          <w:bCs w:val="0"/>
        </w:rPr>
      </w:pPr>
      <w:r>
        <w:rPr>
          <w:rFonts w:ascii="Verdana" w:hAnsi="Verdana"/>
          <w:b w:val="0"/>
          <w:bCs w:val="0"/>
          <w:sz w:val="24"/>
          <w:szCs w:val="24"/>
          <w:rtl w:val="0"/>
          <w:lang w:val="en-US"/>
        </w:rPr>
        <w:t>There is something to be said for what the AAH gets right in its intuition, even as it gets the explanation wrong. The AAH is driven by a genuine sense of wonder at human achievement - a recognition that what ancient peoples built was extraordinary. That wonder is appropriate. What is not appropriate is the conclusion that extraordinary achievement must have had extraordinary external assistance. The ancient alien hypothesis is, in the end, a failure of confidence in our own species - dressed as its opposite.</w:t>
      </w:r>
    </w:p>
    <w:p>
      <w:pPr>
        <w:pStyle w:val="Heading"/>
        <w:jc w:val="both"/>
        <w:rPr>
          <w:rFonts w:ascii="Verdana" w:cs="Verdana" w:hAnsi="Verdana" w:eastAsia="Verdana"/>
          <w:b w:val="0"/>
          <w:bCs w:val="0"/>
        </w:rPr>
      </w:pPr>
      <w:r>
        <w:rPr>
          <w:rFonts w:ascii="Verdana" w:hAnsi="Verdana"/>
          <w:b w:val="0"/>
          <w:bCs w:val="0"/>
          <w:rtl w:val="0"/>
          <w:lang w:val="it-IT"/>
        </w:rPr>
        <w:t>9. Conclusion</w:t>
      </w:r>
    </w:p>
    <w:p>
      <w:pPr>
        <w:pStyle w:val="Heading"/>
        <w:jc w:val="both"/>
        <w:rPr>
          <w:rFonts w:ascii="Verdana" w:cs="Verdana" w:hAnsi="Verdana" w:eastAsia="Verdana"/>
          <w:b w:val="0"/>
          <w:bCs w:val="0"/>
        </w:rPr>
      </w:pPr>
      <w:r>
        <w:rPr>
          <w:rFonts w:ascii="Verdana" w:hAnsi="Verdana"/>
          <w:b w:val="0"/>
          <w:bCs w:val="0"/>
          <w:sz w:val="24"/>
          <w:szCs w:val="24"/>
          <w:rtl w:val="0"/>
          <w:lang w:val="en-US"/>
        </w:rPr>
        <w:t>This paper has undertaken a three-part examination of the Ancient Astronaut Hypothesis. It presented the hypothesis fairly, in its strongest available form. It demonstrated, through systematic application of logic, physical evidence, population genetics, cognitive anthropology, experimental archaeology, and the philosophy of science, that each of the hypothesis' principal evidential claims fails under scrutiny. And it introduced the Deep Symbolic Systems Model as a complete positive account of human civilisational emergence - one that renders external intervention not merely unproven but redundant.</w:t>
      </w:r>
    </w:p>
    <w:p>
      <w:pPr>
        <w:pStyle w:val="Heading"/>
        <w:jc w:val="both"/>
        <w:rPr>
          <w:rFonts w:ascii="Verdana" w:cs="Verdana" w:hAnsi="Verdana" w:eastAsia="Verdana"/>
          <w:b w:val="0"/>
          <w:bCs w:val="0"/>
        </w:rPr>
      </w:pPr>
      <w:r>
        <w:rPr>
          <w:rFonts w:ascii="Verdana" w:hAnsi="Verdana"/>
          <w:b w:val="0"/>
          <w:bCs w:val="0"/>
          <w:sz w:val="24"/>
          <w:szCs w:val="24"/>
          <w:rtl w:val="0"/>
          <w:lang w:val="en-US"/>
        </w:rPr>
        <w:t>The paper does not claim that extraterrestrial intelligence does not exist. It claims that the human record does not require it. The DSSM provides a mechanistic, empirically grounded, and fully parsimonious account of every phenomenon the AAH attributes to alien contact. Where the DSSM's account is correct, the AAH's account adds nothing but unsupported complexity at prohibitive evidential cost.</w:t>
      </w:r>
    </w:p>
    <w:p>
      <w:pPr>
        <w:pStyle w:val="Heading"/>
        <w:jc w:val="both"/>
        <w:rPr>
          <w:rFonts w:ascii="Verdana" w:cs="Verdana" w:hAnsi="Verdana" w:eastAsia="Verdana"/>
          <w:b w:val="0"/>
          <w:bCs w:val="0"/>
        </w:rPr>
      </w:pPr>
      <w:r>
        <w:rPr>
          <w:rFonts w:ascii="Verdana" w:hAnsi="Verdana"/>
          <w:b w:val="0"/>
          <w:bCs w:val="0"/>
          <w:sz w:val="24"/>
          <w:szCs w:val="24"/>
          <w:rtl w:val="0"/>
          <w:lang w:val="en-US"/>
        </w:rPr>
        <w:t>The two strongest single arguments against the AAH developed in this paper are worth restating. First, the Sentinelese contact analogy demonstrates that the hypothesis' assumed contact dynamics - benevolent knowledge transfer, collaborative construction, harmonious interaction between unequal civilisations - have no analogue in any documented case of contact between technologically unequal populations, including populations of the same species. The global archaeological record matches the Sentinelese prediction (foreign materials incorporated in local forms; no reverse engineering attempts; no anomalous residuals) exactly. Second, the technology stasis problem demonstrates that the vehicles described in ancient texts track human technological vocabulary across millennia, not alien technological development - which is the signature of culturally conditioned perception, not observation of actual alien machinery.</w:t>
      </w:r>
    </w:p>
    <w:p>
      <w:pPr>
        <w:pStyle w:val="Heading"/>
        <w:jc w:val="both"/>
        <w:rPr>
          <w:rFonts w:ascii="Verdana" w:cs="Verdana" w:hAnsi="Verdana" w:eastAsia="Verdana"/>
          <w:b w:val="0"/>
          <w:bCs w:val="0"/>
        </w:rPr>
      </w:pPr>
      <w:r>
        <w:rPr>
          <w:rFonts w:ascii="Verdana" w:hAnsi="Verdana"/>
          <w:b w:val="0"/>
          <w:bCs w:val="0"/>
          <w:sz w:val="24"/>
          <w:szCs w:val="24"/>
          <w:rtl w:val="0"/>
          <w:lang w:val="en-US"/>
        </w:rPr>
        <w:t>Against these arguments, the DSSM offers its strongest point: it does not merely rebut the AAH. It makes it unnecessary. By providing a complete, mechanistic, stage-by-stage account of how human civilisation emerges from embodied practice through symbolic stabilisation, the DSSM removes the explanatory gap that the AAH fills with aliens. There is no gap. There never was. Ancient humans were sufficient unto themselves. The record they left is not a puzzle requiring alien solution. It is a testament to what the human mind, properly scaffolded and properly motivated, achieves with nothing more than time, accumulated knowledge, and each other.</w:t>
      </w:r>
    </w:p>
    <w:p>
      <w:pPr>
        <w:pStyle w:val="Heading"/>
        <w:jc w:val="both"/>
        <w:rPr>
          <w:rFonts w:ascii="Verdana" w:cs="Verdana" w:hAnsi="Verdana" w:eastAsia="Verdana"/>
          <w:b w:val="0"/>
          <w:bCs w:val="0"/>
        </w:rPr>
      </w:pPr>
      <w:r>
        <w:rPr>
          <w:rFonts w:ascii="Verdana" w:hAnsi="Verdana"/>
          <w:b w:val="0"/>
          <w:bCs w:val="0"/>
          <w:rtl w:val="0"/>
          <w:lang w:val="en-US"/>
        </w:rPr>
        <w:t>10. Sustainable Development Goals</w:t>
      </w:r>
    </w:p>
    <w:p>
      <w:pPr>
        <w:pStyle w:val="Heading"/>
        <w:jc w:val="both"/>
        <w:rPr>
          <w:rFonts w:ascii="Verdana" w:cs="Verdana" w:hAnsi="Verdana" w:eastAsia="Verdana"/>
          <w:b w:val="0"/>
          <w:bCs w:val="0"/>
        </w:rPr>
      </w:pPr>
      <w:r>
        <w:rPr>
          <w:rFonts w:ascii="Verdana" w:hAnsi="Verdana"/>
          <w:b w:val="0"/>
          <w:bCs w:val="0"/>
          <w:sz w:val="24"/>
          <w:szCs w:val="24"/>
          <w:rtl w:val="0"/>
          <w:lang w:val="en-US"/>
        </w:rPr>
        <w:t>SDG 4 - Quality Education (Target 4.7): This paper directly supports the target of ensuring learners acquire knowledge and skills needed to promote sustainable development through education for global citizenship. It provides an evidence-based account of how all human populations - across every continent and era - built civilisation through identical cognitive mechanisms and accumulated effort. Teaching human history through this lens, rather than through frameworks that attribute non-Western achievement to external agency, is a concrete contribution to critical thinking, cultural respect, and accurate historical education. The DSSM provides educators with a mechanistic framework for explaining why all human populations are equally capable of the full range of civilisational achievement.</w:t>
      </w:r>
    </w:p>
    <w:p>
      <w:pPr>
        <w:pStyle w:val="Heading"/>
        <w:jc w:val="both"/>
        <w:rPr>
          <w:rFonts w:ascii="Verdana" w:cs="Verdana" w:hAnsi="Verdana" w:eastAsia="Verdana"/>
          <w:b w:val="0"/>
          <w:bCs w:val="0"/>
        </w:rPr>
      </w:pPr>
      <w:r>
        <w:rPr>
          <w:rFonts w:ascii="Verdana" w:hAnsi="Verdana"/>
          <w:b w:val="0"/>
          <w:bCs w:val="0"/>
          <w:sz w:val="24"/>
          <w:szCs w:val="24"/>
          <w:rtl w:val="0"/>
          <w:lang w:val="en-US"/>
        </w:rPr>
        <w:t>SDG 10 - Reduced Inequalities (Target 10.2): The AAH embeds a differential epistemic standard that constitutes a structural inequality in how human history is understood and taught. This paper's central argument - that civilisational emergence follows from universal mechanisms of symbolic stabilisation operating identically across all human populations - directly supports the empowerment and inclusion of all peoples regardless of origin. Affirming that the Maya, Egyptian, Andean, and Indus Valley civilisations were built by the people who lived there, with no outside help required or evidenced, is a concrete contribution to epistemic equality with measurable consequences for how those peoples' descendants understand their own heritage.</w:t>
      </w:r>
    </w:p>
    <w:p>
      <w:pPr>
        <w:pStyle w:val="Heading"/>
        <w:jc w:val="both"/>
        <w:rPr>
          <w:rFonts w:ascii="Verdana" w:cs="Verdana" w:hAnsi="Verdana" w:eastAsia="Verdana"/>
          <w:b w:val="0"/>
          <w:bCs w:val="0"/>
        </w:rPr>
      </w:pPr>
      <w:r>
        <w:rPr>
          <w:rFonts w:ascii="Verdana" w:hAnsi="Verdana"/>
          <w:b w:val="0"/>
          <w:bCs w:val="0"/>
          <w:sz w:val="24"/>
          <w:szCs w:val="24"/>
          <w:rtl w:val="0"/>
          <w:lang w:val="en-US"/>
        </w:rPr>
        <w:t>SDG 16 - Peace, Justice, and Strong Institutions (Target 16.6): The DSSM's mechanistic account of institutional emergence - tracing the developmental path from embodied procedural practice through ritualised repetition and cross-media redundancy to durable administrative institutions - provides a framework for understanding what conditions are necessary and sufficient for effective, accountable, and inclusive institutions to form and persist. The model's identification of specific thresholds, substrates, and stabilisation criteria has direct applied relevance for post-conflict reconstruction and institutional resilience analysis. Understanding that institutions are the cumulative product of symbolic stabilisation rather than top-down imposition or external gift informs both historical analysis and contemporary institutional design.</w:t>
      </w:r>
    </w:p>
    <w:p>
      <w:pPr>
        <w:pStyle w:val="Heading"/>
        <w:jc w:val="both"/>
        <w:rPr>
          <w:rFonts w:ascii="Verdana" w:cs="Verdana" w:hAnsi="Verdana" w:eastAsia="Verdana"/>
          <w:b w:val="0"/>
          <w:bCs w:val="0"/>
        </w:rPr>
      </w:pPr>
      <w:r>
        <w:rPr>
          <w:rFonts w:ascii="Verdana" w:hAnsi="Verdana"/>
          <w:b w:val="0"/>
          <w:bCs w:val="0"/>
          <w:sz w:val="24"/>
          <w:szCs w:val="24"/>
          <w:rtl w:val="0"/>
          <w:lang w:val="en-US"/>
        </w:rPr>
        <w:t>SDG 17 - Partnerships for the Goals (Target 17.6): This paper integrates findings from cognitive archaeology, palaeogenomics, population genetics, experimental archaeology, archaeoastronomy, the philosophy of science, and the DSSM into a unified cross-disciplinary argument. It is distributed open-access across OSF, Figshare, Zenodo, SSRN, and Academia.edu without paywall or institutional access requirement. This model directly supports the enhanced global sharing of science and knowledge, including equitable access for researchers and citizens in developing countries and those without institutional affiliation. The paper models the principle that rigorous scholarship is not the exclusive property of credentialled institutions.</w:t>
      </w:r>
    </w:p>
    <w:p>
      <w:pPr>
        <w:pStyle w:val="Heading"/>
        <w:jc w:val="both"/>
      </w:pPr>
      <w:r>
        <w:rPr>
          <w:rFonts w:ascii="Arial Unicode MS" w:cs="Arial Unicode MS" w:hAnsi="Arial Unicode MS" w:eastAsia="Arial Unicode MS"/>
          <w:b w:val="0"/>
          <w:bCs w:val="0"/>
          <w:i w:val="0"/>
          <w:iCs w:val="0"/>
        </w:rPr>
        <w:br w:type="page"/>
      </w:r>
    </w:p>
    <w:p>
      <w:pPr>
        <w:pStyle w:val="Heading"/>
        <w:jc w:val="both"/>
        <w:rPr>
          <w:rFonts w:ascii="Verdana" w:cs="Verdana" w:hAnsi="Verdana" w:eastAsia="Verdana"/>
          <w:b w:val="0"/>
          <w:bCs w:val="0"/>
        </w:rPr>
      </w:pPr>
      <w:r>
        <w:rPr>
          <w:rFonts w:ascii="Verdana" w:hAnsi="Verdana"/>
          <w:b w:val="0"/>
          <w:bCs w:val="0"/>
          <w:rtl w:val="0"/>
          <w:lang w:val="fr-FR"/>
        </w:rPr>
        <w:t>References</w:t>
      </w:r>
    </w:p>
    <w:p>
      <w:pPr>
        <w:pStyle w:val="Heading"/>
        <w:jc w:val="both"/>
        <w:rPr>
          <w:rFonts w:ascii="Verdana" w:cs="Verdana" w:hAnsi="Verdana" w:eastAsia="Verdana"/>
          <w:b w:val="0"/>
          <w:bCs w:val="0"/>
        </w:rPr>
      </w:pPr>
      <w:r>
        <w:rPr>
          <w:rFonts w:ascii="Verdana" w:hAnsi="Verdana"/>
          <w:b w:val="0"/>
          <w:bCs w:val="0"/>
          <w:sz w:val="22"/>
          <w:szCs w:val="22"/>
          <w:rtl w:val="0"/>
          <w:lang w:val="it-IT"/>
        </w:rPr>
        <w:t>Atkinson, R. J. C. (1956). Stonehenge. Hamish Hamilton.</w:t>
      </w:r>
    </w:p>
    <w:p>
      <w:pPr>
        <w:pStyle w:val="Heading"/>
        <w:jc w:val="both"/>
        <w:rPr>
          <w:rFonts w:ascii="Verdana" w:cs="Verdana" w:hAnsi="Verdana" w:eastAsia="Verdana"/>
          <w:b w:val="0"/>
          <w:bCs w:val="0"/>
        </w:rPr>
      </w:pPr>
      <w:r>
        <w:rPr>
          <w:rFonts w:ascii="Verdana" w:hAnsi="Verdana"/>
          <w:b w:val="0"/>
          <w:bCs w:val="0"/>
          <w:sz w:val="22"/>
          <w:szCs w:val="22"/>
          <w:rtl w:val="0"/>
          <w:lang w:val="en-US"/>
        </w:rPr>
        <w:t>Aveni, A. F. (1990). The lines of Nazca. American Philosophical Society.</w:t>
      </w:r>
    </w:p>
    <w:p>
      <w:pPr>
        <w:pStyle w:val="Heading"/>
        <w:jc w:val="both"/>
        <w:rPr>
          <w:rFonts w:ascii="Verdana" w:cs="Verdana" w:hAnsi="Verdana" w:eastAsia="Verdana"/>
          <w:b w:val="0"/>
          <w:bCs w:val="0"/>
        </w:rPr>
      </w:pPr>
      <w:r>
        <w:rPr>
          <w:rFonts w:ascii="Verdana" w:hAnsi="Verdana"/>
          <w:b w:val="0"/>
          <w:bCs w:val="0"/>
          <w:sz w:val="22"/>
          <w:szCs w:val="22"/>
          <w:rtl w:val="0"/>
          <w:lang w:val="en-US"/>
        </w:rPr>
        <w:t>Belmonte, J. A. (2001). On the orientation of old kingdom Egyptian pyramids. Archaeoastronomy, 26, S1-S20.</w:t>
      </w:r>
    </w:p>
    <w:p>
      <w:pPr>
        <w:pStyle w:val="Heading"/>
        <w:jc w:val="both"/>
        <w:rPr>
          <w:rFonts w:ascii="Verdana" w:cs="Verdana" w:hAnsi="Verdana" w:eastAsia="Verdana"/>
          <w:b w:val="0"/>
          <w:bCs w:val="0"/>
        </w:rPr>
      </w:pPr>
      <w:r>
        <w:rPr>
          <w:rFonts w:ascii="Verdana" w:hAnsi="Verdana"/>
          <w:b w:val="0"/>
          <w:bCs w:val="0"/>
          <w:sz w:val="22"/>
          <w:szCs w:val="22"/>
          <w:rtl w:val="0"/>
          <w:lang w:val="en-US"/>
        </w:rPr>
        <w:t>Childe, V. G. (1950). The urban revolution. Town Planning Review, 21(1), 3-17. [Cited for origination of the 'urban revolution' concept; for critical reappraisal see Smith, M. E. (2009). V. Gordon Childe and the urban revolution. Town Planning Review, 80(1), 3-29.]</w:t>
      </w:r>
    </w:p>
    <w:p>
      <w:pPr>
        <w:pStyle w:val="Heading"/>
        <w:jc w:val="both"/>
        <w:rPr>
          <w:rFonts w:ascii="Verdana" w:cs="Verdana" w:hAnsi="Verdana" w:eastAsia="Verdana"/>
          <w:b w:val="0"/>
          <w:bCs w:val="0"/>
        </w:rPr>
      </w:pPr>
      <w:r>
        <w:rPr>
          <w:rFonts w:ascii="Verdana" w:hAnsi="Verdana"/>
          <w:b w:val="0"/>
          <w:bCs w:val="0"/>
          <w:sz w:val="22"/>
          <w:szCs w:val="22"/>
          <w:rtl w:val="0"/>
          <w:lang w:val="en-US"/>
        </w:rPr>
        <w:t>D'Anastasio, R., Wroe, S., Tuniz, C., Caracciolo, L., Dermience, L., Budge, S., &amp; Macchiarelli, R. (2013). Micro-biomechanics of the Kebara 2 hyoid and its implications for speech in Neanderthals. PLOS ONE, 8(12), Article e82261. https://doi.org/10.1371/journal.pone.0082261</w:t>
      </w:r>
    </w:p>
    <w:p>
      <w:pPr>
        <w:pStyle w:val="Heading"/>
        <w:jc w:val="both"/>
        <w:rPr>
          <w:rFonts w:ascii="Verdana" w:cs="Verdana" w:hAnsi="Verdana" w:eastAsia="Verdana"/>
          <w:b w:val="0"/>
          <w:bCs w:val="0"/>
        </w:rPr>
      </w:pPr>
      <w:r>
        <w:rPr>
          <w:rFonts w:ascii="Verdana" w:hAnsi="Verdana"/>
          <w:b w:val="0"/>
          <w:bCs w:val="0"/>
          <w:sz w:val="22"/>
          <w:szCs w:val="22"/>
          <w:rtl w:val="0"/>
          <w:lang w:val="en-US"/>
        </w:rPr>
        <w:t>Daniken, E. von. (1968). Chariots of the Gods. Putnam.</w:t>
      </w:r>
    </w:p>
    <w:p>
      <w:pPr>
        <w:pStyle w:val="Heading"/>
        <w:jc w:val="both"/>
        <w:rPr>
          <w:rFonts w:ascii="Verdana" w:cs="Verdana" w:hAnsi="Verdana" w:eastAsia="Verdana"/>
          <w:b w:val="0"/>
          <w:bCs w:val="0"/>
        </w:rPr>
      </w:pPr>
      <w:r>
        <w:rPr>
          <w:rFonts w:ascii="Verdana" w:hAnsi="Verdana"/>
          <w:b w:val="0"/>
          <w:bCs w:val="0"/>
          <w:sz w:val="22"/>
          <w:szCs w:val="22"/>
          <w:rtl w:val="0"/>
          <w:lang w:val="en-US"/>
        </w:rPr>
        <w:t>Edwards, I. E. S. (1993). The pyramids of Egypt. Penguin.</w:t>
      </w:r>
    </w:p>
    <w:p>
      <w:pPr>
        <w:pStyle w:val="Heading"/>
        <w:jc w:val="both"/>
        <w:rPr>
          <w:rFonts w:ascii="Verdana" w:cs="Verdana" w:hAnsi="Verdana" w:eastAsia="Verdana"/>
          <w:b w:val="0"/>
          <w:bCs w:val="0"/>
        </w:rPr>
      </w:pPr>
      <w:r>
        <w:rPr>
          <w:rFonts w:ascii="Verdana" w:hAnsi="Verdana"/>
          <w:b w:val="0"/>
          <w:bCs w:val="0"/>
          <w:sz w:val="22"/>
          <w:szCs w:val="22"/>
          <w:rtl w:val="0"/>
          <w:lang w:val="en-US"/>
        </w:rPr>
        <w:t>Griaule, M. (1965). Conversations with Ogotemmeli: An introduction to Dogon religious ideas. Oxford University Press.</w:t>
      </w:r>
    </w:p>
    <w:p>
      <w:pPr>
        <w:pStyle w:val="Heading"/>
        <w:jc w:val="both"/>
        <w:rPr>
          <w:rFonts w:ascii="Verdana" w:cs="Verdana" w:hAnsi="Verdana" w:eastAsia="Verdana"/>
          <w:b w:val="0"/>
          <w:bCs w:val="0"/>
        </w:rPr>
      </w:pPr>
      <w:r>
        <w:rPr>
          <w:rFonts w:ascii="Verdana" w:hAnsi="Verdana"/>
          <w:b w:val="0"/>
          <w:bCs w:val="0"/>
          <w:sz w:val="22"/>
          <w:szCs w:val="22"/>
          <w:rtl w:val="0"/>
          <w:lang w:val="en-US"/>
        </w:rPr>
        <w:t>Adam, J.-P. (1994). Roman building: Materials and techniques. Batsford.</w:t>
      </w:r>
    </w:p>
    <w:p>
      <w:pPr>
        <w:pStyle w:val="Heading"/>
        <w:jc w:val="both"/>
        <w:rPr>
          <w:rFonts w:ascii="Verdana" w:cs="Verdana" w:hAnsi="Verdana" w:eastAsia="Verdana"/>
          <w:b w:val="0"/>
          <w:bCs w:val="0"/>
        </w:rPr>
      </w:pPr>
      <w:r>
        <w:rPr>
          <w:rFonts w:ascii="Verdana" w:hAnsi="Verdana"/>
          <w:b w:val="0"/>
          <w:bCs w:val="0"/>
          <w:sz w:val="22"/>
          <w:szCs w:val="22"/>
          <w:rtl w:val="0"/>
          <w:lang w:val="en-US"/>
        </w:rPr>
        <w:t>Hauser, M., Chomsky, N., &amp; Fitch, W. T. (2002). The faculty of language: What is it, who has it, and how did it evolve? Science, 298(5598), 1569-1579.</w:t>
      </w:r>
    </w:p>
    <w:p>
      <w:pPr>
        <w:pStyle w:val="Heading"/>
        <w:jc w:val="both"/>
        <w:rPr>
          <w:rFonts w:ascii="Verdana" w:cs="Verdana" w:hAnsi="Verdana" w:eastAsia="Verdana"/>
          <w:b w:val="0"/>
          <w:bCs w:val="0"/>
        </w:rPr>
      </w:pPr>
      <w:r>
        <w:rPr>
          <w:rFonts w:ascii="Verdana" w:hAnsi="Verdana"/>
          <w:b w:val="0"/>
          <w:bCs w:val="0"/>
          <w:sz w:val="22"/>
          <w:szCs w:val="22"/>
          <w:rtl w:val="0"/>
          <w:lang w:val="en-US"/>
        </w:rPr>
        <w:t>Henshilwood, C. S., et al. (2009). Engraved ochres from the middle stone age levels at Blombos Cave, South Africa. Journal of Human Evolution, 57(1), 27-47.</w:t>
      </w:r>
    </w:p>
    <w:p>
      <w:pPr>
        <w:pStyle w:val="Heading"/>
        <w:jc w:val="both"/>
        <w:rPr>
          <w:rFonts w:ascii="Verdana" w:cs="Verdana" w:hAnsi="Verdana" w:eastAsia="Verdana"/>
          <w:b w:val="0"/>
          <w:bCs w:val="0"/>
        </w:rPr>
      </w:pPr>
      <w:r>
        <w:rPr>
          <w:rFonts w:ascii="Verdana" w:hAnsi="Verdana"/>
          <w:b w:val="0"/>
          <w:bCs w:val="0"/>
          <w:sz w:val="22"/>
          <w:szCs w:val="22"/>
          <w:rtl w:val="0"/>
          <w:lang w:val="en-US"/>
        </w:rPr>
        <w:t>Jidejian, N. (1968). Baalbek: Heliopolis 'City of the Sun.' Dar el-Machreq.</w:t>
      </w:r>
    </w:p>
    <w:p>
      <w:pPr>
        <w:pStyle w:val="Heading"/>
        <w:jc w:val="both"/>
        <w:rPr>
          <w:rFonts w:ascii="Verdana" w:cs="Verdana" w:hAnsi="Verdana" w:eastAsia="Verdana"/>
          <w:b w:val="0"/>
          <w:bCs w:val="0"/>
        </w:rPr>
      </w:pPr>
      <w:r>
        <w:rPr>
          <w:rFonts w:ascii="Verdana" w:hAnsi="Verdana"/>
          <w:b w:val="0"/>
          <w:bCs w:val="0"/>
          <w:sz w:val="22"/>
          <w:szCs w:val="22"/>
          <w:rtl w:val="0"/>
          <w:lang w:val="en-US"/>
        </w:rPr>
        <w:t>Kuhn, T. S. (1962). The structure of scientific revolutions. University of Chicago Press.</w:t>
      </w:r>
    </w:p>
    <w:p>
      <w:pPr>
        <w:pStyle w:val="Heading"/>
        <w:jc w:val="both"/>
        <w:rPr>
          <w:rFonts w:ascii="Verdana" w:cs="Verdana" w:hAnsi="Verdana" w:eastAsia="Verdana"/>
          <w:b w:val="0"/>
          <w:bCs w:val="0"/>
        </w:rPr>
      </w:pPr>
      <w:r>
        <w:rPr>
          <w:rFonts w:ascii="Verdana" w:hAnsi="Verdana"/>
          <w:b w:val="0"/>
          <w:bCs w:val="0"/>
          <w:sz w:val="22"/>
          <w:szCs w:val="22"/>
          <w:rtl w:val="0"/>
          <w:lang w:val="en-US"/>
        </w:rPr>
        <w:t>Lehner, M. (1997). The complete pyramids. Thames and Hudson.</w:t>
      </w:r>
    </w:p>
    <w:p>
      <w:pPr>
        <w:pStyle w:val="Heading"/>
        <w:jc w:val="both"/>
        <w:rPr>
          <w:rFonts w:ascii="Verdana" w:cs="Verdana" w:hAnsi="Verdana" w:eastAsia="Verdana"/>
          <w:b w:val="0"/>
          <w:bCs w:val="0"/>
        </w:rPr>
      </w:pPr>
      <w:r>
        <w:rPr>
          <w:rFonts w:ascii="Verdana" w:hAnsi="Verdana"/>
          <w:b w:val="0"/>
          <w:bCs w:val="0"/>
          <w:sz w:val="22"/>
          <w:szCs w:val="22"/>
          <w:rtl w:val="0"/>
          <w:lang w:val="en-US"/>
        </w:rPr>
        <w:t>Magli, G. (2016). Architecture, astronomy and sacred landscape in ancient Egypt. Cambridge University Press.</w:t>
      </w:r>
    </w:p>
    <w:p>
      <w:pPr>
        <w:pStyle w:val="Heading"/>
        <w:jc w:val="both"/>
        <w:rPr>
          <w:rFonts w:ascii="Verdana" w:cs="Verdana" w:hAnsi="Verdana" w:eastAsia="Verdana"/>
          <w:b w:val="0"/>
          <w:bCs w:val="0"/>
        </w:rPr>
      </w:pPr>
      <w:r>
        <w:rPr>
          <w:rFonts w:ascii="Verdana" w:hAnsi="Verdana"/>
          <w:b w:val="0"/>
          <w:bCs w:val="0"/>
          <w:sz w:val="22"/>
          <w:szCs w:val="22"/>
          <w:rtl w:val="0"/>
          <w:lang w:val="en-US"/>
        </w:rPr>
        <w:t>Popper, K. R. (1959). The logic of scientific discovery. Hutchinson.</w:t>
      </w:r>
    </w:p>
    <w:p>
      <w:pPr>
        <w:pStyle w:val="Heading"/>
        <w:jc w:val="both"/>
        <w:rPr>
          <w:rFonts w:ascii="Verdana" w:cs="Verdana" w:hAnsi="Verdana" w:eastAsia="Verdana"/>
          <w:b w:val="0"/>
          <w:bCs w:val="0"/>
        </w:rPr>
      </w:pPr>
      <w:r>
        <w:rPr>
          <w:rFonts w:ascii="Verdana" w:hAnsi="Verdana"/>
          <w:b w:val="0"/>
          <w:bCs w:val="0"/>
          <w:sz w:val="22"/>
          <w:szCs w:val="22"/>
          <w:rtl w:val="0"/>
          <w:lang w:val="de-DE"/>
        </w:rPr>
        <w:t>Protzen, J. P. (1986). Inca stonemasonry. Scientific American, 254(2), 94-105.</w:t>
      </w:r>
    </w:p>
    <w:p>
      <w:pPr>
        <w:pStyle w:val="Heading"/>
        <w:jc w:val="both"/>
        <w:rPr>
          <w:rFonts w:ascii="Verdana" w:cs="Verdana" w:hAnsi="Verdana" w:eastAsia="Verdana"/>
          <w:b w:val="0"/>
          <w:bCs w:val="0"/>
        </w:rPr>
      </w:pPr>
      <w:r>
        <w:rPr>
          <w:rFonts w:ascii="Verdana" w:hAnsi="Verdana"/>
          <w:b w:val="0"/>
          <w:bCs w:val="0"/>
          <w:sz w:val="22"/>
          <w:szCs w:val="22"/>
          <w:rtl w:val="0"/>
          <w:lang w:val="en-US"/>
        </w:rPr>
        <w:t>Protzen, J. P., &amp; Nair, S. (2013). The stones of Tiwanaku. University of California Press.</w:t>
      </w:r>
    </w:p>
    <w:p>
      <w:pPr>
        <w:pStyle w:val="Heading"/>
        <w:jc w:val="both"/>
        <w:rPr>
          <w:rFonts w:ascii="Verdana" w:cs="Verdana" w:hAnsi="Verdana" w:eastAsia="Verdana"/>
          <w:b w:val="0"/>
          <w:bCs w:val="0"/>
        </w:rPr>
      </w:pPr>
      <w:r>
        <w:rPr>
          <w:rFonts w:ascii="Verdana" w:hAnsi="Verdana"/>
          <w:b w:val="0"/>
          <w:bCs w:val="0"/>
          <w:sz w:val="22"/>
          <w:szCs w:val="22"/>
          <w:rtl w:val="0"/>
          <w:lang w:val="en-US"/>
        </w:rPr>
        <w:t>Reich, D. (2018). Who we are and how we got here: Ancient DNA and the new science of the human past. Pantheon.</w:t>
      </w:r>
    </w:p>
    <w:p>
      <w:pPr>
        <w:pStyle w:val="Heading"/>
        <w:jc w:val="both"/>
        <w:rPr>
          <w:rFonts w:ascii="Verdana" w:cs="Verdana" w:hAnsi="Verdana" w:eastAsia="Verdana"/>
          <w:b w:val="0"/>
          <w:bCs w:val="0"/>
        </w:rPr>
      </w:pPr>
      <w:r>
        <w:rPr>
          <w:rFonts w:ascii="Verdana" w:hAnsi="Verdana"/>
          <w:b w:val="0"/>
          <w:bCs w:val="0"/>
          <w:sz w:val="22"/>
          <w:szCs w:val="22"/>
          <w:rtl w:val="0"/>
          <w:lang w:val="de-DE"/>
        </w:rPr>
        <w:t>Ruprechtsberger, E. M. (1999). Vom Steinbruch zum Jupitertempel von Heliopolis/Baalbek. Linzer Archaologische Forschungen, 30.</w:t>
      </w:r>
    </w:p>
    <w:p>
      <w:pPr>
        <w:pStyle w:val="Heading"/>
        <w:jc w:val="both"/>
        <w:rPr>
          <w:rFonts w:ascii="Verdana" w:cs="Verdana" w:hAnsi="Verdana" w:eastAsia="Verdana"/>
          <w:b w:val="0"/>
          <w:bCs w:val="0"/>
        </w:rPr>
      </w:pPr>
      <w:r>
        <w:rPr>
          <w:rFonts w:ascii="Verdana" w:hAnsi="Verdana"/>
          <w:b w:val="0"/>
          <w:bCs w:val="0"/>
          <w:sz w:val="22"/>
          <w:szCs w:val="22"/>
          <w:rtl w:val="0"/>
          <w:lang w:val="en-US"/>
        </w:rPr>
        <w:t>Shea, J. J. (2011). Homo sapiens is as Homo sapiens was. Current Anthropology, 52(1), 1-35.</w:t>
      </w:r>
    </w:p>
    <w:p>
      <w:pPr>
        <w:pStyle w:val="Heading"/>
        <w:jc w:val="both"/>
        <w:rPr>
          <w:rFonts w:ascii="Verdana" w:cs="Verdana" w:hAnsi="Verdana" w:eastAsia="Verdana"/>
          <w:b w:val="0"/>
          <w:bCs w:val="0"/>
        </w:rPr>
      </w:pPr>
      <w:r>
        <w:rPr>
          <w:rFonts w:ascii="Verdana" w:hAnsi="Verdana"/>
          <w:b w:val="0"/>
          <w:bCs w:val="0"/>
          <w:sz w:val="22"/>
          <w:szCs w:val="22"/>
          <w:rtl w:val="0"/>
          <w:lang w:val="en-US"/>
        </w:rPr>
        <w:t>Spence, K. (2000). Ancient Egyptian chronology and the astronomical orientation of pyramids. Nature, 408, 320-324.</w:t>
      </w:r>
    </w:p>
    <w:p>
      <w:pPr>
        <w:pStyle w:val="Heading"/>
        <w:jc w:val="both"/>
        <w:rPr>
          <w:rFonts w:ascii="Verdana" w:cs="Verdana" w:hAnsi="Verdana" w:eastAsia="Verdana"/>
          <w:b w:val="0"/>
          <w:bCs w:val="0"/>
        </w:rPr>
      </w:pPr>
      <w:r>
        <w:rPr>
          <w:rFonts w:ascii="Verdana" w:hAnsi="Verdana"/>
          <w:b w:val="0"/>
          <w:bCs w:val="0"/>
          <w:sz w:val="22"/>
          <w:szCs w:val="22"/>
          <w:rtl w:val="0"/>
          <w:lang w:val="en-US"/>
        </w:rPr>
        <w:t>Trigger, B. G. (2003). Understanding early civilizations. Cambridge University Press.</w:t>
      </w:r>
    </w:p>
    <w:p>
      <w:pPr>
        <w:pStyle w:val="Heading"/>
        <w:jc w:val="both"/>
        <w:rPr>
          <w:rFonts w:ascii="Verdana" w:cs="Verdana" w:hAnsi="Verdana" w:eastAsia="Verdana"/>
          <w:b w:val="0"/>
          <w:bCs w:val="0"/>
        </w:rPr>
      </w:pPr>
      <w:r>
        <w:rPr>
          <w:rFonts w:ascii="Verdana" w:hAnsi="Verdana"/>
          <w:b w:val="0"/>
          <w:bCs w:val="0"/>
          <w:sz w:val="22"/>
          <w:szCs w:val="22"/>
          <w:rtl w:val="0"/>
          <w:lang w:val="en-US"/>
        </w:rPr>
        <w:t>van Beek, W. E. A. (1991). Dogon restudied: A field evaluation of the work of Marcel Griaule. Current Anthropology, 32(2), 139-167.</w:t>
      </w:r>
    </w:p>
    <w:p>
      <w:pPr>
        <w:pStyle w:val="Heading"/>
        <w:jc w:val="both"/>
        <w:rPr>
          <w:rFonts w:ascii="Verdana" w:cs="Verdana" w:hAnsi="Verdana" w:eastAsia="Verdana"/>
          <w:b w:val="0"/>
          <w:bCs w:val="0"/>
        </w:rPr>
      </w:pPr>
      <w:r>
        <w:rPr>
          <w:rFonts w:ascii="Verdana" w:hAnsi="Verdana"/>
          <w:b w:val="0"/>
          <w:bCs w:val="0"/>
          <w:sz w:val="22"/>
          <w:szCs w:val="22"/>
          <w:rtl w:val="0"/>
          <w:lang w:val="en-US"/>
        </w:rPr>
        <w:t xml:space="preserve">Vondoom, A. (2026). Cognitive foundations of early Egyptian civilization: Insights from the Deep Symbolic Systems Model (DSSM). IWNW, </w:t>
      </w:r>
      <w:r>
        <w:rPr>
          <w:rFonts w:ascii="Verdana" w:hAnsi="Verdana"/>
          <w:b w:val="0"/>
          <w:bCs w:val="0"/>
          <w:sz w:val="22"/>
          <w:szCs w:val="22"/>
          <w:rtl w:val="0"/>
          <w:lang w:val="it-IT"/>
        </w:rPr>
        <w:t>vol 6</w:t>
      </w:r>
      <w:r>
        <w:rPr>
          <w:rFonts w:ascii="Verdana" w:hAnsi="Verdana"/>
          <w:b w:val="0"/>
          <w:bCs w:val="0"/>
          <w:sz w:val="22"/>
          <w:szCs w:val="22"/>
          <w:rtl w:val="0"/>
        </w:rPr>
        <w:t>(</w:t>
      </w:r>
      <w:r>
        <w:rPr>
          <w:rFonts w:ascii="Verdana" w:hAnsi="Verdana"/>
          <w:b w:val="0"/>
          <w:bCs w:val="0"/>
          <w:sz w:val="22"/>
          <w:szCs w:val="22"/>
          <w:rtl w:val="0"/>
          <w:lang w:val="it-IT"/>
        </w:rPr>
        <w:t>2027 in press</w:t>
      </w:r>
      <w:r>
        <w:rPr>
          <w:rFonts w:ascii="Verdana" w:hAnsi="Verdana"/>
          <w:b w:val="0"/>
          <w:bCs w:val="0"/>
          <w:sz w:val="22"/>
          <w:szCs w:val="22"/>
          <w:rtl w:val="0"/>
        </w:rPr>
        <w:t>), 1-46. doi: 10.21608/iwnw.2026.464676.1075</w:t>
      </w:r>
    </w:p>
    <w:p>
      <w:pPr>
        <w:pStyle w:val="Heading"/>
        <w:jc w:val="both"/>
        <w:rPr>
          <w:rFonts w:ascii="Verdana" w:cs="Verdana" w:hAnsi="Verdana" w:eastAsia="Verdana"/>
          <w:b w:val="0"/>
          <w:bCs w:val="0"/>
        </w:rPr>
      </w:pPr>
      <w:r>
        <w:rPr>
          <w:rFonts w:ascii="Verdana" w:hAnsi="Verdana"/>
          <w:b w:val="0"/>
          <w:bCs w:val="0"/>
          <w:sz w:val="22"/>
          <w:szCs w:val="22"/>
          <w:rtl w:val="0"/>
          <w:lang w:val="en-US"/>
        </w:rPr>
        <w:t>Aveni, A. F. (2001). Skywatchers of ancient Mexico (revised ed.). University of Texas Press.</w:t>
      </w:r>
    </w:p>
    <w:p>
      <w:pPr>
        <w:pStyle w:val="Heading"/>
        <w:jc w:val="both"/>
        <w:rPr>
          <w:rFonts w:ascii="Verdana" w:cs="Verdana" w:hAnsi="Verdana" w:eastAsia="Verdana"/>
          <w:b w:val="0"/>
          <w:bCs w:val="0"/>
        </w:rPr>
      </w:pPr>
      <w:r>
        <w:rPr>
          <w:rFonts w:ascii="Verdana" w:hAnsi="Verdana"/>
          <w:b w:val="0"/>
          <w:bCs w:val="0"/>
          <w:sz w:val="22"/>
          <w:szCs w:val="22"/>
          <w:rtl w:val="0"/>
          <w:lang w:val="en-US"/>
        </w:rPr>
        <w:t>Blundell, G. (2006). Creations of the mythical present: Rock art research in southern Africa. South African Archaeological Bulletin, 61(183), 88-91.</w:t>
      </w:r>
    </w:p>
    <w:p>
      <w:pPr>
        <w:pStyle w:val="Heading"/>
        <w:jc w:val="both"/>
        <w:rPr>
          <w:rFonts w:ascii="Verdana" w:cs="Verdana" w:hAnsi="Verdana" w:eastAsia="Verdana"/>
          <w:b w:val="0"/>
          <w:bCs w:val="0"/>
        </w:rPr>
      </w:pPr>
      <w:r>
        <w:rPr>
          <w:rFonts w:ascii="Verdana" w:hAnsi="Verdana"/>
          <w:b w:val="0"/>
          <w:bCs w:val="0"/>
          <w:sz w:val="22"/>
          <w:szCs w:val="22"/>
          <w:rtl w:val="0"/>
          <w:lang w:val="it-IT"/>
        </w:rPr>
        <w:t>Cavalli-Sforza, L. L., Menozzi, P., &amp; Piazza, A. (1994). The history and geography of human genes. Princeton University Press.</w:t>
      </w:r>
    </w:p>
    <w:p>
      <w:pPr>
        <w:pStyle w:val="Heading"/>
        <w:jc w:val="both"/>
        <w:rPr>
          <w:rFonts w:ascii="Verdana" w:cs="Verdana" w:hAnsi="Verdana" w:eastAsia="Verdana"/>
          <w:b w:val="0"/>
          <w:bCs w:val="0"/>
        </w:rPr>
      </w:pPr>
      <w:r>
        <w:rPr>
          <w:rFonts w:ascii="Verdana" w:hAnsi="Verdana"/>
          <w:b w:val="0"/>
          <w:bCs w:val="0"/>
          <w:sz w:val="22"/>
          <w:szCs w:val="22"/>
          <w:rtl w:val="0"/>
          <w:lang w:val="en-US"/>
        </w:rPr>
        <w:t>Clark, J. (2000). The UFO book: Encyclopedia of the extraterrestrial. Visible Ink Press.</w:t>
      </w:r>
    </w:p>
    <w:p>
      <w:pPr>
        <w:pStyle w:val="Heading"/>
        <w:jc w:val="both"/>
        <w:rPr>
          <w:rFonts w:ascii="Verdana" w:cs="Verdana" w:hAnsi="Verdana" w:eastAsia="Verdana"/>
          <w:b w:val="0"/>
          <w:bCs w:val="0"/>
        </w:rPr>
      </w:pPr>
      <w:r>
        <w:rPr>
          <w:rFonts w:ascii="Verdana" w:hAnsi="Verdana"/>
          <w:b w:val="0"/>
          <w:bCs w:val="0"/>
          <w:sz w:val="22"/>
          <w:szCs w:val="22"/>
          <w:rtl w:val="0"/>
          <w:lang w:val="en-US"/>
        </w:rPr>
        <w:t>Dean, L. (2005). Blood groups and red cell antigens [Internet]. National Library of Medicine, National Center for Biotechnology Information. https://www.ncbi.nlm.nih.gov/books/NBK2261/</w:t>
      </w:r>
    </w:p>
    <w:p>
      <w:pPr>
        <w:pStyle w:val="Heading"/>
        <w:jc w:val="both"/>
        <w:rPr>
          <w:rFonts w:ascii="Verdana" w:cs="Verdana" w:hAnsi="Verdana" w:eastAsia="Verdana"/>
          <w:b w:val="0"/>
          <w:bCs w:val="0"/>
        </w:rPr>
      </w:pPr>
      <w:r>
        <w:rPr>
          <w:rFonts w:ascii="Verdana" w:hAnsi="Verdana"/>
          <w:b w:val="0"/>
          <w:bCs w:val="0"/>
          <w:sz w:val="22"/>
          <w:szCs w:val="22"/>
          <w:rtl w:val="0"/>
          <w:lang w:val="en-US"/>
        </w:rPr>
        <w:t>Fagan, B. (2004). The rape of the Nile: Tomb robbers, tourists, and archaeologists in Egypt. Westview Press.</w:t>
      </w:r>
    </w:p>
    <w:p>
      <w:pPr>
        <w:pStyle w:val="Heading"/>
        <w:jc w:val="both"/>
        <w:rPr>
          <w:rFonts w:ascii="Verdana" w:cs="Verdana" w:hAnsi="Verdana" w:eastAsia="Verdana"/>
          <w:b w:val="0"/>
          <w:bCs w:val="0"/>
        </w:rPr>
      </w:pPr>
      <w:r>
        <w:rPr>
          <w:rFonts w:ascii="Verdana" w:hAnsi="Verdana"/>
          <w:b w:val="0"/>
          <w:bCs w:val="0"/>
          <w:sz w:val="22"/>
          <w:szCs w:val="22"/>
          <w:rtl w:val="0"/>
        </w:rPr>
        <w:t>Greenberg, M. (1983). Ezekiel 1-20. Anchor Bible Vol. 22. Doubleday.</w:t>
      </w:r>
    </w:p>
    <w:p>
      <w:pPr>
        <w:pStyle w:val="Heading"/>
        <w:jc w:val="both"/>
        <w:rPr>
          <w:rFonts w:ascii="Verdana" w:cs="Verdana" w:hAnsi="Verdana" w:eastAsia="Verdana"/>
          <w:b w:val="0"/>
          <w:bCs w:val="0"/>
        </w:rPr>
      </w:pPr>
      <w:r>
        <w:rPr>
          <w:rFonts w:ascii="Verdana" w:hAnsi="Verdana"/>
          <w:b w:val="0"/>
          <w:bCs w:val="0"/>
          <w:sz w:val="22"/>
          <w:szCs w:val="22"/>
          <w:rtl w:val="0"/>
          <w:lang w:val="en-US"/>
        </w:rPr>
        <w:t>Hublin, J. J., Ben-Ncer, A., Bailey, S. E., Freidline, S. E., Neubauer, S., Skinner, M. M., Bergmann, I., Le Cabec, A., Benazzi, S., Harvati, K., &amp; Gunz, P. (2017). New fossils from Jebel Irhoud, Morocco and the pan-African origin of Homo sapiens. Nature, 546, 289-292.</w:t>
      </w:r>
    </w:p>
    <w:p>
      <w:pPr>
        <w:pStyle w:val="Heading"/>
        <w:jc w:val="both"/>
        <w:rPr>
          <w:rFonts w:ascii="Verdana" w:cs="Verdana" w:hAnsi="Verdana" w:eastAsia="Verdana"/>
          <w:b w:val="0"/>
          <w:bCs w:val="0"/>
        </w:rPr>
      </w:pPr>
      <w:r>
        <w:rPr>
          <w:rFonts w:ascii="Verdana" w:hAnsi="Verdana"/>
          <w:b w:val="0"/>
          <w:bCs w:val="0"/>
          <w:sz w:val="22"/>
          <w:szCs w:val="22"/>
          <w:rtl w:val="0"/>
          <w:lang w:val="en-US"/>
        </w:rPr>
        <w:t>Kramer, S. N. (1963). The Sumerians: Their history, culture, and character. University of Chicago Press.</w:t>
      </w:r>
    </w:p>
    <w:p>
      <w:pPr>
        <w:pStyle w:val="Heading"/>
        <w:jc w:val="both"/>
        <w:rPr>
          <w:rFonts w:ascii="Verdana" w:cs="Verdana" w:hAnsi="Verdana" w:eastAsia="Verdana"/>
          <w:b w:val="0"/>
          <w:bCs w:val="0"/>
        </w:rPr>
      </w:pPr>
      <w:r>
        <w:rPr>
          <w:rFonts w:ascii="Verdana" w:hAnsi="Verdana"/>
          <w:b w:val="0"/>
          <w:bCs w:val="0"/>
          <w:sz w:val="22"/>
          <w:szCs w:val="22"/>
          <w:rtl w:val="0"/>
          <w:lang w:val="en-US"/>
        </w:rPr>
        <w:t>Martin, S., &amp; Grube, N. (2000). Chronicle of the Maya kings and queens: Deciphering the dynasties of the ancient Maya. Thames and Hudson.</w:t>
      </w:r>
    </w:p>
    <w:p>
      <w:pPr>
        <w:pStyle w:val="Heading"/>
        <w:jc w:val="both"/>
        <w:rPr>
          <w:rFonts w:ascii="Verdana" w:cs="Verdana" w:hAnsi="Verdana" w:eastAsia="Verdana"/>
          <w:b w:val="0"/>
          <w:bCs w:val="0"/>
        </w:rPr>
      </w:pPr>
      <w:r>
        <w:rPr>
          <w:rFonts w:ascii="Verdana" w:hAnsi="Verdana"/>
          <w:b w:val="0"/>
          <w:bCs w:val="0"/>
          <w:sz w:val="22"/>
          <w:szCs w:val="22"/>
          <w:rtl w:val="0"/>
          <w:lang w:val="en-US"/>
        </w:rPr>
        <w:t>Bandy, M. S. (2004). Fissioning, scalar stress, and social evolution in early village societies. American Anthropologist, 106(2), 322-333.</w:t>
      </w:r>
    </w:p>
    <w:p>
      <w:pPr>
        <w:pStyle w:val="Heading"/>
        <w:jc w:val="both"/>
        <w:rPr>
          <w:rFonts w:ascii="Verdana" w:cs="Verdana" w:hAnsi="Verdana" w:eastAsia="Verdana"/>
          <w:b w:val="0"/>
          <w:bCs w:val="0"/>
        </w:rPr>
      </w:pPr>
      <w:r>
        <w:rPr>
          <w:rFonts w:ascii="Verdana" w:hAnsi="Verdana"/>
          <w:b w:val="0"/>
          <w:bCs w:val="0"/>
          <w:sz w:val="22"/>
          <w:szCs w:val="22"/>
          <w:rtl w:val="0"/>
          <w:lang w:val="en-US"/>
        </w:rPr>
        <w:t>Hancock, G. (2019). America before: The key to Earth's lost civilization. St. Martin's Press.</w:t>
      </w:r>
    </w:p>
    <w:p>
      <w:pPr>
        <w:pStyle w:val="Heading"/>
        <w:jc w:val="both"/>
        <w:rPr>
          <w:rFonts w:ascii="Verdana" w:cs="Verdana" w:hAnsi="Verdana" w:eastAsia="Verdana"/>
          <w:b w:val="0"/>
          <w:bCs w:val="0"/>
        </w:rPr>
      </w:pPr>
      <w:r>
        <w:rPr>
          <w:rFonts w:ascii="Verdana" w:hAnsi="Verdana"/>
          <w:b w:val="0"/>
          <w:bCs w:val="0"/>
          <w:sz w:val="22"/>
          <w:szCs w:val="22"/>
          <w:rtl w:val="0"/>
          <w:lang w:val="en-US"/>
        </w:rPr>
        <w:t>Hart, M. H. (1975). Explanation for the absence of extraterrestrials on Earth. Quarterly Journal of the Royal Astronomical Society, 16, 128-135.</w:t>
      </w:r>
    </w:p>
    <w:p>
      <w:pPr>
        <w:pStyle w:val="Heading"/>
        <w:jc w:val="both"/>
        <w:rPr>
          <w:rFonts w:ascii="Verdana" w:cs="Verdana" w:hAnsi="Verdana" w:eastAsia="Verdana"/>
          <w:b w:val="0"/>
          <w:bCs w:val="0"/>
        </w:rPr>
      </w:pPr>
      <w:r>
        <w:rPr>
          <w:rFonts w:ascii="Verdana" w:hAnsi="Verdana"/>
          <w:b w:val="0"/>
          <w:bCs w:val="0"/>
          <w:sz w:val="22"/>
          <w:szCs w:val="22"/>
          <w:rtl w:val="0"/>
          <w:lang w:val="en-US"/>
        </w:rPr>
        <w:t>Jamison, S. W., &amp; Brereton, J. P. (2014). The Rigveda: The earliest religious poetry of India (3 vols.). Oxford University Press.</w:t>
      </w:r>
    </w:p>
    <w:p>
      <w:pPr>
        <w:pStyle w:val="Heading"/>
        <w:jc w:val="both"/>
        <w:rPr>
          <w:rFonts w:ascii="Verdana" w:cs="Verdana" w:hAnsi="Verdana" w:eastAsia="Verdana"/>
          <w:b w:val="0"/>
          <w:bCs w:val="0"/>
        </w:rPr>
      </w:pPr>
      <w:r>
        <w:rPr>
          <w:rFonts w:ascii="Verdana" w:hAnsi="Verdana"/>
          <w:b w:val="0"/>
          <w:bCs w:val="0"/>
          <w:sz w:val="22"/>
          <w:szCs w:val="22"/>
          <w:rtl w:val="0"/>
          <w:lang w:val="en-US"/>
        </w:rPr>
        <w:t>Pandya, V. (1993). Above the forest: A study of Andamanese ethnoanemology, cosmology, and the power of ritual. Oxford University Press.</w:t>
      </w:r>
    </w:p>
    <w:p>
      <w:pPr>
        <w:pStyle w:val="Heading"/>
        <w:jc w:val="both"/>
        <w:rPr>
          <w:rFonts w:ascii="Verdana" w:cs="Verdana" w:hAnsi="Verdana" w:eastAsia="Verdana"/>
          <w:b w:val="0"/>
          <w:bCs w:val="0"/>
        </w:rPr>
      </w:pPr>
      <w:r>
        <w:rPr>
          <w:rFonts w:ascii="Verdana" w:hAnsi="Verdana"/>
          <w:b w:val="0"/>
          <w:bCs w:val="0"/>
          <w:sz w:val="22"/>
          <w:szCs w:val="22"/>
          <w:rtl w:val="0"/>
          <w:lang w:val="en-US"/>
        </w:rPr>
        <w:t>Webb, S. (2002). If the universe is teeming with aliens, where is everybody? Fifty solutions to the Fermi paradox and the problem of extraterrestrial life. Copernicus Books.</w:t>
      </w:r>
    </w:p>
    <w:p>
      <w:pPr>
        <w:pStyle w:val="Heading"/>
        <w:jc w:val="both"/>
        <w:rPr>
          <w:rFonts w:ascii="Verdana" w:cs="Verdana" w:hAnsi="Verdana" w:eastAsia="Verdana"/>
          <w:b w:val="0"/>
          <w:bCs w:val="0"/>
        </w:rPr>
      </w:pPr>
      <w:r>
        <w:rPr>
          <w:rFonts w:ascii="Verdana" w:hAnsi="Verdana"/>
          <w:b w:val="0"/>
          <w:bCs w:val="0"/>
          <w:sz w:val="22"/>
          <w:szCs w:val="22"/>
          <w:rtl w:val="0"/>
          <w:lang w:val="en-US"/>
        </w:rPr>
        <w:t>Colavito, J. (2005). The cult of alien gods: H. P. Lovecraft and extraterrestrial pop culture. Prometheus Books.</w:t>
      </w:r>
    </w:p>
    <w:p>
      <w:pPr>
        <w:pStyle w:val="Heading"/>
        <w:jc w:val="both"/>
        <w:rPr>
          <w:rFonts w:ascii="Verdana" w:cs="Verdana" w:hAnsi="Verdana" w:eastAsia="Verdana"/>
          <w:b w:val="0"/>
          <w:bCs w:val="0"/>
        </w:rPr>
      </w:pPr>
      <w:r>
        <w:rPr>
          <w:rFonts w:ascii="Verdana" w:hAnsi="Verdana"/>
          <w:b w:val="0"/>
          <w:bCs w:val="0"/>
          <w:sz w:val="22"/>
          <w:szCs w:val="22"/>
          <w:rtl w:val="0"/>
          <w:lang w:val="en-US"/>
        </w:rPr>
        <w:t>Dieterlen, G. (1991). [Commentary on Dogon restudied by van Beek]. Current Anthropology, 32(2), 168-172.</w:t>
      </w:r>
    </w:p>
    <w:p>
      <w:pPr>
        <w:pStyle w:val="Heading"/>
        <w:jc w:val="both"/>
        <w:rPr>
          <w:rFonts w:ascii="Verdana" w:cs="Verdana" w:hAnsi="Verdana" w:eastAsia="Verdana"/>
          <w:b w:val="0"/>
          <w:bCs w:val="0"/>
        </w:rPr>
      </w:pPr>
      <w:r>
        <w:rPr>
          <w:rFonts w:ascii="Verdana" w:hAnsi="Verdana"/>
          <w:b w:val="0"/>
          <w:bCs w:val="0"/>
          <w:sz w:val="22"/>
          <w:szCs w:val="22"/>
          <w:rtl w:val="0"/>
          <w:lang w:val="en-US"/>
        </w:rPr>
        <w:t>Drake, F. D. (1965). The radio search for intelligent extraterrestrial life. In A. G. W. Cameron (Ed.), Interstellar communication (pp. 323-345). W. A. Benjamin.</w:t>
      </w:r>
    </w:p>
    <w:p>
      <w:pPr>
        <w:pStyle w:val="Heading"/>
        <w:jc w:val="both"/>
        <w:rPr>
          <w:rFonts w:ascii="Verdana" w:cs="Verdana" w:hAnsi="Verdana" w:eastAsia="Verdana"/>
          <w:b w:val="0"/>
          <w:bCs w:val="0"/>
        </w:rPr>
      </w:pPr>
      <w:r>
        <w:rPr>
          <w:rFonts w:ascii="Verdana" w:hAnsi="Verdana"/>
          <w:b w:val="0"/>
          <w:bCs w:val="0"/>
          <w:sz w:val="22"/>
          <w:szCs w:val="22"/>
          <w:rtl w:val="0"/>
          <w:lang w:val="en-US"/>
        </w:rPr>
        <w:t>Lakatos, I. (1978). The methodology of scientific research programmes. Cambridge University Press.</w:t>
      </w:r>
    </w:p>
    <w:p>
      <w:pPr>
        <w:pStyle w:val="Heading"/>
        <w:jc w:val="both"/>
        <w:rPr>
          <w:rFonts w:ascii="Verdana" w:cs="Verdana" w:hAnsi="Verdana" w:eastAsia="Verdana"/>
          <w:b w:val="0"/>
          <w:bCs w:val="0"/>
        </w:rPr>
      </w:pPr>
      <w:r>
        <w:rPr>
          <w:rFonts w:ascii="Verdana" w:hAnsi="Verdana"/>
          <w:b w:val="0"/>
          <w:bCs w:val="0"/>
          <w:sz w:val="22"/>
          <w:szCs w:val="22"/>
          <w:rtl w:val="0"/>
          <w:lang w:val="en-US"/>
        </w:rPr>
        <w:t>Story, R. (1976). The space gods revealed: A close look at the theories of Erich von Daniken. Harper &amp; Row.</w:t>
      </w:r>
    </w:p>
    <w:p>
      <w:pPr>
        <w:pStyle w:val="Heading"/>
        <w:jc w:val="both"/>
        <w:rPr>
          <w:rFonts w:ascii="Verdana" w:cs="Verdana" w:hAnsi="Verdana" w:eastAsia="Verdana"/>
          <w:b w:val="0"/>
          <w:bCs w:val="0"/>
        </w:rPr>
      </w:pPr>
      <w:r>
        <w:rPr>
          <w:rFonts w:ascii="Verdana" w:hAnsi="Verdana"/>
          <w:b w:val="0"/>
          <w:bCs w:val="0"/>
          <w:sz w:val="22"/>
          <w:szCs w:val="22"/>
          <w:rtl w:val="0"/>
          <w:lang w:val="en-US"/>
        </w:rPr>
        <w:t>Crawford, I. M. (1968). The art of the Wandjina: Aboriginal cave paintings in Kimberley, Western Australia. Oxford University Press.</w:t>
      </w:r>
    </w:p>
    <w:p>
      <w:pPr>
        <w:pStyle w:val="Heading"/>
        <w:jc w:val="both"/>
        <w:rPr>
          <w:rFonts w:ascii="Verdana" w:cs="Verdana" w:hAnsi="Verdana" w:eastAsia="Verdana"/>
          <w:b w:val="0"/>
          <w:bCs w:val="0"/>
        </w:rPr>
      </w:pPr>
      <w:r>
        <w:rPr>
          <w:rFonts w:ascii="Verdana" w:hAnsi="Verdana"/>
          <w:b w:val="0"/>
          <w:bCs w:val="0"/>
          <w:sz w:val="22"/>
          <w:szCs w:val="22"/>
          <w:rtl w:val="0"/>
          <w:lang w:val="en-US"/>
        </w:rPr>
        <w:t>Goldman, R. P. (1984). The Ramayana of Valmiki: An epic of ancient India, Vol. 1. Princeton University Press.</w:t>
      </w:r>
    </w:p>
    <w:p>
      <w:pPr>
        <w:pStyle w:val="Heading"/>
        <w:jc w:val="both"/>
        <w:rPr>
          <w:rFonts w:ascii="Verdana" w:cs="Verdana" w:hAnsi="Verdana" w:eastAsia="Verdana"/>
          <w:b w:val="0"/>
          <w:bCs w:val="0"/>
        </w:rPr>
      </w:pPr>
      <w:r>
        <w:rPr>
          <w:rFonts w:ascii="Verdana" w:hAnsi="Verdana"/>
          <w:b w:val="0"/>
          <w:bCs w:val="0"/>
          <w:sz w:val="22"/>
          <w:szCs w:val="22"/>
          <w:rtl w:val="0"/>
          <w:lang w:val="en-US"/>
        </w:rPr>
        <w:t>van Buitenen, J. A. B. (1973). The Mahabharata, Vol. 1: The Book of the Beginning. University of Chicago Press.</w:t>
      </w:r>
    </w:p>
    <w:p>
      <w:pPr>
        <w:pStyle w:val="Heading"/>
        <w:jc w:val="both"/>
        <w:rPr>
          <w:rFonts w:ascii="Verdana" w:cs="Verdana" w:hAnsi="Verdana" w:eastAsia="Verdana"/>
          <w:b w:val="0"/>
          <w:bCs w:val="0"/>
        </w:rPr>
      </w:pPr>
      <w:r>
        <w:rPr>
          <w:rFonts w:ascii="Verdana" w:hAnsi="Verdana"/>
          <w:b w:val="0"/>
          <w:bCs w:val="0"/>
          <w:sz w:val="22"/>
          <w:szCs w:val="22"/>
          <w:rtl w:val="0"/>
          <w:lang w:val="en-US"/>
        </w:rPr>
        <w:t>Survival International. (2019). North Sentinel Island [Report]. Survival International. https://www.survivalinternational.org/tribes/sentinelese</w:t>
      </w:r>
    </w:p>
    <w:p>
      <w:pPr>
        <w:pStyle w:val="Heading"/>
        <w:jc w:val="both"/>
        <w:rPr>
          <w:rFonts w:ascii="Verdana" w:cs="Verdana" w:hAnsi="Verdana" w:eastAsia="Verdana"/>
          <w:b w:val="0"/>
          <w:bCs w:val="0"/>
        </w:rPr>
      </w:pPr>
      <w:r>
        <w:rPr>
          <w:rFonts w:ascii="Verdana" w:hAnsi="Verdana"/>
          <w:b w:val="0"/>
          <w:bCs w:val="0"/>
          <w:sz w:val="22"/>
          <w:szCs w:val="22"/>
          <w:rtl w:val="0"/>
          <w:lang w:val="en-US"/>
        </w:rPr>
        <w:t>Dunbar, R. I. M. (1992). Neocortex size as a constraint on group size in primates. Journal of Human Evolution, 22(6), 469-493.</w:t>
      </w:r>
    </w:p>
    <w:p>
      <w:pPr>
        <w:pStyle w:val="Heading"/>
        <w:jc w:val="both"/>
        <w:rPr>
          <w:rFonts w:ascii="Verdana" w:cs="Verdana" w:hAnsi="Verdana" w:eastAsia="Verdana"/>
          <w:b w:val="0"/>
          <w:bCs w:val="0"/>
        </w:rPr>
      </w:pPr>
      <w:r>
        <w:rPr>
          <w:rFonts w:ascii="Verdana" w:hAnsi="Verdana"/>
          <w:b w:val="0"/>
          <w:bCs w:val="0"/>
          <w:sz w:val="22"/>
          <w:szCs w:val="22"/>
          <w:rtl w:val="0"/>
          <w:lang w:val="en-US"/>
        </w:rPr>
        <w:t>Graybiel, A. M. (2008). Habits, rituals, and the evaluative brain. Annual Review of Neuroscience, 31, 359-387.</w:t>
      </w:r>
    </w:p>
    <w:p>
      <w:pPr>
        <w:pStyle w:val="Heading"/>
        <w:jc w:val="both"/>
        <w:rPr>
          <w:rFonts w:ascii="Verdana" w:cs="Verdana" w:hAnsi="Verdana" w:eastAsia="Verdana"/>
          <w:b w:val="0"/>
          <w:bCs w:val="0"/>
        </w:rPr>
      </w:pPr>
      <w:r>
        <w:rPr>
          <w:rFonts w:ascii="Verdana" w:hAnsi="Verdana"/>
          <w:b w:val="0"/>
          <w:bCs w:val="0"/>
          <w:sz w:val="22"/>
          <w:szCs w:val="22"/>
          <w:rtl w:val="0"/>
          <w:lang w:val="en-US"/>
        </w:rPr>
        <w:t>Hamilton, M. J., Milne, B. T., Walker, R. S., Burger, O., &amp; Brown, J. H. (2007). The complex structure of hunter-gatherer social networks. Proceedings of the Royal Society B, 274(1622), 2195-2202.</w:t>
      </w:r>
    </w:p>
    <w:p>
      <w:pPr>
        <w:pStyle w:val="Heading"/>
        <w:jc w:val="both"/>
        <w:rPr>
          <w:rFonts w:ascii="Verdana" w:cs="Verdana" w:hAnsi="Verdana" w:eastAsia="Verdana"/>
          <w:b w:val="0"/>
          <w:bCs w:val="0"/>
        </w:rPr>
      </w:pPr>
      <w:r>
        <w:rPr>
          <w:rFonts w:ascii="Verdana" w:hAnsi="Verdana"/>
          <w:b w:val="0"/>
          <w:bCs w:val="0"/>
          <w:sz w:val="22"/>
          <w:szCs w:val="22"/>
          <w:rtl w:val="0"/>
          <w:lang w:val="en-US"/>
        </w:rPr>
        <w:t>Henrich, J. (2016). The secret of our success: How culture is driving human evolution, domesticating our species, and making us smarter. Princeton University Press.</w:t>
      </w:r>
    </w:p>
    <w:p>
      <w:pPr>
        <w:pStyle w:val="Heading"/>
        <w:jc w:val="both"/>
        <w:rPr>
          <w:rFonts w:ascii="Verdana" w:cs="Verdana" w:hAnsi="Verdana" w:eastAsia="Verdana"/>
          <w:b w:val="0"/>
          <w:bCs w:val="0"/>
        </w:rPr>
      </w:pPr>
      <w:r>
        <w:rPr>
          <w:rFonts w:ascii="Verdana" w:hAnsi="Verdana"/>
          <w:b w:val="0"/>
          <w:bCs w:val="0"/>
          <w:sz w:val="22"/>
          <w:szCs w:val="22"/>
          <w:rtl w:val="0"/>
          <w:lang w:val="en-US"/>
        </w:rPr>
        <w:t>Jaubert, J., Verheyden, S., Genty, D., Soulier, M., Cheng, H., Blamart, D., Burlet, C., Camus, H., Delaby, S., Deldicque, D., Edwards, R. L., Ferrier, C., Feruglio, V., Thery-Parisot, I., Sautereau, G., Turq, A., &amp; Zilhao, J. (2016). Early Neanderthal constructions deep in Bruniquel Cave in southwestern France. Nature, 534, 111-114.</w:t>
      </w:r>
    </w:p>
    <w:p>
      <w:pPr>
        <w:pStyle w:val="Heading"/>
        <w:jc w:val="both"/>
        <w:rPr>
          <w:rFonts w:ascii="Verdana" w:cs="Verdana" w:hAnsi="Verdana" w:eastAsia="Verdana"/>
          <w:b w:val="0"/>
          <w:bCs w:val="0"/>
        </w:rPr>
      </w:pPr>
      <w:r>
        <w:rPr>
          <w:rFonts w:ascii="Verdana" w:hAnsi="Verdana"/>
          <w:b w:val="0"/>
          <w:bCs w:val="0"/>
          <w:sz w:val="22"/>
          <w:szCs w:val="22"/>
          <w:rtl w:val="0"/>
          <w:lang w:val="en-US"/>
        </w:rPr>
        <w:t>Landis, J. R., &amp; Koch, G. G. (1977). The measurement of observer agreement for categorical data. Biometrics, 33(1), 159-174.</w:t>
      </w:r>
    </w:p>
    <w:p>
      <w:pPr>
        <w:pStyle w:val="Heading"/>
        <w:jc w:val="both"/>
        <w:rPr>
          <w:rFonts w:ascii="Verdana" w:cs="Verdana" w:hAnsi="Verdana" w:eastAsia="Verdana"/>
          <w:b w:val="0"/>
          <w:bCs w:val="0"/>
        </w:rPr>
      </w:pPr>
      <w:r>
        <w:rPr>
          <w:rFonts w:ascii="Verdana" w:hAnsi="Verdana"/>
          <w:b w:val="0"/>
          <w:bCs w:val="0"/>
          <w:sz w:val="22"/>
          <w:szCs w:val="22"/>
          <w:rtl w:val="0"/>
          <w:lang w:val="en-US"/>
        </w:rPr>
        <w:t>Squire, L. R., &amp; Dede, A. J. O. (2015). Conscious and unconscious memory systems. Cold Spring Harbor Perspectives in Biology, 7(3), Article a021667.</w:t>
      </w:r>
    </w:p>
    <w:p>
      <w:pPr>
        <w:pStyle w:val="Heading"/>
        <w:jc w:val="both"/>
        <w:rPr>
          <w:rFonts w:ascii="Verdana" w:cs="Verdana" w:hAnsi="Verdana" w:eastAsia="Verdana"/>
          <w:b w:val="0"/>
          <w:bCs w:val="0"/>
        </w:rPr>
      </w:pPr>
      <w:r>
        <w:rPr>
          <w:rFonts w:ascii="Verdana" w:hAnsi="Verdana"/>
          <w:b w:val="0"/>
          <w:bCs w:val="0"/>
          <w:sz w:val="22"/>
          <w:szCs w:val="22"/>
          <w:rtl w:val="0"/>
          <w:lang w:val="en-US"/>
        </w:rPr>
        <w:t>Vondoom, A. (2026b). Deep Symbolic Systems Model: Field Companion Protocol v1.1. Figshare. https://doi.org/10.6084/m9.figshare.32229336</w:t>
      </w:r>
    </w:p>
    <w:p>
      <w:pPr>
        <w:pStyle w:val="Heading"/>
        <w:jc w:val="both"/>
        <w:rPr>
          <w:rFonts w:ascii="Verdana" w:cs="Verdana" w:hAnsi="Verdana" w:eastAsia="Verdana"/>
          <w:b w:val="0"/>
          <w:bCs w:val="0"/>
        </w:rPr>
      </w:pPr>
      <w:r>
        <w:rPr>
          <w:rFonts w:ascii="Verdana" w:hAnsi="Verdana"/>
          <w:b w:val="0"/>
          <w:bCs w:val="0"/>
          <w:sz w:val="22"/>
          <w:szCs w:val="22"/>
          <w:rtl w:val="0"/>
          <w:lang w:val="en-US"/>
        </w:rPr>
        <w:t>Vondoom, A. (2026c). The Deep Symbolic Systems Model: A cognitive-ritual framework for early monumentality and cultural continuity (Revised ed.). SSRN. https://doi.org/10.2139/ssrn.6003734</w:t>
      </w:r>
    </w:p>
    <w:p>
      <w:pPr>
        <w:pStyle w:val="Heading"/>
        <w:jc w:val="both"/>
        <w:rPr>
          <w:rFonts w:ascii="Verdana" w:cs="Verdana" w:hAnsi="Verdana" w:eastAsia="Verdana"/>
          <w:b w:val="0"/>
          <w:bCs w:val="0"/>
        </w:rPr>
      </w:pPr>
      <w:r>
        <w:rPr>
          <w:rFonts w:ascii="Verdana" w:hAnsi="Verdana"/>
          <w:b w:val="0"/>
          <w:bCs w:val="0"/>
          <w:sz w:val="22"/>
          <w:szCs w:val="22"/>
          <w:rtl w:val="0"/>
          <w:lang w:val="en-US"/>
        </w:rPr>
        <w:t>Yin, H. H., &amp; Knowlton, B. J. (2006). The role of the basal ganglia in habit formation. Nature Reviews Neuroscience, 7(6), 464-476.</w:t>
      </w:r>
    </w:p>
    <w:p>
      <w:pPr>
        <w:pStyle w:val="Heading"/>
        <w:jc w:val="both"/>
        <w:rPr>
          <w:rFonts w:ascii="Verdana" w:cs="Verdana" w:hAnsi="Verdana" w:eastAsia="Verdana"/>
          <w:b w:val="0"/>
          <w:bCs w:val="0"/>
        </w:rPr>
      </w:pPr>
      <w:r>
        <w:rPr>
          <w:rFonts w:ascii="Verdana" w:hAnsi="Verdana"/>
          <w:b w:val="0"/>
          <w:bCs w:val="0"/>
          <w:sz w:val="22"/>
          <w:szCs w:val="22"/>
          <w:rtl w:val="0"/>
          <w:lang w:val="en-US"/>
        </w:rPr>
        <w:t>Zilhao, J., Angelucci, D. E., Badal-Garcia, E., d'Errico, F., Daniel, F., Dayet, L., Douka, K., Higham, T. F., Martinez-Sanchez, M. J., Montes-Bernardez, R., Murcia-Mascaros, S., Perez-Sirvent, C., Roldan-Garcia, C., Vanhaeren, M., Villaverde, V., Wood, R., &amp; Zapata, J. (2010). Symbolic use of marine shells and mineral pigments by Iberian Neandertals. Proceedings of the National Academy of Sciences, 107(3), 1023-1028.</w:t>
      </w:r>
    </w:p>
    <w:p>
      <w:pPr>
        <w:pStyle w:val="Heading"/>
        <w:jc w:val="both"/>
      </w:pPr>
      <w:r>
        <w:rPr>
          <w:rFonts w:ascii="Arial Unicode MS" w:cs="Arial Unicode MS" w:hAnsi="Arial Unicode MS" w:eastAsia="Arial Unicode MS"/>
          <w:b w:val="0"/>
          <w:bCs w:val="0"/>
          <w:i w:val="0"/>
          <w:iCs w:val="0"/>
        </w:rPr>
        <w:br w:type="page"/>
      </w:r>
    </w:p>
    <w:p>
      <w:pPr>
        <w:pStyle w:val="Heading"/>
        <w:jc w:val="both"/>
      </w:pPr>
      <w:r>
        <w:rPr>
          <w:rFonts w:ascii="Verdana" w:hAnsi="Verdana"/>
          <w:b w:val="0"/>
          <w:bCs w:val="0"/>
          <w:rtl w:val="0"/>
          <w:lang w:val="it-IT"/>
        </w:rPr>
        <w:t xml:space="preserve">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mbria Bold">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outline w:val="0"/>
        <w:color w:val="000000"/>
        <w:sz w:val="20"/>
        <w:szCs w:val="20"/>
        <w:u w:color="000000"/>
        <w14:textFill>
          <w14:solidFill>
            <w14:srgbClr w14:val="000000"/>
          </w14:solidFill>
        </w14:textFill>
      </w:rPr>
      <w:fldChar w:fldCharType="begin" w:fldLock="0"/>
    </w:r>
    <w:r>
      <w:rPr>
        <w:rFonts w:ascii="Arial" w:hAnsi="Arial"/>
        <w:outline w:val="0"/>
        <w:color w:val="000000"/>
        <w:sz w:val="20"/>
        <w:szCs w:val="20"/>
        <w:u w:color="000000"/>
        <w14:textFill>
          <w14:solidFill>
            <w14:srgbClr w14:val="000000"/>
          </w14:solidFill>
        </w14:textFill>
      </w:rPr>
      <w:instrText xml:space="preserve"> PAGE </w:instrText>
    </w:r>
    <w:r>
      <w:rPr>
        <w:rFonts w:ascii="Arial" w:hAnsi="Arial"/>
        <w:outline w:val="0"/>
        <w:color w:val="000000"/>
        <w:sz w:val="20"/>
        <w:szCs w:val="20"/>
        <w:u w:color="000000"/>
        <w14:textFill>
          <w14:solidFill>
            <w14:srgbClr w14:val="000000"/>
          </w14:solidFill>
        </w14:textFill>
      </w:rPr>
      <w:fldChar w:fldCharType="separate" w:fldLock="0"/>
    </w:r>
    <w:r>
      <w:rPr>
        <w:rFonts w:ascii="Arial" w:hAnsi="Arial"/>
        <w:outline w:val="0"/>
        <w:color w:val="000000"/>
        <w:sz w:val="20"/>
        <w:szCs w:val="20"/>
        <w:u w:color="000000"/>
        <w14:textFill>
          <w14:solidFill>
            <w14:srgbClr w14:val="000000"/>
          </w14:solidFill>
        </w14:textFill>
      </w:rPr>
    </w:r>
    <w:r>
      <w:rPr>
        <w:rFonts w:ascii="Arial" w:hAnsi="Arial"/>
        <w:outline w:val="0"/>
        <w:color w:val="000000"/>
        <w:sz w:val="20"/>
        <w:szCs w:val="20"/>
        <w:u w:color="00000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480" w:after="20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4"/>
      <w:szCs w:val="34"/>
      <w:u w:val="none" w:color="000000"/>
      <w:shd w:val="nil" w:color="auto" w:fill="auto"/>
      <w:vertAlign w:val="baseline"/>
      <w:lang w:val="de-DE"/>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320" w:after="16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ing 3">
    <w:name w:val="Heading 3"/>
    <w:next w:val="Heading 3"/>
    <w:pPr>
      <w:keepNext w:val="0"/>
      <w:keepLines w:val="0"/>
      <w:pageBreakBefore w:val="0"/>
      <w:widowControl w:val="1"/>
      <w:shd w:val="clear" w:color="auto" w:fill="auto"/>
      <w:suppressAutoHyphens w:val="0"/>
      <w:bidi w:val="0"/>
      <w:spacing w:before="240" w:after="120" w:line="240"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