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rPr>
          <w:rFonts w:ascii="Arial" w:cs="Arial" w:hAnsi="Arial" w:eastAsia="Arial"/>
          <w:b w:val="1"/>
          <w:bCs w:val="1"/>
          <w:sz w:val="50"/>
          <w:szCs w:val="50"/>
          <w:u w:color="000000"/>
        </w:rPr>
      </w:pPr>
      <w:r>
        <w:rPr>
          <w:rFonts w:ascii="Arial" w:hAnsi="Arial"/>
          <w:b w:val="1"/>
          <w:bCs w:val="1"/>
          <w:sz w:val="50"/>
          <w:szCs w:val="50"/>
          <w:u w:color="000000"/>
          <w:rtl w:val="0"/>
          <w:lang w:val="en-US"/>
        </w:rPr>
        <w:t>Consistent With Is Not Evidence For: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rPr>
          <w:sz w:val="24"/>
          <w:szCs w:val="24"/>
        </w:rPr>
      </w:pPr>
      <w:r>
        <w:rPr>
          <w:rFonts w:ascii="Arial" w:hAnsi="Arial"/>
          <w:sz w:val="24"/>
          <w:szCs w:val="24"/>
          <w:u w:color="000000"/>
          <w:rtl w:val="0"/>
          <w:lang w:val="en-US"/>
        </w:rPr>
        <w:t xml:space="preserve"> On the Misclassification of Geochemical Anomalies as Proof of Ancient Geopolymer Manufacture at Cusco, Peru</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tl w:val="0"/>
          <w:lang w:val="it-IT"/>
        </w:rPr>
        <w:t xml:space="preserve">Zenodo </w:t>
      </w:r>
      <w:r>
        <w:rPr>
          <w:rStyle w:val="Hyperlink.0"/>
        </w:rPr>
        <w:fldChar w:fldCharType="begin" w:fldLock="0"/>
      </w:r>
      <w:r>
        <w:rPr>
          <w:rStyle w:val="Hyperlink.0"/>
        </w:rPr>
        <w:instrText xml:space="preserve"> HYPERLINK "https://doi.org/10.5281/zenodo.20830077"</w:instrText>
      </w:r>
      <w:r>
        <w:rPr>
          <w:rStyle w:val="Hyperlink.0"/>
        </w:rPr>
        <w:fldChar w:fldCharType="separate" w:fldLock="0"/>
      </w:r>
      <w:r>
        <w:rPr>
          <w:rStyle w:val="Hyperlink.0"/>
          <w:rtl w:val="0"/>
          <w:lang w:val="en-US"/>
        </w:rPr>
        <w:t>https://doi.org/10.5281/zenodo.20830077</w:t>
      </w:r>
      <w:r>
        <w:rPr/>
        <w:fldChar w:fldCharType="end" w:fldLock="0"/>
      </w:r>
      <w:r>
        <w:rPr>
          <w:rtl w:val="0"/>
          <w:lang w:val="it-IT"/>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tl w:val="0"/>
          <w:lang w:val="it-IT"/>
        </w:rPr>
        <w:t xml:space="preserve">Figshare </w:t>
      </w:r>
      <w:r>
        <w:rPr>
          <w:rStyle w:val="Hyperlink.0"/>
        </w:rPr>
        <w:fldChar w:fldCharType="begin" w:fldLock="0"/>
      </w:r>
      <w:r>
        <w:rPr>
          <w:rStyle w:val="Hyperlink.0"/>
        </w:rPr>
        <w:instrText xml:space="preserve"> HYPERLINK "https://doi.org/10.6084/m9.figshare.32781735"</w:instrText>
      </w:r>
      <w:r>
        <w:rPr>
          <w:rStyle w:val="Hyperlink.0"/>
        </w:rPr>
        <w:fldChar w:fldCharType="separate" w:fldLock="0"/>
      </w:r>
      <w:r>
        <w:rPr>
          <w:rStyle w:val="Hyperlink.0"/>
          <w:rtl w:val="0"/>
          <w:lang w:val="en-US"/>
        </w:rPr>
        <w:t>https://doi.org/10.6084/m9.figshare.32781735</w:t>
      </w:r>
      <w:r>
        <w:rPr/>
        <w:fldChar w:fldCharType="end" w:fldLock="0"/>
      </w:r>
      <w:r>
        <w:rPr>
          <w:rtl w:val="0"/>
          <w:lang w:val="it-IT"/>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tl w:val="0"/>
          <w:lang w:val="it-IT"/>
        </w:rPr>
        <w:t xml:space="preserve">ResearchGate </w:t>
      </w:r>
      <w:r>
        <w:rPr>
          <w:rStyle w:val="Hyperlink.0"/>
        </w:rPr>
        <w:fldChar w:fldCharType="begin" w:fldLock="0"/>
      </w:r>
      <w:r>
        <w:rPr>
          <w:rStyle w:val="Hyperlink.0"/>
        </w:rPr>
        <w:instrText xml:space="preserve"> HYPERLINK "https://doi.org/10.13140/RG.2.2.12341.03048"</w:instrText>
      </w:r>
      <w:r>
        <w:rPr>
          <w:rStyle w:val="Hyperlink.0"/>
        </w:rPr>
        <w:fldChar w:fldCharType="separate" w:fldLock="0"/>
      </w:r>
      <w:r>
        <w:rPr>
          <w:rStyle w:val="Hyperlink.0"/>
          <w:rtl w:val="0"/>
          <w:lang w:val="en-US"/>
        </w:rPr>
        <w:t>https://doi.org/10.13140/RG.2.2.12341.03048</w:t>
      </w:r>
      <w:r>
        <w:rPr/>
        <w:fldChar w:fldCharType="end" w:fldLock="0"/>
      </w:r>
      <w:r>
        <w:rPr>
          <w:rtl w:val="0"/>
          <w:lang w:val="it-IT"/>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Fonts w:ascii="Arial" w:hAnsi="Arial"/>
          <w:b w:val="1"/>
          <w:bCs w:val="1"/>
          <w:outline w:val="0"/>
          <w:color w:val="000000"/>
          <w:sz w:val="24"/>
          <w:szCs w:val="24"/>
          <w:u w:color="000000"/>
          <w:rtl w:val="0"/>
          <w:lang w:val="en-US"/>
          <w14:textFill>
            <w14:solidFill>
              <w14:srgbClr w14:val="000000"/>
            </w14:solidFill>
          </w14:textFill>
        </w:rPr>
        <w:t>Anthony Vondoom</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Arial" w:cs="Arial" w:hAnsi="Arial" w:eastAsia="Arial"/>
          <w:outline w:val="0"/>
          <w:color w:val="000000"/>
          <w:sz w:val="24"/>
          <w:szCs w:val="24"/>
          <w:u w:color="000000"/>
          <w14:textFill>
            <w14:solidFill>
              <w14:srgbClr w14:val="000000"/>
            </w14:solidFill>
          </w14:textFill>
        </w:rPr>
      </w:pPr>
      <w:r>
        <w:rPr>
          <w:rFonts w:ascii="Arial" w:hAnsi="Arial"/>
          <w:outline w:val="0"/>
          <w:color w:val="000000"/>
          <w:sz w:val="24"/>
          <w:szCs w:val="24"/>
          <w:u w:color="000000"/>
          <w:rtl w:val="0"/>
          <w:lang w:val="en-US"/>
          <w14:textFill>
            <w14:solidFill>
              <w14:srgbClr w14:val="000000"/>
            </w14:solidFill>
          </w14:textFill>
        </w:rPr>
        <w:t xml:space="preserve">Independent Researcher, Cognitive Archaeology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Arial" w:cs="Arial" w:hAnsi="Arial" w:eastAsia="Arial"/>
          <w:outline w:val="0"/>
          <w:color w:val="000000"/>
          <w:sz w:val="24"/>
          <w:szCs w:val="24"/>
          <w:u w:color="000000"/>
          <w14:textFill>
            <w14:solidFill>
              <w14:srgbClr w14:val="000000"/>
            </w14:solidFill>
          </w14:textFill>
        </w:rPr>
      </w:pPr>
      <w:r>
        <w:rPr>
          <w:rFonts w:ascii="Arial" w:hAnsi="Arial"/>
          <w:outline w:val="0"/>
          <w:color w:val="000000"/>
          <w:sz w:val="24"/>
          <w:szCs w:val="24"/>
          <w:u w:color="000000"/>
          <w:rtl w:val="0"/>
          <w:lang w:val="en-US"/>
          <w14:textFill>
            <w14:solidFill>
              <w14:srgbClr w14:val="000000"/>
            </w14:solidFill>
          </w14:textFill>
        </w:rPr>
        <w:t>Deep Symbolic Systems Model (DSSM) Research Programme</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lang w:val="it-IT"/>
        </w:rPr>
      </w:pPr>
      <w:r>
        <w:rPr>
          <w:rStyle w:val="Hyperlink.1"/>
          <w:outline w:val="0"/>
          <w:color w:val="0563c1"/>
          <w:u w:val="single" w:color="0563c1"/>
          <w:lang w:val="it-IT"/>
          <w14:textFill>
            <w14:solidFill>
              <w14:srgbClr w14:val="0563C1"/>
            </w14:solidFill>
          </w14:textFill>
        </w:rPr>
        <w:fldChar w:fldCharType="begin" w:fldLock="0"/>
      </w:r>
      <w:r>
        <w:rPr>
          <w:rStyle w:val="Hyperlink.1"/>
          <w:outline w:val="0"/>
          <w:color w:val="0563c1"/>
          <w:u w:val="single" w:color="0563c1"/>
          <w:lang w:val="it-IT"/>
          <w14:textFill>
            <w14:solidFill>
              <w14:srgbClr w14:val="0563C1"/>
            </w14:solidFill>
          </w14:textFill>
        </w:rPr>
        <w:instrText xml:space="preserve"> HYPERLINK "http://www.dssm.academy"</w:instrText>
      </w:r>
      <w:r>
        <w:rPr>
          <w:rStyle w:val="Hyperlink.1"/>
          <w:outline w:val="0"/>
          <w:color w:val="0563c1"/>
          <w:u w:val="single" w:color="0563c1"/>
          <w:lang w:val="it-IT"/>
          <w14:textFill>
            <w14:solidFill>
              <w14:srgbClr w14:val="0563C1"/>
            </w14:solidFill>
          </w14:textFill>
        </w:rPr>
        <w:fldChar w:fldCharType="separate" w:fldLock="0"/>
      </w:r>
      <w:r>
        <w:rPr>
          <w:rStyle w:val="Hyperlink.1"/>
          <w:outline w:val="0"/>
          <w:color w:val="0563c1"/>
          <w:u w:val="single" w:color="0563c1"/>
          <w:rtl w:val="0"/>
          <w:lang w:val="it-IT"/>
          <w14:textFill>
            <w14:solidFill>
              <w14:srgbClr w14:val="0563C1"/>
            </w14:solidFill>
          </w14:textFill>
        </w:rPr>
        <w:t>www.dssm.academy</w:t>
      </w:r>
      <w:r>
        <w:rPr>
          <w:lang w:val="it-IT"/>
        </w:rPr>
        <w:fldChar w:fldCharType="end" w:fldLock="0"/>
      </w:r>
      <w:r>
        <w:rPr>
          <w:rStyle w:val="None"/>
          <w:rFonts w:ascii="Arial" w:hAnsi="Arial"/>
          <w:outline w:val="0"/>
          <w:color w:val="000000"/>
          <w:sz w:val="24"/>
          <w:szCs w:val="24"/>
          <w:u w:color="000000"/>
          <w:rtl w:val="0"/>
          <w:lang w:val="it-IT"/>
          <w14:textFill>
            <w14:solidFill>
              <w14:srgbClr w14:val="000000"/>
            </w14:solidFill>
          </w14:textFill>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None"/>
          <w:rFonts w:ascii="Arial" w:cs="Arial" w:hAnsi="Arial" w:eastAsia="Arial"/>
          <w:outline w:val="0"/>
          <w:color w:val="000000"/>
          <w:sz w:val="24"/>
          <w:szCs w:val="24"/>
          <w:u w:color="000000"/>
          <w14:textFill>
            <w14:solidFill>
              <w14:srgbClr w14:val="000000"/>
            </w14:solidFill>
          </w14:textFill>
        </w:rPr>
      </w:pPr>
      <w:r>
        <w:rPr>
          <w:rStyle w:val="Hyperlink.2"/>
          <w:outline w:val="0"/>
          <w:color w:val="0563c1"/>
          <w:u w:val="single" w:color="0563c1"/>
          <w:lang w:val="nl-NL"/>
          <w14:textFill>
            <w14:solidFill>
              <w14:srgbClr w14:val="0563C1"/>
            </w14:solidFill>
          </w14:textFill>
        </w:rPr>
        <w:fldChar w:fldCharType="begin" w:fldLock="0"/>
      </w:r>
      <w:r>
        <w:rPr>
          <w:rStyle w:val="Hyperlink.2"/>
          <w:outline w:val="0"/>
          <w:color w:val="0563c1"/>
          <w:u w:val="single" w:color="0563c1"/>
          <w:lang w:val="nl-NL"/>
          <w14:textFill>
            <w14:solidFill>
              <w14:srgbClr w14:val="0563C1"/>
            </w14:solidFill>
          </w14:textFill>
        </w:rPr>
        <w:instrText xml:space="preserve"> HYPERLINK "mailto:anthony.vondoom@outlook.com"</w:instrText>
      </w:r>
      <w:r>
        <w:rPr>
          <w:rStyle w:val="Hyperlink.2"/>
          <w:outline w:val="0"/>
          <w:color w:val="0563c1"/>
          <w:u w:val="single" w:color="0563c1"/>
          <w:lang w:val="nl-NL"/>
          <w14:textFill>
            <w14:solidFill>
              <w14:srgbClr w14:val="0563C1"/>
            </w14:solidFill>
          </w14:textFill>
        </w:rPr>
        <w:fldChar w:fldCharType="separate" w:fldLock="0"/>
      </w:r>
      <w:r>
        <w:rPr>
          <w:rStyle w:val="Hyperlink.2"/>
          <w:outline w:val="0"/>
          <w:color w:val="0563c1"/>
          <w:u w:val="single" w:color="0563c1"/>
          <w:rtl w:val="0"/>
          <w:lang w:val="nl-NL"/>
          <w14:textFill>
            <w14:solidFill>
              <w14:srgbClr w14:val="0563C1"/>
            </w14:solidFill>
          </w14:textFill>
        </w:rPr>
        <w:t>anthony.vondoom@outlook.com</w:t>
      </w:r>
      <w:r>
        <w:rPr/>
        <w:fldChar w:fldCharType="end" w:fldLock="0"/>
      </w:r>
      <w:r>
        <w:rPr>
          <w:rStyle w:val="None"/>
          <w:rFonts w:ascii="Arial" w:hAnsi="Arial"/>
          <w:outline w:val="0"/>
          <w:color w:val="000000"/>
          <w:sz w:val="24"/>
          <w:szCs w:val="24"/>
          <w:u w:color="000000"/>
          <w:rtl w:val="0"/>
          <w:lang w:val="it-IT"/>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 xml:space="preserve"> | ORCID: </w:t>
      </w:r>
      <w:r>
        <w:rPr>
          <w:rStyle w:val="Hyperlink.3"/>
          <w:outline w:val="0"/>
          <w:color w:val="0563c1"/>
          <w:u w:val="single" w:color="0563c1"/>
          <w:lang w:val="en-US"/>
          <w14:textFill>
            <w14:solidFill>
              <w14:srgbClr w14:val="0563C1"/>
            </w14:solidFill>
          </w14:textFill>
        </w:rPr>
        <w:fldChar w:fldCharType="begin" w:fldLock="0"/>
      </w:r>
      <w:r>
        <w:rPr>
          <w:rStyle w:val="Hyperlink.3"/>
          <w:outline w:val="0"/>
          <w:color w:val="0563c1"/>
          <w:u w:val="single" w:color="0563c1"/>
          <w:lang w:val="en-US"/>
          <w14:textFill>
            <w14:solidFill>
              <w14:srgbClr w14:val="0563C1"/>
            </w14:solidFill>
          </w14:textFill>
        </w:rPr>
        <w:instrText xml:space="preserve"> HYPERLINK "https://orcid.org/0009-0003-4953-1427"</w:instrText>
      </w:r>
      <w:r>
        <w:rPr>
          <w:rStyle w:val="Hyperlink.3"/>
          <w:outline w:val="0"/>
          <w:color w:val="0563c1"/>
          <w:u w:val="single" w:color="0563c1"/>
          <w:lang w:val="en-US"/>
          <w14:textFill>
            <w14:solidFill>
              <w14:srgbClr w14:val="0563C1"/>
            </w14:solidFill>
          </w14:textFill>
        </w:rPr>
        <w:fldChar w:fldCharType="separate" w:fldLock="0"/>
      </w:r>
      <w:r>
        <w:rPr>
          <w:rStyle w:val="Hyperlink.3"/>
          <w:outline w:val="0"/>
          <w:color w:val="0563c1"/>
          <w:u w:val="single" w:color="0563c1"/>
          <w:rtl w:val="0"/>
          <w:lang w:val="en-US"/>
          <w14:textFill>
            <w14:solidFill>
              <w14:srgbClr w14:val="0563C1"/>
            </w14:solidFill>
          </w14:textFill>
        </w:rPr>
        <w:t>0009-0003-4953-1427</w:t>
      </w:r>
      <w:r>
        <w:rPr/>
        <w:fldChar w:fldCharType="end" w:fldLock="0"/>
      </w:r>
      <w:r>
        <w:rPr>
          <w:rStyle w:val="None"/>
          <w:rFonts w:ascii="Arial" w:hAnsi="Arial"/>
          <w:outline w:val="0"/>
          <w:color w:val="000000"/>
          <w:sz w:val="24"/>
          <w:szCs w:val="24"/>
          <w:u w:color="000000"/>
          <w:rtl w:val="0"/>
          <w:lang w:val="it-IT"/>
          <w14:textFill>
            <w14:solidFill>
              <w14:srgbClr w14:val="000000"/>
            </w14:solidFill>
          </w14:textFill>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Arial" w:hAnsi="Arial"/>
          <w:i w:val="1"/>
          <w:iCs w:val="1"/>
          <w:outline w:val="0"/>
          <w:color w:val="000000"/>
          <w:u w:color="000000"/>
          <w:rtl w:val="0"/>
          <w:lang w:val="en-US"/>
          <w14:textFill>
            <w14:solidFill>
              <w14:srgbClr w14:val="000000"/>
            </w14:solidFill>
          </w14:textFill>
        </w:rPr>
        <w:t>Note: This paper was prepared with transparent AI assistance in accordance with the author's established disclosure practice across the DSSM corpus.</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lang w:val="de-DE"/>
        </w:rPr>
      </w:pPr>
      <w:r>
        <w:rPr>
          <w:rStyle w:val="None"/>
          <w:rFonts w:ascii="Arial" w:hAnsi="Arial"/>
          <w:b w:val="1"/>
          <w:bCs w:val="1"/>
          <w:outline w:val="0"/>
          <w:color w:val="000000"/>
          <w:sz w:val="26"/>
          <w:szCs w:val="26"/>
          <w:u w:color="000000"/>
          <w:rtl w:val="0"/>
          <w:lang w:val="de-DE"/>
          <w14:textFill>
            <w14:solidFill>
              <w14:srgbClr w14:val="000000"/>
            </w14:solidFill>
          </w14:textFill>
        </w:rPr>
        <w:t>Abstract</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None"/>
          <w:rFonts w:ascii="Arial" w:cs="Arial" w:hAnsi="Arial" w:eastAsia="Arial"/>
          <w:outline w:val="0"/>
          <w:color w:val="000000"/>
          <w:sz w:val="24"/>
          <w:szCs w:val="24"/>
          <w:u w:color="000000"/>
          <w14:textFill>
            <w14:solidFill>
              <w14:srgbClr w14:val="000000"/>
            </w14:solidFill>
          </w14:textFill>
        </w:rPr>
      </w:pPr>
      <w:r>
        <w:rPr>
          <w:rStyle w:val="None"/>
          <w:rFonts w:ascii="Arial" w:hAnsi="Arial"/>
          <w:outline w:val="0"/>
          <w:color w:val="000000"/>
          <w:sz w:val="24"/>
          <w:szCs w:val="24"/>
          <w:u w:color="000000"/>
          <w:rtl w:val="0"/>
          <w:lang w:val="en-US"/>
          <w14:textFill>
            <w14:solidFill>
              <w14:srgbClr w14:val="000000"/>
            </w14:solidFill>
          </w14:textFill>
        </w:rPr>
        <w:t xml:space="preserve">A recent investigation of megalithic masonry at Cusco, Peru (Hawke, 2026), titled 'Evidence of Geopolymer Concrete in Megalithic Architecture of Cusco, Peru,' presents geochemical, radiometric, morphological, and biological observations in support of the conclusion that Inca and pre-Inca architecture was produced through deliberate ancient geopolymer concrete synthesis. This paper examines whether the study's findings constitute evidence in the scientifically meaningful sense of that term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 xml:space="preserve">that is, observations capable of discriminating between the proposed hypothesis and its alternatives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or whether they constitute observations that are merely consistent with that hypothesis. These are not the same thing, and the distinction is the organizing concern of the present paper. We demonstrate that no finding reported in Hawke (2026) meets the discriminatory threshold required to qualify as evidence for geopolymer manufacture specifically. The amorphous microstructure documented under SEM is equally consistent with naturally weathered volcanic tuff. The chlorine enrichment is recorded at EDS surface depth and cannot be distinguished from centuries of ion migration through a porous matrix without bulk compositional verification. The isotopic and radiometric claims are derived from an instrument whose energy resolution is insufficient for the precision the calculations require. The micro-invertebrate biosignature, presented as definitive proof of ambient-temperature curing, fails at the level of logical closure before any instrument is considered: the organism either did not survive the mechanical forces of concrete mixing, or it entered the matrix post-construction through the highly porous network the study itself quantifies, and in either case carries no discriminating value for the manufacturing hypothesis. The study's title asserts the existence of evidence. The study's methodology does not produce it. The observations reported by Hawke (2026) are anomalies in need of explanation. They are not, on the basis of the analytical tools employed, evidence of geopolymer concrete.</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Arial" w:hAnsi="Arial"/>
          <w:b w:val="1"/>
          <w:bCs w:val="1"/>
          <w:outline w:val="0"/>
          <w:color w:val="000000"/>
          <w:sz w:val="24"/>
          <w:szCs w:val="24"/>
          <w:u w:color="000000"/>
          <w:rtl w:val="0"/>
          <w:lang w:val="en-US"/>
          <w14:textFill>
            <w14:solidFill>
              <w14:srgbClr w14:val="000000"/>
            </w14:solidFill>
          </w14:textFill>
        </w:rPr>
        <w:t xml:space="preserve">Keywords: </w:t>
      </w:r>
      <w:r>
        <w:rPr>
          <w:rStyle w:val="None"/>
          <w:rFonts w:ascii="Arial" w:hAnsi="Arial"/>
          <w:outline w:val="0"/>
          <w:color w:val="000000"/>
          <w:sz w:val="24"/>
          <w:szCs w:val="24"/>
          <w:u w:color="000000"/>
          <w:rtl w:val="0"/>
          <w:lang w:val="en-US"/>
          <w14:textFill>
            <w14:solidFill>
              <w14:srgbClr w14:val="000000"/>
            </w14:solidFill>
          </w14:textFill>
        </w:rPr>
        <w:t>Cusco megalithic masonry, geopolymer hypothesis, evidentiary discrimination, biosignature analysis, spheroidal weathering, diagenesis, Sacsayhuaman, Qorikancha, petrographic analysis</w:t>
      </w:r>
    </w:p>
    <w:p>
      <w:pPr>
        <w:pStyle w:val="Heading"/>
        <w:spacing w:before="320" w:after="160"/>
        <w:jc w:val="both"/>
      </w:pPr>
    </w:p>
    <w:p>
      <w:pPr>
        <w:pStyle w:val="Heading"/>
        <w:spacing w:before="320" w:after="160"/>
        <w:jc w:val="both"/>
      </w:pPr>
    </w:p>
    <w:p>
      <w:pPr>
        <w:pStyle w:val="Heading"/>
        <w:spacing w:before="320" w:after="160"/>
        <w:jc w:val="both"/>
      </w:pPr>
    </w:p>
    <w:p>
      <w:pPr>
        <w:pStyle w:val="Heading"/>
        <w:spacing w:before="320" w:after="160"/>
        <w:jc w:val="both"/>
      </w:pPr>
    </w:p>
    <w:p>
      <w:pPr>
        <w:pStyle w:val="Heading"/>
        <w:spacing w:before="320" w:after="160"/>
        <w:jc w:val="both"/>
      </w:pPr>
    </w:p>
    <w:p>
      <w:pPr>
        <w:pStyle w:val="Heading"/>
        <w:spacing w:before="320" w:after="160"/>
        <w:jc w:val="both"/>
      </w:pPr>
    </w:p>
    <w:p>
      <w:pPr>
        <w:pStyle w:val="Heading"/>
        <w:spacing w:before="320" w:after="160"/>
        <w:jc w:val="both"/>
      </w:pPr>
    </w:p>
    <w:p>
      <w:pPr>
        <w:pStyle w:val="Heading"/>
        <w:spacing w:before="320" w:after="160"/>
        <w:jc w:val="both"/>
      </w:pPr>
    </w:p>
    <w:p>
      <w:pPr>
        <w:pStyle w:val="Heading"/>
        <w:spacing w:before="320" w:after="160"/>
        <w:jc w:val="both"/>
      </w:pPr>
      <w:r>
        <w:rPr>
          <w:rStyle w:val="None"/>
          <w:rFonts w:ascii="Arial" w:hAnsi="Arial"/>
          <w:b w:val="1"/>
          <w:bCs w:val="1"/>
          <w:outline w:val="0"/>
          <w:color w:val="000000"/>
          <w:sz w:val="28"/>
          <w:szCs w:val="28"/>
          <w:u w:color="000000"/>
          <w:rtl w:val="0"/>
          <w:lang w:val="en-US"/>
          <w14:textFill>
            <w14:solidFill>
              <w14:srgbClr w14:val="000000"/>
            </w14:solidFill>
          </w14:textFill>
        </w:rPr>
        <w:t>1. On the Meaning of Evidence</w:t>
      </w:r>
    </w:p>
    <w:p>
      <w:pPr>
        <w:pStyle w:val="Heading"/>
        <w:spacing w:before="320" w:after="160"/>
        <w:jc w:val="both"/>
      </w:pPr>
      <w:r>
        <w:rPr>
          <w:rStyle w:val="None"/>
          <w:rFonts w:ascii="Arial" w:hAnsi="Arial"/>
          <w:outline w:val="0"/>
          <w:color w:val="000000"/>
          <w:sz w:val="24"/>
          <w:szCs w:val="24"/>
          <w:u w:color="000000"/>
          <w:rtl w:val="0"/>
          <w:lang w:val="en-US"/>
          <w14:textFill>
            <w14:solidFill>
              <w14:srgbClr w14:val="000000"/>
            </w14:solidFill>
          </w14:textFill>
        </w:rPr>
        <w:t>The title of Hawke (2026) asserts that the study presents evidence of geopolymer concrete in Cusco megalithic architecture. This claim requires examination at the outset, because the word evidence is doing considerable work that the study's methodology does not support.</w:t>
      </w:r>
    </w:p>
    <w:p>
      <w:pPr>
        <w:pStyle w:val="Heading"/>
        <w:spacing w:before="320" w:after="160"/>
        <w:jc w:val="both"/>
      </w:pPr>
      <w:r>
        <w:rPr>
          <w:rStyle w:val="None"/>
          <w:rFonts w:ascii="Arial" w:hAnsi="Arial"/>
          <w:outline w:val="0"/>
          <w:color w:val="000000"/>
          <w:sz w:val="24"/>
          <w:szCs w:val="24"/>
          <w:u w:color="000000"/>
          <w:rtl w:val="0"/>
          <w:lang w:val="en-US"/>
          <w14:textFill>
            <w14:solidFill>
              <w14:srgbClr w14:val="000000"/>
            </w14:solidFill>
          </w14:textFill>
        </w:rPr>
        <w:t xml:space="preserve">In scientific usage, evidence for a hypothesis H is an observation O such that O is more probable under H than under the set of competing hypotheses. Consistency alone is not evidence. If observation O is equally consistent with H and with alternative hypotheses H1, H2, and H3, then O provides no discriminating support for H over its alternatives. It is merely an observation in need of an explanation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which may or may not be H.</w:t>
      </w:r>
    </w:p>
    <w:p>
      <w:pPr>
        <w:pStyle w:val="Heading"/>
        <w:spacing w:before="320" w:after="160"/>
        <w:jc w:val="both"/>
      </w:pPr>
      <w:r>
        <w:rPr>
          <w:rStyle w:val="None"/>
          <w:rFonts w:ascii="Arial" w:hAnsi="Arial"/>
          <w:outline w:val="0"/>
          <w:color w:val="000000"/>
          <w:sz w:val="24"/>
          <w:szCs w:val="24"/>
          <w:u w:color="000000"/>
          <w:rtl w:val="0"/>
          <w:lang w:val="en-US"/>
          <w14:textFill>
            <w14:solidFill>
              <w14:srgbClr w14:val="000000"/>
            </w14:solidFill>
          </w14:textFill>
        </w:rPr>
        <w:t xml:space="preserve">This distinction matters because Hawke (2026) repeatedly presents observations that are consistent with geopolymer manufacture and frames them as proof of it, without demonstrating that the competing explanations are less consistent with the same observations. The amorphous microstructure is consistent with geopolymer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 xml:space="preserve">it is also consistent with naturally weathered volcanic tuff, with clay mortar matrix, and with diagenetically altered porous stone. The efflorescence is consistent with alkali-rich geopolymer leaching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it is also consistent with five centuries of mineral migration through porous volcanic stone in a high-rainfall environment. Consistency with a hypothesis, across every line of evidence in the paper, is presented as confirmation of it. This is a misclassification of the logical relationship between observation and conclusion, and it runs through the study from title to abstract to conclusion.</w:t>
      </w:r>
    </w:p>
    <w:p>
      <w:pPr>
        <w:pStyle w:val="Heading"/>
        <w:spacing w:before="320" w:after="160"/>
        <w:jc w:val="both"/>
      </w:pPr>
      <w:r>
        <w:rPr>
          <w:rStyle w:val="None"/>
          <w:rFonts w:ascii="Arial" w:hAnsi="Arial"/>
          <w:outline w:val="0"/>
          <w:color w:val="000000"/>
          <w:sz w:val="24"/>
          <w:szCs w:val="24"/>
          <w:u w:color="000000"/>
          <w:rtl w:val="0"/>
          <w:lang w:val="en-US"/>
          <w14:textFill>
            <w14:solidFill>
              <w14:srgbClr w14:val="000000"/>
            </w14:solidFill>
          </w14:textFill>
        </w:rPr>
        <w:t>The present paper examines each category of evidence against this standard and finds that none of the observations reported in Hawke (2026) discriminate between the geopolymer manufacture hypothesis and the natural process alternatives available in the Cusco geological and environmental context.</w:t>
      </w:r>
    </w:p>
    <w:p>
      <w:pPr>
        <w:pStyle w:val="Heading"/>
        <w:spacing w:before="320" w:after="160"/>
        <w:jc w:val="both"/>
      </w:pPr>
      <w:r>
        <w:rPr>
          <w:rStyle w:val="None"/>
          <w:rFonts w:ascii="Arial" w:hAnsi="Arial"/>
          <w:b w:val="1"/>
          <w:bCs w:val="1"/>
          <w:outline w:val="0"/>
          <w:color w:val="000000"/>
          <w:sz w:val="28"/>
          <w:szCs w:val="28"/>
          <w:u w:color="000000"/>
          <w:rtl w:val="0"/>
          <w:lang w:val="en-US"/>
          <w14:textFill>
            <w14:solidFill>
              <w14:srgbClr w14:val="000000"/>
            </w14:solidFill>
          </w14:textFill>
        </w:rPr>
        <w:t>2. The Casting Model and Its Internal Contradictions</w:t>
      </w:r>
    </w:p>
    <w:p>
      <w:pPr>
        <w:pStyle w:val="Heading"/>
        <w:spacing w:before="320" w:after="160"/>
        <w:jc w:val="both"/>
      </w:pPr>
      <w:r>
        <w:rPr>
          <w:rStyle w:val="None"/>
          <w:rFonts w:ascii="Arial" w:hAnsi="Arial"/>
          <w:outline w:val="0"/>
          <w:color w:val="000000"/>
          <w:sz w:val="24"/>
          <w:szCs w:val="24"/>
          <w:u w:color="000000"/>
          <w:rtl w:val="0"/>
          <w:lang w:val="en-US"/>
          <w14:textFill>
            <w14:solidFill>
              <w14:srgbClr w14:val="000000"/>
            </w14:solidFill>
          </w14:textFill>
        </w:rPr>
        <w:t>Before examining the geochemical evidence, it is necessary to note that the in-situ casting model proposed by Hawke (2026) contains structural contradictions that the study does not address.</w:t>
      </w:r>
    </w:p>
    <w:p>
      <w:pPr>
        <w:pStyle w:val="Heading 2"/>
        <w:spacing w:before="240" w:after="120"/>
        <w:jc w:val="both"/>
      </w:pPr>
      <w:r>
        <w:rPr>
          <w:rStyle w:val="None"/>
          <w:rFonts w:ascii="Arial" w:hAnsi="Arial"/>
          <w:b w:val="1"/>
          <w:bCs w:val="1"/>
          <w:outline w:val="0"/>
          <w:color w:val="000000"/>
          <w:u w:color="000000"/>
          <w:rtl w:val="0"/>
          <w:lang w:val="en-US"/>
          <w14:textFill>
            <w14:solidFill>
              <w14:srgbClr w14:val="000000"/>
            </w14:solidFill>
          </w14:textFill>
        </w:rPr>
        <w:t>2.1 The Uniformity Contradiction</w:t>
      </w:r>
    </w:p>
    <w:p>
      <w:pPr>
        <w:pStyle w:val="Heading 2"/>
        <w:spacing w:before="240" w:after="120"/>
        <w:jc w:val="both"/>
      </w:pPr>
      <w:r>
        <w:rPr>
          <w:rStyle w:val="None"/>
          <w:rFonts w:ascii="Arial" w:hAnsi="Arial"/>
          <w:outline w:val="0"/>
          <w:color w:val="000000"/>
          <w:sz w:val="24"/>
          <w:szCs w:val="24"/>
          <w:u w:color="000000"/>
          <w:rtl w:val="0"/>
          <w:lang w:val="en-US"/>
          <w14:textFill>
            <w14:solidFill>
              <w14:srgbClr w14:val="000000"/>
            </w14:solidFill>
          </w14:textFill>
        </w:rPr>
        <w:t xml:space="preserve">A manufacturing operation capable of achieving the precise stoichiometric specifications documented by Hawke (2026)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 xml:space="preserve">controlled Si/Al ratios, consistent Ca/Si values, specific alkali activator concentrations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 xml:space="preserve">would most rationally employ standardized formwork producing uniform block geometry. Uniform geometry reduces complexity, accelerates production, and is structurally sufficient for load-bearing masonry. The extreme irregularity of the Sacsayhuaman polygonal blocks is not a natural product of a rational casting operation. Producing irregular interlocking geometry through casting requires unique formwork for every individual block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a logistical burden exceeding conventional stoneworking. If Hawke (2026) proposes that the irregular geometry was intentional for seismic performance, then each form was deliberately engineered, and the skill required for complex formwork design and construction is not less than the skill required for precision stone carving. The hypothesis does not simplify the problem.</w:t>
      </w:r>
    </w:p>
    <w:p>
      <w:pPr>
        <w:pStyle w:val="Heading 2"/>
        <w:spacing w:before="240" w:after="120"/>
        <w:jc w:val="both"/>
      </w:pPr>
      <w:r>
        <w:rPr>
          <w:rStyle w:val="None"/>
          <w:rFonts w:ascii="Arial" w:hAnsi="Arial"/>
          <w:b w:val="1"/>
          <w:bCs w:val="1"/>
          <w:outline w:val="0"/>
          <w:color w:val="000000"/>
          <w:u w:color="000000"/>
          <w:rtl w:val="0"/>
          <w:lang w:val="en-US"/>
          <w14:textFill>
            <w14:solidFill>
              <w14:srgbClr w14:val="000000"/>
            </w14:solidFill>
          </w14:textFill>
        </w:rPr>
        <w:t>2.2 The Vertical Transport Contradiction</w:t>
      </w:r>
    </w:p>
    <w:p>
      <w:pPr>
        <w:pStyle w:val="Heading 2"/>
        <w:spacing w:before="240" w:after="120"/>
        <w:jc w:val="both"/>
      </w:pPr>
      <w:r>
        <w:rPr>
          <w:rStyle w:val="None"/>
          <w:rFonts w:ascii="Arial" w:hAnsi="Arial"/>
          <w:outline w:val="0"/>
          <w:color w:val="000000"/>
          <w:sz w:val="24"/>
          <w:szCs w:val="24"/>
          <w:u w:color="000000"/>
          <w:rtl w:val="0"/>
          <w:lang w:val="en-US"/>
          <w14:textFill>
            <w14:solidFill>
              <w14:srgbClr w14:val="000000"/>
            </w14:solidFill>
          </w14:textFill>
        </w:rPr>
        <w:t>In-situ casting requires transporting wet reactive slurry to each pour location before initial set begins. For upper-course blocks, this requires moving considerable mass vertically without mechanized equipment, on every production cycle. Quarried stone is transported once as a finished unit. The casting scenario imposes a heavier vertical transport burden than conventional stoneworking for any block above ground level.</w:t>
      </w:r>
    </w:p>
    <w:p>
      <w:pPr>
        <w:pStyle w:val="Heading 2"/>
        <w:spacing w:before="240" w:after="120"/>
        <w:jc w:val="both"/>
      </w:pPr>
      <w:r>
        <w:rPr>
          <w:rStyle w:val="None"/>
          <w:rFonts w:ascii="Arial" w:hAnsi="Arial"/>
          <w:b w:val="1"/>
          <w:bCs w:val="1"/>
          <w:outline w:val="0"/>
          <w:color w:val="000000"/>
          <w:u w:color="000000"/>
          <w:rtl w:val="0"/>
          <w:lang w:val="en-US"/>
          <w14:textFill>
            <w14:solidFill>
              <w14:srgbClr w14:val="000000"/>
            </w14:solidFill>
          </w14:textFill>
        </w:rPr>
        <w:t>2.3 The Interface Chemistry Question</w:t>
      </w:r>
    </w:p>
    <w:p>
      <w:pPr>
        <w:pStyle w:val="Heading 2"/>
        <w:spacing w:before="240" w:after="120"/>
        <w:jc w:val="both"/>
      </w:pPr>
      <w:r>
        <w:rPr>
          <w:rStyle w:val="None"/>
          <w:rFonts w:ascii="Arial" w:hAnsi="Arial"/>
          <w:outline w:val="0"/>
          <w:color w:val="000000"/>
          <w:sz w:val="24"/>
          <w:szCs w:val="24"/>
          <w:u w:color="000000"/>
          <w:rtl w:val="0"/>
          <w:lang w:val="en-US"/>
          <w14:textFill>
            <w14:solidFill>
              <w14:srgbClr w14:val="000000"/>
            </w14:solidFill>
          </w14:textFill>
        </w:rPr>
        <w:t xml:space="preserve">Sequential in-situ geopolymer casting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 xml:space="preserve">pouring fresh material against an already-set geopolymer surface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would be expected to produce a chemically bonded interface zone distinct from the discrete block-to-block boundaries observed across Cusco masonry. In geopolymer systems, fresh aluminosilicate gel in contact with a cured surface undergoes polycondensation reactions that, depending on the degree of cure of the receiving surface and the moisture conditions at the interface, may produce partial chemical continuity rather than a clean mechanical joint (Provis &amp; van Deventer, 2009). The preservation of individually identifiable blocks with discrete interfaces across centuries is consistent with carved stone placed in contact and inconsistent with what would be expected from sequential reactive casting under the conditions proposed by Hawke (2026). The study does not address this aspect of its own model.</w:t>
      </w:r>
    </w:p>
    <w:p>
      <w:pPr>
        <w:pStyle w:val="Heading"/>
        <w:spacing w:before="320" w:after="160"/>
        <w:jc w:val="both"/>
      </w:pPr>
      <w:r>
        <w:rPr>
          <w:rStyle w:val="None"/>
          <w:rFonts w:ascii="Arial" w:hAnsi="Arial"/>
          <w:b w:val="1"/>
          <w:bCs w:val="1"/>
          <w:outline w:val="0"/>
          <w:color w:val="000000"/>
          <w:sz w:val="28"/>
          <w:szCs w:val="28"/>
          <w:u w:color="000000"/>
          <w:rtl w:val="0"/>
          <w:lang w:val="en-US"/>
          <w14:textFill>
            <w14:solidFill>
              <w14:srgbClr w14:val="000000"/>
            </w14:solidFill>
          </w14:textFill>
        </w:rPr>
        <w:t>3. The Micro-Invertebrate: Why This Is Not Evidence</w:t>
      </w:r>
    </w:p>
    <w:p>
      <w:pPr>
        <w:pStyle w:val="Heading"/>
        <w:spacing w:before="320" w:after="160"/>
        <w:jc w:val="both"/>
      </w:pPr>
      <w:r>
        <w:rPr>
          <w:rStyle w:val="None"/>
          <w:rFonts w:ascii="Arial" w:hAnsi="Arial"/>
          <w:outline w:val="0"/>
          <w:color w:val="000000"/>
          <w:sz w:val="24"/>
          <w:szCs w:val="24"/>
          <w:u w:color="000000"/>
          <w:rtl w:val="0"/>
          <w:lang w:val="en-US"/>
          <w14:textFill>
            <w14:solidFill>
              <w14:srgbClr w14:val="000000"/>
            </w14:solidFill>
          </w14:textFill>
        </w:rPr>
        <w:t xml:space="preserve">The micro-invertebrate recovered from Sample 2B at Huaca Sapantiana is presented in Hawke (2026) as a definitive biosignature precluding high-temperature igneous origin and substantiating anthropogenic geopolymer synthesis. The specimen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 xml:space="preserve">approximately 179.51 micrometers in size with intact antenna structures, segmented abdominal morphology, and a chitinous exoskeleton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is the most prominently framed finding in the study. The argument is that natural volcanic andesite forms at 900-1200 degrees Celsius, which would vaporize any organic material, therefore the organism's preservation proves ambient-temperature formation consistent with geopolymer curing.</w:t>
      </w:r>
    </w:p>
    <w:p>
      <w:pPr>
        <w:pStyle w:val="Heading"/>
        <w:spacing w:before="320" w:after="160"/>
        <w:jc w:val="both"/>
      </w:pPr>
      <w:r>
        <w:rPr>
          <w:rStyle w:val="None"/>
          <w:rFonts w:ascii="Arial" w:hAnsi="Arial"/>
          <w:outline w:val="0"/>
          <w:color w:val="000000"/>
          <w:sz w:val="24"/>
          <w:szCs w:val="24"/>
          <w:u w:color="000000"/>
          <w:rtl w:val="0"/>
          <w:lang w:val="en-US"/>
          <w14:textFill>
            <w14:solidFill>
              <w14:srgbClr w14:val="000000"/>
            </w14:solidFill>
          </w14:textFill>
        </w:rPr>
        <w:t>This argument does not constitute evidence for geopolymer manufacture because it does not discriminate between geopolymer manufacture and the available alternatives. There are exactly two pathways by which the organism could be present in the matrix. Both eliminate its evidentiary value.</w:t>
      </w:r>
    </w:p>
    <w:p>
      <w:pPr>
        <w:pStyle w:val="Heading 2"/>
        <w:spacing w:before="240" w:after="120"/>
        <w:jc w:val="both"/>
      </w:pPr>
    </w:p>
    <w:p>
      <w:pPr>
        <w:pStyle w:val="Heading 2"/>
        <w:spacing w:before="240" w:after="120"/>
        <w:jc w:val="both"/>
      </w:pPr>
      <w:r>
        <w:rPr>
          <w:rStyle w:val="None"/>
          <w:rFonts w:ascii="Arial" w:hAnsi="Arial"/>
          <w:b w:val="1"/>
          <w:bCs w:val="1"/>
          <w:outline w:val="0"/>
          <w:color w:val="000000"/>
          <w:u w:color="000000"/>
          <w:rtl w:val="0"/>
          <w:lang w:val="en-US"/>
          <w14:textFill>
            <w14:solidFill>
              <w14:srgbClr w14:val="000000"/>
            </w14:solidFill>
          </w14:textFill>
        </w:rPr>
        <w:t>3.1 Pathway One: Present During Mixing</w:t>
      </w:r>
    </w:p>
    <w:p>
      <w:pPr>
        <w:pStyle w:val="Heading 2"/>
        <w:spacing w:before="240" w:after="120"/>
        <w:jc w:val="both"/>
      </w:pPr>
      <w:r>
        <w:rPr>
          <w:rStyle w:val="None"/>
          <w:rFonts w:ascii="Arial" w:hAnsi="Arial"/>
          <w:outline w:val="0"/>
          <w:color w:val="000000"/>
          <w:sz w:val="24"/>
          <w:szCs w:val="24"/>
          <w:u w:color="000000"/>
          <w:rtl w:val="0"/>
          <w:lang w:val="en-US"/>
          <w14:textFill>
            <w14:solidFill>
              <w14:srgbClr w14:val="000000"/>
            </w14:solidFill>
          </w14:textFill>
        </w:rPr>
        <w:t xml:space="preserve">Hawke (2026) proposes the organism was introduced during mixing, materials collection, or processing. If the organism was present during geopolymer concrete production, it was subjected to the mechanical shear forces required to homogenize volcanic aggregate, aluminosilicate precursor, and alkaline activator solution. These forces are sufficient to disintegrate a 0.18mm soft-bodied micro-arthropod with delicate antenna structures and segmented abdominal morphology. The pristine preservation that Hawke (2026) documents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 xml:space="preserve">and that constitutes its evidentiary value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is physically incompatible with survival through this process. The argument defeats itself: the better the preservation, the less plausible this pathway becomes. Hawke (2026) does not address this contradiction.</w:t>
      </w:r>
    </w:p>
    <w:p>
      <w:pPr>
        <w:pStyle w:val="Heading 2"/>
        <w:spacing w:before="240" w:after="120"/>
        <w:jc w:val="both"/>
      </w:pPr>
      <w:r>
        <w:rPr>
          <w:rStyle w:val="None"/>
          <w:rFonts w:ascii="Arial" w:hAnsi="Arial"/>
          <w:b w:val="1"/>
          <w:bCs w:val="1"/>
          <w:outline w:val="0"/>
          <w:color w:val="000000"/>
          <w:u w:color="000000"/>
          <w:rtl w:val="0"/>
          <w:lang w:val="en-US"/>
          <w14:textFill>
            <w14:solidFill>
              <w14:srgbClr w14:val="000000"/>
            </w14:solidFill>
          </w14:textFill>
        </w:rPr>
        <w:t>3.2 Pathway Two: Post-Construction Infiltration</w:t>
      </w:r>
    </w:p>
    <w:p>
      <w:pPr>
        <w:pStyle w:val="Heading 2"/>
        <w:spacing w:before="240" w:after="120"/>
        <w:jc w:val="both"/>
      </w:pPr>
      <w:r>
        <w:rPr>
          <w:rStyle w:val="None"/>
          <w:rFonts w:ascii="Arial" w:hAnsi="Arial"/>
          <w:outline w:val="0"/>
          <w:color w:val="000000"/>
          <w:sz w:val="24"/>
          <w:szCs w:val="24"/>
          <w:u w:color="000000"/>
          <w:rtl w:val="0"/>
          <w:lang w:val="en-US"/>
          <w14:textFill>
            <w14:solidFill>
              <w14:srgbClr w14:val="000000"/>
            </w14:solidFill>
          </w14:textFill>
        </w:rPr>
        <w:t xml:space="preserve">If the organism did not enter during mixing, it infiltrated after construction. This is not merely possible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it is the more parsimonious explanation given conditions documented within the study itself.</w:t>
      </w:r>
    </w:p>
    <w:p>
      <w:pPr>
        <w:pStyle w:val="Heading 2"/>
        <w:spacing w:before="240" w:after="120"/>
        <w:jc w:val="both"/>
      </w:pPr>
      <w:r>
        <w:rPr>
          <w:rStyle w:val="None"/>
          <w:rFonts w:ascii="Arial" w:hAnsi="Arial"/>
          <w:outline w:val="0"/>
          <w:color w:val="000000"/>
          <w:sz w:val="24"/>
          <w:szCs w:val="24"/>
          <w:u w:color="000000"/>
          <w:rtl w:val="0"/>
          <w:lang w:val="en-US"/>
          <w14:textFill>
            <w14:solidFill>
              <w14:srgbClr w14:val="000000"/>
            </w14:solidFill>
          </w14:textFill>
        </w:rPr>
        <w:t xml:space="preserve">Sample 2B was collected from a lower masonry course at ground level at Huaca Sapantiana. The organism is identified as a soil-dwelling micro-arthropod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resident in the substrate immediately surrounding the wall base from which the sample was taken.</w:t>
      </w:r>
    </w:p>
    <w:p>
      <w:pPr>
        <w:pStyle w:val="Heading 2"/>
        <w:spacing w:before="240" w:after="120"/>
        <w:jc w:val="both"/>
      </w:pPr>
      <w:r>
        <w:rPr>
          <w:rStyle w:val="None"/>
          <w:rFonts w:ascii="Arial" w:hAnsi="Arial"/>
          <w:outline w:val="0"/>
          <w:color w:val="000000"/>
          <w:sz w:val="24"/>
          <w:szCs w:val="24"/>
          <w:u w:color="000000"/>
          <w:rtl w:val="0"/>
          <w:lang w:val="en-US"/>
          <w14:textFill>
            <w14:solidFill>
              <w14:srgbClr w14:val="000000"/>
            </w14:solidFill>
          </w14:textFill>
        </w:rPr>
        <w:t xml:space="preserve">The pore network that Hawke (2026) presents as positive evidence of geopolymer origin is simultaneously the infiltration pathway. The study calculates a radon emanation coefficient of 98.7% for the Qorikancha masonry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virtually the entire radon inventory escapes through the interconnected pore network. A material so permeable it cannot retain an inert noble gas cannot be presented as impenetrable to biological infiltration over five centuries. These two claims are in direct tension with each other within the same study.</w:t>
      </w:r>
    </w:p>
    <w:p>
      <w:pPr>
        <w:pStyle w:val="Heading 2"/>
        <w:spacing w:before="240" w:after="120"/>
        <w:jc w:val="both"/>
      </w:pPr>
      <w:r>
        <w:rPr>
          <w:rStyle w:val="None"/>
          <w:rFonts w:ascii="Arial" w:hAnsi="Arial"/>
          <w:outline w:val="0"/>
          <w:color w:val="000000"/>
          <w:sz w:val="24"/>
          <w:szCs w:val="24"/>
          <w:u w:color="000000"/>
          <w:rtl w:val="0"/>
          <w:lang w:val="en-US"/>
          <w14:textFill>
            <w14:solidFill>
              <w14:srgbClr w14:val="000000"/>
            </w14:solidFill>
          </w14:textFill>
        </w:rPr>
        <w:t xml:space="preserve">Over centuries, moisture cycling through the porous matrix would carry soil organisms progressively deeper into the stone. The organism's chitinous exoskeleton, once within an alkaline silicate environment, would undergo permineralization through silica replacement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 xml:space="preserve">the same process Hawke (2026) describes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a phenomenon documented in natural tuff deposits, limestone, and diagenetically altered porous volcanic stone worldwide, without any requirement for anthropogenic manufacture (Selden &amp; Colbert, 2021). The SEM documentation of seamless encapsulation does not exclude this pathway; seamless encapsulation by secondary mineral precipitation would occur regardless of when the organism entered.</w:t>
      </w:r>
    </w:p>
    <w:p>
      <w:pPr>
        <w:pStyle w:val="Heading 2"/>
        <w:spacing w:before="240" w:after="120"/>
        <w:jc w:val="both"/>
      </w:pPr>
    </w:p>
    <w:p>
      <w:pPr>
        <w:pStyle w:val="Heading 2"/>
        <w:spacing w:before="240" w:after="120"/>
        <w:jc w:val="both"/>
      </w:pPr>
    </w:p>
    <w:p>
      <w:pPr>
        <w:pStyle w:val="Heading 2"/>
        <w:spacing w:before="240" w:after="120"/>
        <w:jc w:val="both"/>
      </w:pPr>
    </w:p>
    <w:p>
      <w:pPr>
        <w:pStyle w:val="Heading 2"/>
        <w:spacing w:before="240" w:after="120"/>
        <w:jc w:val="both"/>
      </w:pPr>
    </w:p>
    <w:p>
      <w:pPr>
        <w:pStyle w:val="Heading 2"/>
        <w:spacing w:before="240" w:after="120"/>
        <w:jc w:val="both"/>
      </w:pPr>
      <w:r>
        <w:rPr>
          <w:rStyle w:val="None"/>
          <w:rFonts w:ascii="Arial" w:hAnsi="Arial"/>
          <w:b w:val="1"/>
          <w:bCs w:val="1"/>
          <w:outline w:val="0"/>
          <w:color w:val="000000"/>
          <w:u w:color="000000"/>
          <w:rtl w:val="0"/>
          <w:lang w:val="en-US"/>
          <w14:textFill>
            <w14:solidFill>
              <w14:srgbClr w14:val="000000"/>
            </w14:solidFill>
          </w14:textFill>
        </w:rPr>
        <w:t>3.3 The Logical Structure</w:t>
      </w:r>
    </w:p>
    <w:p>
      <w:pPr>
        <w:pStyle w:val="Heading 2"/>
        <w:spacing w:before="240" w:after="120"/>
        <w:jc w:val="both"/>
      </w:pPr>
      <w:r>
        <w:rPr>
          <w:rStyle w:val="None"/>
          <w:rFonts w:ascii="Arial" w:hAnsi="Arial"/>
          <w:outline w:val="0"/>
          <w:color w:val="000000"/>
          <w:sz w:val="24"/>
          <w:szCs w:val="24"/>
          <w:u w:color="000000"/>
          <w:rtl w:val="0"/>
          <w:lang w:val="en-US"/>
          <w14:textFill>
            <w14:solidFill>
              <w14:srgbClr w14:val="000000"/>
            </w14:solidFill>
          </w14:textFill>
        </w:rPr>
        <w:t>The two pathways are mutually exhaustive:</w:t>
      </w:r>
    </w:p>
    <w:p>
      <w:pPr>
        <w:pStyle w:val="List Paragraph"/>
        <w:numPr>
          <w:ilvl w:val="0"/>
          <w:numId w:val="2"/>
        </w:numPr>
        <w:bidi w:val="0"/>
        <w:spacing w:after="120"/>
        <w:ind w:right="0"/>
        <w:jc w:val="both"/>
        <w:rPr>
          <w:sz w:val="24"/>
          <w:szCs w:val="24"/>
          <w:rtl w:val="0"/>
          <w:lang w:val="en-US"/>
        </w:rPr>
      </w:pPr>
      <w:r>
        <w:rPr>
          <w:rStyle w:val="None"/>
          <w:rFonts w:ascii="Arial" w:hAnsi="Arial"/>
          <w:outline w:val="0"/>
          <w:color w:val="000000"/>
          <w:sz w:val="24"/>
          <w:szCs w:val="24"/>
          <w:u w:color="000000"/>
          <w:rtl w:val="0"/>
          <w:lang w:val="en-US"/>
          <w14:textFill>
            <w14:solidFill>
              <w14:srgbClr w14:val="000000"/>
            </w14:solidFill>
          </w14:textFill>
        </w:rPr>
        <w:t xml:space="preserve">Pathway One: organism present during casting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mechanical forces preclude the documented preservation. Physically inconsistent.</w:t>
      </w:r>
    </w:p>
    <w:p>
      <w:pPr>
        <w:pStyle w:val="List Paragraph"/>
        <w:numPr>
          <w:ilvl w:val="0"/>
          <w:numId w:val="2"/>
        </w:numPr>
        <w:bidi w:val="0"/>
        <w:spacing w:after="120"/>
        <w:ind w:right="0"/>
        <w:jc w:val="both"/>
        <w:rPr>
          <w:sz w:val="24"/>
          <w:szCs w:val="24"/>
          <w:rtl w:val="0"/>
          <w:lang w:val="en-US"/>
        </w:rPr>
      </w:pPr>
      <w:r>
        <w:rPr>
          <w:rStyle w:val="None"/>
          <w:rFonts w:ascii="Arial" w:hAnsi="Arial"/>
          <w:outline w:val="0"/>
          <w:color w:val="000000"/>
          <w:sz w:val="24"/>
          <w:szCs w:val="24"/>
          <w:u w:color="000000"/>
          <w:rtl w:val="0"/>
          <w:lang w:val="en-US"/>
          <w14:textFill>
            <w14:solidFill>
              <w14:srgbClr w14:val="000000"/>
            </w14:solidFill>
          </w14:textFill>
        </w:rPr>
        <w:t xml:space="preserve">Pathway Two: organism infiltrated post-construction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entered through the porous matrix from surrounding soil. Carries no information about the manufacturing process.</w:t>
      </w:r>
    </w:p>
    <w:p>
      <w:pPr>
        <w:pStyle w:val="List Paragraph"/>
        <w:spacing w:after="120"/>
        <w:jc w:val="both"/>
      </w:pPr>
      <w:r>
        <w:rPr>
          <w:rStyle w:val="None"/>
          <w:rFonts w:ascii="Arial" w:hAnsi="Arial"/>
          <w:outline w:val="0"/>
          <w:color w:val="000000"/>
          <w:sz w:val="24"/>
          <w:szCs w:val="24"/>
          <w:u w:color="000000"/>
          <w:rtl w:val="0"/>
          <w:lang w:val="en-US"/>
          <w14:textFill>
            <w14:solidFill>
              <w14:srgbClr w14:val="000000"/>
            </w14:solidFill>
          </w14:textFill>
        </w:rPr>
        <w:t>There is no third pathway. The biosignature therefore provides no discriminating support for geopolymer manufacture over natural process alternatives. This conclusion does not require laboratory analysis. It follows from the logical structure of the available pathways and from conditions the study itself documents. Naming an observation a definitive biosignature does not make it one.</w:t>
      </w:r>
    </w:p>
    <w:p>
      <w:pPr>
        <w:pStyle w:val="Heading 2"/>
        <w:spacing w:before="240" w:after="120"/>
        <w:jc w:val="both"/>
      </w:pPr>
      <w:r>
        <w:rPr>
          <w:rStyle w:val="None"/>
          <w:rFonts w:ascii="Arial" w:hAnsi="Arial"/>
          <w:b w:val="1"/>
          <w:bCs w:val="1"/>
          <w:outline w:val="0"/>
          <w:color w:val="000000"/>
          <w:u w:color="000000"/>
          <w:rtl w:val="0"/>
          <w:lang w:val="en-US"/>
          <w14:textFill>
            <w14:solidFill>
              <w14:srgbClr w14:val="000000"/>
            </w14:solidFill>
          </w14:textFill>
        </w:rPr>
        <w:t>3.4 The Scope of the Negative Proof</w:t>
      </w:r>
    </w:p>
    <w:p>
      <w:pPr>
        <w:pStyle w:val="Heading 2"/>
        <w:spacing w:before="240" w:after="120"/>
        <w:jc w:val="both"/>
      </w:pPr>
      <w:r>
        <w:rPr>
          <w:rStyle w:val="None"/>
          <w:rFonts w:ascii="Arial" w:hAnsi="Arial"/>
          <w:outline w:val="0"/>
          <w:color w:val="000000"/>
          <w:sz w:val="24"/>
          <w:szCs w:val="24"/>
          <w:u w:color="000000"/>
          <w:rtl w:val="0"/>
          <w:lang w:val="en-US"/>
          <w14:textFill>
            <w14:solidFill>
              <w14:srgbClr w14:val="000000"/>
            </w14:solidFill>
          </w14:textFill>
        </w:rPr>
        <w:t xml:space="preserve">The absence of carbonization excludes high-temperature volcanic origin. It does not exclude any ambient-temperature geological process. Micro-arthropods are preserved in natural tuff deposits, sedimentary cementation, and diagenetically hardened porous volcanic stone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all ambient-temperature processes producing morphologically intact biological inclusions. The claim that the absence of carbonization distinguishes geopolymer concrete from natural stone formation is incorrect. It distinguishes any ambient-temperature process from volcanic igneous formation. Geopolymer concrete is one such process. Natural diagenesis is another. The observation cannot separate them.</w:t>
      </w:r>
    </w:p>
    <w:p>
      <w:pPr>
        <w:pStyle w:val="Heading 2"/>
        <w:spacing w:before="240" w:after="120"/>
        <w:jc w:val="both"/>
      </w:pPr>
      <w:r>
        <w:rPr>
          <w:rStyle w:val="None"/>
          <w:rFonts w:ascii="Arial" w:hAnsi="Arial"/>
          <w:b w:val="1"/>
          <w:bCs w:val="1"/>
          <w:outline w:val="0"/>
          <w:color w:val="000000"/>
          <w:u w:color="000000"/>
          <w:rtl w:val="0"/>
          <w:lang w:val="en-US"/>
          <w14:textFill>
            <w14:solidFill>
              <w14:srgbClr w14:val="000000"/>
            </w14:solidFill>
          </w14:textFill>
        </w:rPr>
        <w:t>3.5 What Was Not Done</w:t>
      </w:r>
    </w:p>
    <w:p>
      <w:pPr>
        <w:pStyle w:val="Heading 2"/>
        <w:spacing w:before="240" w:after="120"/>
        <w:jc w:val="both"/>
      </w:pPr>
      <w:r>
        <w:rPr>
          <w:rStyle w:val="None"/>
          <w:rFonts w:ascii="Arial" w:hAnsi="Arial"/>
          <w:outline w:val="0"/>
          <w:color w:val="000000"/>
          <w:sz w:val="24"/>
          <w:szCs w:val="24"/>
          <w:u w:color="000000"/>
          <w:rtl w:val="0"/>
          <w:lang w:val="en-US"/>
          <w14:textFill>
            <w14:solidFill>
              <w14:srgbClr w14:val="000000"/>
            </w14:solidFill>
          </w14:textFill>
        </w:rPr>
        <w:t>The biosignature claim required the following, none of which Hawke (2026) provides:</w:t>
      </w:r>
    </w:p>
    <w:p>
      <w:pPr>
        <w:pStyle w:val="List Paragraph"/>
        <w:numPr>
          <w:ilvl w:val="0"/>
          <w:numId w:val="2"/>
        </w:numPr>
        <w:bidi w:val="0"/>
        <w:spacing w:after="120"/>
        <w:ind w:right="0"/>
        <w:jc w:val="both"/>
        <w:rPr>
          <w:sz w:val="24"/>
          <w:szCs w:val="24"/>
          <w:rtl w:val="0"/>
          <w:lang w:val="en-US"/>
        </w:rPr>
      </w:pPr>
      <w:r>
        <w:rPr>
          <w:rStyle w:val="None"/>
          <w:rFonts w:ascii="Arial" w:hAnsi="Arial"/>
          <w:outline w:val="0"/>
          <w:color w:val="000000"/>
          <w:sz w:val="24"/>
          <w:szCs w:val="24"/>
          <w:u w:color="000000"/>
          <w:rtl w:val="0"/>
          <w:lang w:val="en-US"/>
          <w14:textFill>
            <w14:solidFill>
              <w14:srgbClr w14:val="000000"/>
            </w14:solidFill>
          </w14:textFill>
        </w:rPr>
        <w:t>Carbon-14 AMS dating of the organic material to establish whether the organism's age is consistent with the Inca construction period or with post-construction infiltration. Hawke (2026) acknowledges this is necessary but published without it.</w:t>
      </w:r>
    </w:p>
    <w:p>
      <w:pPr>
        <w:pStyle w:val="List Paragraph"/>
        <w:numPr>
          <w:ilvl w:val="0"/>
          <w:numId w:val="2"/>
        </w:numPr>
        <w:bidi w:val="0"/>
        <w:spacing w:after="120"/>
        <w:ind w:right="0"/>
        <w:jc w:val="both"/>
        <w:rPr>
          <w:sz w:val="24"/>
          <w:szCs w:val="24"/>
          <w:rtl w:val="0"/>
          <w:lang w:val="en-US"/>
        </w:rPr>
      </w:pPr>
      <w:r>
        <w:rPr>
          <w:rStyle w:val="None"/>
          <w:rFonts w:ascii="Arial" w:hAnsi="Arial"/>
          <w:outline w:val="0"/>
          <w:color w:val="000000"/>
          <w:sz w:val="24"/>
          <w:szCs w:val="24"/>
          <w:u w:color="000000"/>
          <w:rtl w:val="0"/>
          <w:lang w:val="en-US"/>
          <w14:textFill>
            <w14:solidFill>
              <w14:srgbClr w14:val="000000"/>
            </w14:solidFill>
          </w14:textFill>
        </w:rPr>
        <w:t xml:space="preserve">Depth documentation establishing the organism's position relative to surfaces, fracture planes, and pore network pathways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the variables that determine whether natural infiltration over centuries is a viable explanation.</w:t>
      </w:r>
    </w:p>
    <w:p>
      <w:pPr>
        <w:pStyle w:val="List Paragraph"/>
        <w:numPr>
          <w:ilvl w:val="0"/>
          <w:numId w:val="2"/>
        </w:numPr>
        <w:bidi w:val="0"/>
        <w:spacing w:after="120"/>
        <w:ind w:right="0"/>
        <w:jc w:val="both"/>
        <w:rPr>
          <w:sz w:val="24"/>
          <w:szCs w:val="24"/>
          <w:rtl w:val="0"/>
          <w:lang w:val="en-US"/>
        </w:rPr>
      </w:pPr>
      <w:r>
        <w:rPr>
          <w:rStyle w:val="None"/>
          <w:rFonts w:ascii="Arial" w:hAnsi="Arial"/>
          <w:outline w:val="0"/>
          <w:color w:val="000000"/>
          <w:sz w:val="24"/>
          <w:szCs w:val="24"/>
          <w:u w:color="000000"/>
          <w:rtl w:val="0"/>
          <w:lang w:val="en-US"/>
          <w14:textFill>
            <w14:solidFill>
              <w14:srgbClr w14:val="000000"/>
            </w14:solidFill>
          </w14:textFill>
        </w:rPr>
        <w:t>Wall height documentation. The infiltration probability of a soil-dwelling organism is not uniform across wall height. Sample 2B at ground level carries a categorically different infiltration probability than the same sample from ten meters above grade. This variable is unrecorded.</w:t>
      </w:r>
    </w:p>
    <w:p>
      <w:pPr>
        <w:pStyle w:val="List Paragraph"/>
        <w:numPr>
          <w:ilvl w:val="0"/>
          <w:numId w:val="2"/>
        </w:numPr>
        <w:bidi w:val="0"/>
        <w:spacing w:after="120"/>
        <w:ind w:right="0"/>
        <w:jc w:val="both"/>
        <w:rPr>
          <w:sz w:val="24"/>
          <w:szCs w:val="24"/>
          <w:rtl w:val="0"/>
          <w:lang w:val="en-US"/>
        </w:rPr>
      </w:pPr>
      <w:r>
        <w:rPr>
          <w:rStyle w:val="None"/>
          <w:rFonts w:ascii="Arial" w:hAnsi="Arial"/>
          <w:outline w:val="0"/>
          <w:color w:val="000000"/>
          <w:sz w:val="24"/>
          <w:szCs w:val="24"/>
          <w:u w:color="000000"/>
          <w:rtl w:val="0"/>
          <w:lang w:val="en-US"/>
          <w14:textFill>
            <w14:solidFill>
              <w14:srgbClr w14:val="000000"/>
            </w14:solidFill>
          </w14:textFill>
        </w:rPr>
        <w:t>Fracture network mapping relative to the organism's position. The sample was obtained from a naturally broken piece of masonry. Pre-existing fracture planes constitute the most probable infiltration pathway and their relationship to the organism is unassessed.</w:t>
      </w:r>
    </w:p>
    <w:p>
      <w:pPr>
        <w:pStyle w:val="List Paragraph"/>
        <w:spacing w:after="120"/>
        <w:jc w:val="both"/>
      </w:pPr>
      <w:r>
        <w:rPr>
          <w:rStyle w:val="None"/>
          <w:rFonts w:ascii="Arial" w:hAnsi="Arial"/>
          <w:outline w:val="0"/>
          <w:color w:val="000000"/>
          <w:sz w:val="24"/>
          <w:szCs w:val="24"/>
          <w:u w:color="000000"/>
          <w:rtl w:val="0"/>
          <w:lang w:val="en-US"/>
          <w14:textFill>
            <w14:solidFill>
              <w14:srgbClr w14:val="000000"/>
            </w14:solidFill>
          </w14:textFill>
        </w:rPr>
        <w:t>A finding presented as definitive required none of the documentation necessary to make it so.</w:t>
      </w:r>
    </w:p>
    <w:p>
      <w:pPr>
        <w:pStyle w:val="Heading"/>
        <w:spacing w:before="320" w:after="160"/>
        <w:jc w:val="both"/>
      </w:pPr>
      <w:r>
        <w:rPr>
          <w:rStyle w:val="None"/>
          <w:rFonts w:ascii="Arial" w:hAnsi="Arial"/>
          <w:b w:val="1"/>
          <w:bCs w:val="1"/>
          <w:outline w:val="0"/>
          <w:color w:val="000000"/>
          <w:sz w:val="28"/>
          <w:szCs w:val="28"/>
          <w:u w:color="000000"/>
          <w:rtl w:val="0"/>
          <w:lang w:val="en-US"/>
          <w14:textFill>
            <w14:solidFill>
              <w14:srgbClr w14:val="000000"/>
            </w14:solidFill>
          </w14:textFill>
        </w:rPr>
        <w:t>4. The Geochemical Signatures: Anomalies, Not Evidence</w:t>
      </w:r>
    </w:p>
    <w:p>
      <w:pPr>
        <w:pStyle w:val="Heading 2"/>
        <w:spacing w:before="240" w:after="120"/>
        <w:jc w:val="both"/>
        <w:rPr>
          <w:lang w:val="de-DE"/>
        </w:rPr>
      </w:pPr>
      <w:r>
        <w:rPr>
          <w:rStyle w:val="None"/>
          <w:rFonts w:ascii="Arial" w:hAnsi="Arial"/>
          <w:b w:val="1"/>
          <w:bCs w:val="1"/>
          <w:outline w:val="0"/>
          <w:color w:val="000000"/>
          <w:u w:color="000000"/>
          <w:rtl w:val="0"/>
          <w:lang w:val="de-DE"/>
          <w14:textFill>
            <w14:solidFill>
              <w14:srgbClr w14:val="000000"/>
            </w14:solidFill>
          </w14:textFill>
        </w:rPr>
        <w:t>4.1 Chlorine Enrichment</w:t>
      </w:r>
    </w:p>
    <w:p>
      <w:pPr>
        <w:pStyle w:val="Heading 2"/>
        <w:spacing w:before="240" w:after="120"/>
        <w:jc w:val="both"/>
      </w:pPr>
      <w:r>
        <w:rPr>
          <w:rStyle w:val="None"/>
          <w:rFonts w:ascii="Arial" w:hAnsi="Arial"/>
          <w:outline w:val="0"/>
          <w:color w:val="000000"/>
          <w:sz w:val="24"/>
          <w:szCs w:val="24"/>
          <w:u w:color="000000"/>
          <w:rtl w:val="0"/>
          <w:lang w:val="en-US"/>
          <w14:textFill>
            <w14:solidFill>
              <w14:srgbClr w14:val="000000"/>
            </w14:solidFill>
          </w14:textFill>
        </w:rPr>
        <w:t xml:space="preserve">The 52-70x chlorine enrichment above natural andesite baseline is the most numerically striking result in Hawke (2026). It is also the result most dependent on analytical method. The enrichment is recorded at EDS analytical depth of 1-2 micrometers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the outermost surface of the samples.</w:t>
      </w:r>
    </w:p>
    <w:p>
      <w:pPr>
        <w:pStyle w:val="Heading 2"/>
        <w:spacing w:before="240" w:after="120"/>
        <w:jc w:val="both"/>
      </w:pPr>
      <w:r>
        <w:rPr>
          <w:rStyle w:val="None"/>
          <w:rFonts w:ascii="Arial" w:hAnsi="Arial"/>
          <w:outline w:val="0"/>
          <w:color w:val="000000"/>
          <w:sz w:val="24"/>
          <w:szCs w:val="24"/>
          <w:u w:color="000000"/>
          <w:rtl w:val="0"/>
          <w:lang w:val="en-US"/>
          <w14:textFill>
            <w14:solidFill>
              <w14:srgbClr w14:val="000000"/>
            </w14:solidFill>
          </w14:textFill>
        </w:rPr>
        <w:t xml:space="preserve">Qorikancha was the most sacred temple in the Inca empire, in continuous ritual use for centuries and subsequently occupied by Spanish colonizers for over four hundred years. The temple has been exposed to human contact, salt spray, atmospheric deposition, ritual substances, and urban environmental chemistry throughout this period. Progressive internal migration of soluble chloride ions through the highly porous matrix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 xml:space="preserve">the same transport mechanism driving the efflorescence the study documents at scale across the masonry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cannot be excluded as the source of surface enrichment at this analytical depth. Bulk XRF analysis of larger interior samples with intact quarry baseline comparisons would be required to establish that the chlorine enrichment reflects original composition rather than post-construction ion migration. That analysis was not performed.</w:t>
      </w:r>
    </w:p>
    <w:p>
      <w:pPr>
        <w:pStyle w:val="Heading 2"/>
        <w:spacing w:before="240" w:after="120"/>
        <w:jc w:val="both"/>
      </w:pPr>
      <w:r>
        <w:rPr>
          <w:rStyle w:val="None"/>
          <w:rFonts w:ascii="Arial" w:hAnsi="Arial"/>
          <w:b w:val="1"/>
          <w:bCs w:val="1"/>
          <w:outline w:val="0"/>
          <w:color w:val="000000"/>
          <w:u w:color="000000"/>
          <w:rtl w:val="0"/>
          <w:lang w:val="en-US"/>
          <w14:textFill>
            <w14:solidFill>
              <w14:srgbClr w14:val="000000"/>
            </w14:solidFill>
          </w14:textFill>
        </w:rPr>
        <w:t>4.2 Si/Al Ratios and Amorphous Microstructure</w:t>
      </w:r>
    </w:p>
    <w:p>
      <w:pPr>
        <w:pStyle w:val="Heading 2"/>
        <w:spacing w:before="240" w:after="120"/>
        <w:jc w:val="both"/>
      </w:pPr>
      <w:r>
        <w:rPr>
          <w:rStyle w:val="None"/>
          <w:rFonts w:ascii="Arial" w:hAnsi="Arial"/>
          <w:outline w:val="0"/>
          <w:color w:val="000000"/>
          <w:sz w:val="24"/>
          <w:szCs w:val="24"/>
          <w:u w:color="000000"/>
          <w:rtl w:val="0"/>
          <w:lang w:val="en-US"/>
          <w14:textFill>
            <w14:solidFill>
              <w14:srgbClr w14:val="000000"/>
            </w14:solidFill>
          </w14:textFill>
        </w:rPr>
        <w:t>Si/Al molar ratios in the range of 2.17 to 3.12 fall within the geopolymer classification range defined by Davidovits (2008). They also fall within the composition range of naturally weathered volcanic tuff and aluminosilicate-rich materials undergoing hydrothermal alteration (Hay &amp; Sheppard, 2001). The SEM amorphous microstructure is consistent with geopolymer binder and equally consistent with naturally altered volcanic material, clay mortar matrix, and diagenetically modified porous stone. Neither the Si/Al ratios nor the SEM microstructure discriminates between these alternatives. Thin-section polarized light microscopy and X-ray diffraction would provide discrimination. Neither was performed.</w:t>
      </w:r>
    </w:p>
    <w:p>
      <w:pPr>
        <w:pStyle w:val="Heading 2"/>
        <w:spacing w:before="240" w:after="120"/>
        <w:jc w:val="both"/>
      </w:pPr>
      <w:r>
        <w:rPr>
          <w:rStyle w:val="None"/>
          <w:rFonts w:ascii="Arial" w:hAnsi="Arial"/>
          <w:b w:val="1"/>
          <w:bCs w:val="1"/>
          <w:outline w:val="0"/>
          <w:color w:val="000000"/>
          <w:u w:color="000000"/>
          <w:rtl w:val="0"/>
          <w:lang w:val="en-US"/>
          <w14:textFill>
            <w14:solidFill>
              <w14:srgbClr w14:val="000000"/>
            </w14:solidFill>
          </w14:textFill>
        </w:rPr>
        <w:t>4.3 Radiometric Results</w:t>
      </w:r>
    </w:p>
    <w:p>
      <w:pPr>
        <w:pStyle w:val="Heading 2"/>
        <w:spacing w:before="240" w:after="120"/>
        <w:jc w:val="both"/>
      </w:pPr>
      <w:r>
        <w:rPr>
          <w:rStyle w:val="None"/>
          <w:rFonts w:ascii="Arial" w:hAnsi="Arial"/>
          <w:outline w:val="0"/>
          <w:color w:val="000000"/>
          <w:sz w:val="24"/>
          <w:szCs w:val="24"/>
          <w:u w:color="000000"/>
          <w:rtl w:val="0"/>
          <w:lang w:val="en-US"/>
          <w14:textFill>
            <w14:solidFill>
              <w14:srgbClr w14:val="000000"/>
            </w14:solidFill>
          </w14:textFill>
        </w:rPr>
        <w:t>The Th/U mass ratio calculations and the radon emanation coefficient of 98.7% are derived from a Radiacode-103 CsI(Tl) scintillator. Published characterization of this instrument class indicates energy resolution of approximately 8-9% FWHM at 662 keV (Knoll, 2000). The photopeak isolation at 238.6 keV, 351.9 keV, and 63.3 keV required for the calculations presented in Hawke (2026) is at or beyond the resolution limits of this instrument class. High-purity germanium spectroscopy, with energy resolution of approximately 0.2% FWHM at 662 keV, is the standard tool for this level of isotopic discrimination. The radiometric results as presented require replication with adequate instrumentation before being cited as evidence of any kind.</w:t>
      </w:r>
    </w:p>
    <w:p>
      <w:pPr>
        <w:pStyle w:val="Heading 2"/>
        <w:spacing w:before="240" w:after="120"/>
        <w:jc w:val="both"/>
        <w:rPr>
          <w:lang w:val="it-IT"/>
        </w:rPr>
      </w:pPr>
      <w:r>
        <w:rPr>
          <w:rStyle w:val="None"/>
          <w:rFonts w:ascii="Arial" w:hAnsi="Arial"/>
          <w:b w:val="1"/>
          <w:bCs w:val="1"/>
          <w:outline w:val="0"/>
          <w:color w:val="000000"/>
          <w:u w:color="000000"/>
          <w:rtl w:val="0"/>
          <w:lang w:val="it-IT"/>
          <w14:textFill>
            <w14:solidFill>
              <w14:srgbClr w14:val="000000"/>
            </w14:solidFill>
          </w14:textFill>
        </w:rPr>
        <w:t>4.4 Efflorescence and UV Fluorescence</w:t>
      </w:r>
    </w:p>
    <w:p>
      <w:pPr>
        <w:pStyle w:val="Heading 2"/>
        <w:spacing w:before="240" w:after="120"/>
        <w:jc w:val="both"/>
      </w:pPr>
      <w:r>
        <w:rPr>
          <w:rStyle w:val="None"/>
          <w:rFonts w:ascii="Arial" w:hAnsi="Arial"/>
          <w:outline w:val="0"/>
          <w:color w:val="000000"/>
          <w:sz w:val="24"/>
          <w:szCs w:val="24"/>
          <w:u w:color="000000"/>
          <w:rtl w:val="0"/>
          <w:lang w:val="en-US"/>
          <w14:textFill>
            <w14:solidFill>
              <w14:srgbClr w14:val="000000"/>
            </w14:solidFill>
          </w14:textFill>
        </w:rPr>
        <w:t>The efflorescence documented throughout the exterior masonry of Qorikancha, Sacsayhuaman, and Inca Roca Palace is presented as a hallmark of alkali-rich geopolymer leaching. Efflorescence is equally a well-documented weathering product of porous volcanic stone in high-rainfall environments, produced by dissolved mineral migration to surfaces through capillary action and crystallization on evaporation (Winkler, 1994). Cusco receives concentrated seasonal rainfall at 3,400 meters elevation across five centuries. The UV fluorescence attributed to rare-earth element mobilization within a geopolymer binder is also produced by natural silica gels, secondary carbonates, and biogenic minerals under 365nm illumination. Neither observation discriminates between the proposed hypothesis and its natural alternatives.</w:t>
      </w:r>
    </w:p>
    <w:p>
      <w:pPr>
        <w:pStyle w:val="Heading"/>
        <w:spacing w:before="320" w:after="160"/>
        <w:jc w:val="both"/>
      </w:pPr>
      <w:r>
        <w:rPr>
          <w:rStyle w:val="None"/>
          <w:rFonts w:ascii="Arial" w:hAnsi="Arial"/>
          <w:b w:val="1"/>
          <w:bCs w:val="1"/>
          <w:outline w:val="0"/>
          <w:color w:val="000000"/>
          <w:sz w:val="28"/>
          <w:szCs w:val="28"/>
          <w:u w:color="000000"/>
          <w:rtl w:val="0"/>
          <w:lang w:val="en-US"/>
          <w14:textFill>
            <w14:solidFill>
              <w14:srgbClr w14:val="000000"/>
            </w14:solidFill>
          </w14:textFill>
        </w:rPr>
        <w:t>5. Morphological Observations: Consistent With, Not Evidence For</w:t>
      </w:r>
    </w:p>
    <w:p>
      <w:pPr>
        <w:pStyle w:val="Heading 2"/>
        <w:spacing w:before="240" w:after="120"/>
        <w:jc w:val="both"/>
      </w:pPr>
      <w:r>
        <w:rPr>
          <w:rStyle w:val="None"/>
          <w:rFonts w:ascii="Arial" w:hAnsi="Arial"/>
          <w:b w:val="1"/>
          <w:bCs w:val="1"/>
          <w:outline w:val="0"/>
          <w:color w:val="000000"/>
          <w:u w:color="000000"/>
          <w:rtl w:val="0"/>
          <w:lang w:val="en-US"/>
          <w14:textFill>
            <w14:solidFill>
              <w14:srgbClr w14:val="000000"/>
            </w14:solidFill>
          </w14:textFill>
        </w:rPr>
        <w:t>5.1 Pillowed Block Morphology</w:t>
      </w:r>
    </w:p>
    <w:p>
      <w:pPr>
        <w:pStyle w:val="Heading 2"/>
        <w:spacing w:before="240" w:after="120"/>
        <w:jc w:val="both"/>
      </w:pPr>
      <w:r>
        <w:rPr>
          <w:rStyle w:val="None"/>
          <w:rFonts w:ascii="Arial" w:hAnsi="Arial"/>
          <w:outline w:val="0"/>
          <w:color w:val="000000"/>
          <w:sz w:val="24"/>
          <w:szCs w:val="24"/>
          <w:u w:color="000000"/>
          <w:rtl w:val="0"/>
          <w:lang w:val="en-US"/>
          <w14:textFill>
            <w14:solidFill>
              <w14:srgbClr w14:val="000000"/>
            </w14:solidFill>
          </w14:textFill>
        </w:rPr>
        <w:t xml:space="preserve">The convex, pillowed faces of Sacsayhuaman blocks are attributed to gravitational slumping of wet concrete prior to cure. Spheroidal weathering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 xml:space="preserve">the differential erosion of corners and edges relative to planar faces through exposure on multiple surfaces simultaneously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produces an identical morphological result from natural stone over centuries (Twidale, 1982). At 3,400 meters elevation with pronounced wet-dry seasonality, freeze-thaw cycling, and biological weathering, spheroidal weathering is an active process in the Andean environment. The pillowed morphology is consistent with geopolymer slumping. It is equally consistent with differential weathering of carved stone over five centuries. No analysis in Hawke (2026) distinguishes between these origins.</w:t>
      </w:r>
    </w:p>
    <w:p>
      <w:pPr>
        <w:pStyle w:val="Heading 2"/>
        <w:spacing w:before="240" w:after="120"/>
        <w:jc w:val="both"/>
      </w:pPr>
      <w:r>
        <w:rPr>
          <w:rStyle w:val="None"/>
          <w:rFonts w:ascii="Arial" w:hAnsi="Arial"/>
          <w:b w:val="1"/>
          <w:bCs w:val="1"/>
          <w:outline w:val="0"/>
          <w:color w:val="000000"/>
          <w:u w:color="000000"/>
          <w:rtl w:val="0"/>
          <w:lang w:val="en-US"/>
          <w14:textFill>
            <w14:solidFill>
              <w14:srgbClr w14:val="000000"/>
            </w14:solidFill>
          </w14:textFill>
        </w:rPr>
        <w:t>5.2 Trowel Marks and Flow Patterns</w:t>
      </w:r>
    </w:p>
    <w:p>
      <w:pPr>
        <w:pStyle w:val="Heading 2"/>
        <w:spacing w:before="240" w:after="120"/>
        <w:jc w:val="both"/>
      </w:pPr>
      <w:r>
        <w:rPr>
          <w:rStyle w:val="None"/>
          <w:rFonts w:ascii="Arial" w:hAnsi="Arial"/>
          <w:outline w:val="0"/>
          <w:color w:val="000000"/>
          <w:sz w:val="24"/>
          <w:szCs w:val="24"/>
          <w:u w:color="000000"/>
          <w:rtl w:val="0"/>
          <w:lang w:val="en-US"/>
          <w14:textFill>
            <w14:solidFill>
              <w14:srgbClr w14:val="000000"/>
            </w14:solidFill>
          </w14:textFill>
        </w:rPr>
        <w:t xml:space="preserve">Surface tool marks attributed to geopolymer concrete finishing are equally consistent with the surface working of soft freshly quarried volcanic tuff prior to atmospheric hardening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documented in ancient stoneworking traditions across the Andes and elsewhere (Protzen, 1985). The flow stratification patterns across doorway lintels, presented as evidence of simultaneous casting of adjacent blocks, are consistent with shared sedimentary banding in material quarried from the same geological formation and placed in adjacent positions. Neither observation requires geopolymer casting as its explanation.</w:t>
      </w:r>
    </w:p>
    <w:p>
      <w:pPr>
        <w:pStyle w:val="Heading 2"/>
        <w:spacing w:before="240" w:after="120"/>
        <w:jc w:val="both"/>
      </w:pPr>
      <w:r>
        <w:rPr>
          <w:rStyle w:val="None"/>
          <w:rFonts w:ascii="Arial" w:hAnsi="Arial"/>
          <w:b w:val="1"/>
          <w:bCs w:val="1"/>
          <w:outline w:val="0"/>
          <w:color w:val="000000"/>
          <w:u w:color="000000"/>
          <w:rtl w:val="0"/>
          <w:lang w:val="en-US"/>
          <w14:textFill>
            <w14:solidFill>
              <w14:srgbClr w14:val="000000"/>
            </w14:solidFill>
          </w14:textFill>
        </w:rPr>
        <w:t>5.3 Physical Protrusions</w:t>
      </w:r>
    </w:p>
    <w:p>
      <w:pPr>
        <w:pStyle w:val="Heading 2"/>
        <w:spacing w:before="240" w:after="120"/>
        <w:jc w:val="both"/>
      </w:pPr>
      <w:r>
        <w:rPr>
          <w:rStyle w:val="None"/>
          <w:rFonts w:ascii="Arial" w:hAnsi="Arial"/>
          <w:outline w:val="0"/>
          <w:color w:val="000000"/>
          <w:sz w:val="24"/>
          <w:szCs w:val="24"/>
          <w:u w:color="000000"/>
          <w:rtl w:val="0"/>
          <w:lang w:val="en-US"/>
          <w14:textFill>
            <w14:solidFill>
              <w14:srgbClr w14:val="000000"/>
            </w14:solidFill>
          </w14:textFill>
        </w:rPr>
        <w:t>The physical protrusions on masonry block faces, interpreted as syneresis-drainage ports, are equally interpretable as lifting bosses, natural concretions within the volcanic source material, or remnants of original quarry faces left as handling features. The gravitational bias toward block bases noted by Hawke (2026) is consistent with syneresis drainage and equally consistent with deformation under load of softer volcanic material or clay mortar during the setting of superimposed courses.</w:t>
      </w:r>
    </w:p>
    <w:p>
      <w:pPr>
        <w:pStyle w:val="Heading"/>
        <w:spacing w:before="320" w:after="160"/>
        <w:jc w:val="both"/>
      </w:pPr>
      <w:r>
        <w:rPr>
          <w:rStyle w:val="None"/>
          <w:rFonts w:ascii="Arial" w:hAnsi="Arial"/>
          <w:b w:val="1"/>
          <w:bCs w:val="1"/>
          <w:outline w:val="0"/>
          <w:color w:val="000000"/>
          <w:sz w:val="28"/>
          <w:szCs w:val="28"/>
          <w:u w:color="000000"/>
          <w:rtl w:val="0"/>
          <w:lang w:val="en-US"/>
          <w14:textFill>
            <w14:solidFill>
              <w14:srgbClr w14:val="000000"/>
            </w14:solidFill>
          </w14:textFill>
        </w:rPr>
        <w:t>6. The Natural Process Alternatives</w:t>
      </w:r>
    </w:p>
    <w:p>
      <w:pPr>
        <w:pStyle w:val="Heading"/>
        <w:spacing w:before="320" w:after="160"/>
        <w:jc w:val="both"/>
      </w:pPr>
      <w:r>
        <w:rPr>
          <w:rStyle w:val="None"/>
          <w:rFonts w:ascii="Arial" w:hAnsi="Arial"/>
          <w:outline w:val="0"/>
          <w:color w:val="000000"/>
          <w:sz w:val="24"/>
          <w:szCs w:val="24"/>
          <w:u w:color="000000"/>
          <w:rtl w:val="0"/>
          <w:lang w:val="en-US"/>
          <w14:textFill>
            <w14:solidFill>
              <w14:srgbClr w14:val="000000"/>
            </w14:solidFill>
          </w14:textFill>
        </w:rPr>
        <w:t xml:space="preserve">Each observation reported in Hawke (2026) is consistent with one or more natural processes operating in the Cusco geological and environmental context. These alternatives are not speculative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they are documented processes with documented outcomes.</w:t>
      </w:r>
    </w:p>
    <w:p>
      <w:pPr>
        <w:pStyle w:val="Heading"/>
        <w:spacing w:before="320" w:after="160"/>
        <w:jc w:val="both"/>
      </w:pPr>
      <w:r>
        <w:rPr>
          <w:rStyle w:val="None"/>
          <w:rFonts w:ascii="Arial" w:hAnsi="Arial"/>
          <w:outline w:val="0"/>
          <w:color w:val="000000"/>
          <w:sz w:val="24"/>
          <w:szCs w:val="24"/>
          <w:u w:color="000000"/>
          <w:rtl w:val="0"/>
          <w:lang w:val="en-US"/>
          <w14:textFill>
            <w14:solidFill>
              <w14:srgbClr w14:val="000000"/>
            </w14:solidFill>
          </w14:textFill>
        </w:rPr>
        <w:t xml:space="preserve">Natural geopolymerization of volcanic tuff and andesite through long-term contact with alkaline groundwater is a recognized geological phenomenon. Provis and van Deventer (2009) document that volcanic aluminosilicate materials in alkaline hydrothermal conditions can develop amorphous polymer networks, anomalous Si/Al ratios, and the efflorescence and secondary mineral precipitation characteristic of geopolymer systems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without deliberate synthesis. The Cusco basin provides the volcanic lithology, seasonal moisture input, and centuries of exposure that this process requires.</w:t>
      </w:r>
    </w:p>
    <w:p>
      <w:pPr>
        <w:pStyle w:val="Heading"/>
        <w:spacing w:before="320" w:after="160"/>
        <w:jc w:val="both"/>
      </w:pPr>
      <w:r>
        <w:rPr>
          <w:rStyle w:val="None"/>
          <w:rFonts w:ascii="Arial" w:hAnsi="Arial"/>
          <w:outline w:val="0"/>
          <w:color w:val="000000"/>
          <w:sz w:val="24"/>
          <w:szCs w:val="24"/>
          <w:u w:color="000000"/>
          <w:rtl w:val="0"/>
          <w:lang w:val="en-US"/>
          <w14:textFill>
            <w14:solidFill>
              <w14:srgbClr w14:val="000000"/>
            </w14:solidFill>
          </w14:textFill>
        </w:rPr>
        <w:t xml:space="preserve">Freshly quarried volcanic tuff undergoes significant post-extraction hardening through dehydration and mineral recrystallization, a phenomenon documented in ancient stone building traditions (Tindall &amp; Thornton, 1995). Material substantially more workable at quarry than current surface hardness indicates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 xml:space="preserve">combined with fire-setting for thermal fracturing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is consistent with the precision geometries of Inca stoneworking without requiring synthetic materials. Diagenetic alteration over five centuries in a humid Andean environment produces progressive chemical complexity that is not straightforwardly distinguishable from the signatures of original geopolymer manufacture at the analytical depths employed in Hawke (2026).</w:t>
      </w:r>
    </w:p>
    <w:p>
      <w:pPr>
        <w:pStyle w:val="Heading"/>
        <w:spacing w:before="320" w:after="160"/>
        <w:jc w:val="both"/>
      </w:pPr>
      <w:r>
        <w:rPr>
          <w:rStyle w:val="None"/>
          <w:rFonts w:ascii="Arial" w:hAnsi="Arial"/>
          <w:outline w:val="0"/>
          <w:color w:val="000000"/>
          <w:sz w:val="24"/>
          <w:szCs w:val="24"/>
          <w:u w:color="000000"/>
          <w:rtl w:val="0"/>
          <w:lang w:val="en-US"/>
          <w14:textFill>
            <w14:solidFill>
              <w14:srgbClr w14:val="000000"/>
            </w14:solidFill>
          </w14:textFill>
        </w:rPr>
        <w:t xml:space="preserve">Clay-based mineral mortar between carved stone blocks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 xml:space="preserve">referenced in the historical sources cited by Hawke (2026) as llancac-allpa (Garcilaso de la Vega, 1609)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is consistent with the joint characteristics, the variability in air bubble presence across wall sections, and the chemical anomalies at block interfaces. Progressive joint tightening through thermal cycling, mineral crystallization within the joint space, and seismic compression over five centuries is consistent with the interface tolerances observed today without requiring casting as their origin.</w:t>
      </w:r>
    </w:p>
    <w:p>
      <w:pPr>
        <w:pStyle w:val="Heading"/>
        <w:spacing w:before="320" w:after="160"/>
        <w:jc w:val="both"/>
      </w:pPr>
      <w:r>
        <w:rPr>
          <w:rStyle w:val="None"/>
          <w:rFonts w:ascii="Arial" w:hAnsi="Arial"/>
          <w:outline w:val="0"/>
          <w:color w:val="000000"/>
          <w:sz w:val="24"/>
          <w:szCs w:val="24"/>
          <w:u w:color="000000"/>
          <w:rtl w:val="0"/>
          <w:lang w:val="en-US"/>
          <w14:textFill>
            <w14:solidFill>
              <w14:srgbClr w14:val="000000"/>
            </w14:solidFill>
          </w14:textFill>
        </w:rPr>
        <w:t>Spheroidal weathering is consistent with pillowed block morphology. Secondary mineral precipitation from alkaline groundwater is consistent with efflorescence, UV fluorescence, and internal carbonate crystallization. Post-construction biological infiltration through a highly porous matrix is consistent with the micro-invertebrate. None of these alternatives is implausible in the Cusco context. None is addressed or excluded by Hawke (2026).</w:t>
      </w:r>
    </w:p>
    <w:p>
      <w:pPr>
        <w:pStyle w:val="Heading"/>
        <w:spacing w:before="320" w:after="160"/>
        <w:jc w:val="both"/>
      </w:pPr>
      <w:r>
        <w:rPr>
          <w:rStyle w:val="None"/>
          <w:rFonts w:ascii="Arial" w:hAnsi="Arial"/>
          <w:b w:val="1"/>
          <w:bCs w:val="1"/>
          <w:outline w:val="0"/>
          <w:color w:val="000000"/>
          <w:sz w:val="28"/>
          <w:szCs w:val="28"/>
          <w:u w:color="000000"/>
          <w:rtl w:val="0"/>
          <w:lang w:val="en-US"/>
          <w14:textFill>
            <w14:solidFill>
              <w14:srgbClr w14:val="000000"/>
            </w14:solidFill>
          </w14:textFill>
        </w:rPr>
        <w:t>7. What the Study Title Claims and What the Study Produces</w:t>
      </w:r>
    </w:p>
    <w:p>
      <w:pPr>
        <w:pStyle w:val="Heading"/>
        <w:spacing w:before="320" w:after="160"/>
        <w:jc w:val="both"/>
      </w:pPr>
      <w:r>
        <w:rPr>
          <w:rStyle w:val="None"/>
          <w:rFonts w:ascii="Arial" w:hAnsi="Arial"/>
          <w:outline w:val="0"/>
          <w:color w:val="000000"/>
          <w:sz w:val="24"/>
          <w:szCs w:val="24"/>
          <w:u w:color="000000"/>
          <w:rtl w:val="0"/>
          <w:lang w:val="en-US"/>
          <w14:textFill>
            <w14:solidFill>
              <w14:srgbClr w14:val="000000"/>
            </w14:solidFill>
          </w14:textFill>
        </w:rPr>
        <w:t xml:space="preserve">The title of Hawke (2026)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 xml:space="preserve">'Evidence of Geopolymer Concrete in Megalithic Architecture of Cusco, Peru'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makes a specific and consequential claim. Evidence of geopolymer concrete means observations that distinguish geopolymer concrete from alternative explanations of the same features. The study does not produce this.</w:t>
      </w:r>
    </w:p>
    <w:p>
      <w:pPr>
        <w:pStyle w:val="Heading"/>
        <w:spacing w:before="320" w:after="160"/>
        <w:jc w:val="both"/>
      </w:pPr>
      <w:r>
        <w:rPr>
          <w:rStyle w:val="None"/>
          <w:rFonts w:ascii="Arial" w:hAnsi="Arial"/>
          <w:outline w:val="0"/>
          <w:color w:val="000000"/>
          <w:sz w:val="24"/>
          <w:szCs w:val="24"/>
          <w:u w:color="000000"/>
          <w:rtl w:val="0"/>
          <w:lang w:val="en-US"/>
          <w14:textFill>
            <w14:solidFill>
              <w14:srgbClr w14:val="000000"/>
            </w14:solidFill>
          </w14:textFill>
        </w:rPr>
        <w:t xml:space="preserve">What the study produces is a set of observations consistent with geopolymer concrete. An observation consistent with a hypothesis confirms nothing about that hypothesis if it is equally consistent with competing hypotheses. The geopolymer manufacture hypothesis and the natural process alternatives produce the same predicted observations across every category of evidence examined in Hawke (2026). The tools that would discriminate between them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 xml:space="preserve">thin-section petrography, X-ray diffraction, bulk XRF with quarry baseline controls, absolute dating, and high-resolution gamma spectroscopy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were not employed.</w:t>
      </w:r>
    </w:p>
    <w:p>
      <w:pPr>
        <w:pStyle w:val="Heading"/>
        <w:spacing w:before="320" w:after="160"/>
        <w:jc w:val="both"/>
      </w:pPr>
      <w:r>
        <w:rPr>
          <w:rStyle w:val="None"/>
          <w:rFonts w:ascii="Arial" w:hAnsi="Arial"/>
          <w:outline w:val="0"/>
          <w:color w:val="000000"/>
          <w:sz w:val="24"/>
          <w:szCs w:val="24"/>
          <w:u w:color="000000"/>
          <w:rtl w:val="0"/>
          <w:lang w:val="en-US"/>
          <w14:textFill>
            <w14:solidFill>
              <w14:srgbClr w14:val="000000"/>
            </w14:solidFill>
          </w14:textFill>
        </w:rPr>
        <w:t>The anomalies documented in Hawke (2026) are real in the sense that they require explanation. They are not evidence of geopolymer concrete in the sense that they require that explanation rather than others. Describing them as evidence of a specific conclusion, in the title of a published study, overstates what the data supports and misrepresents the evidentiary standard the claim requires.</w:t>
      </w:r>
    </w:p>
    <w:p>
      <w:pPr>
        <w:pStyle w:val="Heading"/>
        <w:spacing w:before="320" w:after="160"/>
        <w:jc w:val="both"/>
      </w:pPr>
      <w:r>
        <w:rPr>
          <w:rStyle w:val="None"/>
          <w:rFonts w:ascii="Arial" w:hAnsi="Arial"/>
          <w:b w:val="1"/>
          <w:bCs w:val="1"/>
          <w:outline w:val="0"/>
          <w:color w:val="000000"/>
          <w:sz w:val="28"/>
          <w:szCs w:val="28"/>
          <w:u w:color="000000"/>
          <w:rtl w:val="0"/>
          <w:lang w:val="it-IT"/>
          <w14:textFill>
            <w14:solidFill>
              <w14:srgbClr w14:val="000000"/>
            </w14:solidFill>
          </w14:textFill>
        </w:rPr>
        <w:t>8. Conclusion</w:t>
      </w:r>
    </w:p>
    <w:p>
      <w:pPr>
        <w:pStyle w:val="Heading"/>
        <w:spacing w:before="320" w:after="160"/>
        <w:jc w:val="both"/>
      </w:pPr>
      <w:r>
        <w:rPr>
          <w:rStyle w:val="None"/>
          <w:rFonts w:ascii="Arial" w:hAnsi="Arial"/>
          <w:outline w:val="0"/>
          <w:color w:val="000000"/>
          <w:sz w:val="24"/>
          <w:szCs w:val="24"/>
          <w:u w:color="000000"/>
          <w:rtl w:val="0"/>
          <w:lang w:val="en-US"/>
          <w14:textFill>
            <w14:solidFill>
              <w14:srgbClr w14:val="000000"/>
            </w14:solidFill>
          </w14:textFill>
        </w:rPr>
        <w:t>The Cusco megalithic masonry presents genuine anomalies that warrant systematic investigation. The appropriate response to anomalies is to apply the analytical tools capable of discriminating between competing explanations: thin-section petrographic analysis, X-ray diffraction, bulk XRF with quarry baseline controls, Carbon-14 AMS dating of organic inclusions, and high-purity germanium gamma spectroscopy. Until these tools are applied, no conclusion about manufacturing origin is warranted.</w:t>
      </w:r>
    </w:p>
    <w:p>
      <w:pPr>
        <w:pStyle w:val="Heading"/>
        <w:spacing w:before="320" w:after="160"/>
        <w:jc w:val="both"/>
      </w:pPr>
      <w:r>
        <w:rPr>
          <w:rStyle w:val="None"/>
          <w:rFonts w:ascii="Arial" w:hAnsi="Arial"/>
          <w:outline w:val="0"/>
          <w:color w:val="000000"/>
          <w:sz w:val="24"/>
          <w:szCs w:val="24"/>
          <w:u w:color="000000"/>
          <w:rtl w:val="0"/>
          <w:lang w:val="en-US"/>
          <w14:textFill>
            <w14:solidFill>
              <w14:srgbClr w14:val="000000"/>
            </w14:solidFill>
          </w14:textFill>
        </w:rPr>
        <w:t>Hawke (2026) does not apply these tools. It applies tools that document surface chemistry, macroscopic morphology, and consumer-grade isotopic proxies, and frames the consistent-with relationship between these observations and the geopolymer hypothesis as evidence for it. This is a misapplication of the evidentiary standard that the title claim requires.</w:t>
      </w:r>
    </w:p>
    <w:p>
      <w:pPr>
        <w:pStyle w:val="Heading"/>
        <w:spacing w:before="320" w:after="160"/>
        <w:jc w:val="both"/>
      </w:pPr>
      <w:r>
        <w:rPr>
          <w:rStyle w:val="None"/>
          <w:rFonts w:ascii="Arial" w:hAnsi="Arial"/>
          <w:outline w:val="0"/>
          <w:color w:val="000000"/>
          <w:sz w:val="24"/>
          <w:szCs w:val="24"/>
          <w:u w:color="000000"/>
          <w:rtl w:val="0"/>
          <w:lang w:val="en-US"/>
          <w14:textFill>
            <w14:solidFill>
              <w14:srgbClr w14:val="000000"/>
            </w14:solidFill>
          </w14:textFill>
        </w:rPr>
        <w:t>The Inca achieved extraordinary things within the documented range of human technical capability. Whether their masonry technology included geopolymer-adjacent processes is a question worth asking rigorously. It has not yet been answered.</w:t>
      </w:r>
    </w:p>
    <w:p>
      <w:pPr>
        <w:pStyle w:val="Heading"/>
        <w:spacing w:before="320" w:after="160"/>
        <w:jc w:val="both"/>
      </w:pPr>
      <w:r>
        <w:rPr>
          <w:rStyle w:val="None"/>
          <w:rFonts w:ascii="Arial" w:hAnsi="Arial"/>
          <w:b w:val="1"/>
          <w:bCs w:val="1"/>
          <w:outline w:val="0"/>
          <w:color w:val="000000"/>
          <w:sz w:val="28"/>
          <w:szCs w:val="28"/>
          <w:u w:color="000000"/>
          <w:rtl w:val="0"/>
          <w:lang w:val="fr-FR"/>
          <w14:textFill>
            <w14:solidFill>
              <w14:srgbClr w14:val="000000"/>
            </w14:solidFill>
          </w14:textFill>
        </w:rPr>
        <w:t>SDG Relevance</w:t>
      </w:r>
    </w:p>
    <w:p>
      <w:pPr>
        <w:pStyle w:val="Heading"/>
        <w:spacing w:before="320" w:after="160"/>
        <w:jc w:val="both"/>
      </w:pPr>
      <w:r>
        <w:rPr>
          <w:rStyle w:val="None"/>
          <w:rFonts w:ascii="Arial" w:hAnsi="Arial"/>
          <w:outline w:val="0"/>
          <w:color w:val="000000"/>
          <w:sz w:val="24"/>
          <w:szCs w:val="24"/>
          <w:u w:color="000000"/>
          <w:rtl w:val="0"/>
          <w:lang w:val="en-US"/>
          <w14:textFill>
            <w14:solidFill>
              <w14:srgbClr w14:val="000000"/>
            </w14:solidFill>
          </w14:textFill>
        </w:rPr>
        <w:t>This paper contributes to SDG 4 (Quality Education) through the promotion of evidentiary standards in archaeological science communication, and SDG 11 (Sustainable Cities and Communities) through the accurate characterization of pre-Columbian construction technology relevant to heritage preservation and seismic engineering in the Andean region.</w:t>
      </w:r>
    </w:p>
    <w:p>
      <w:pPr>
        <w:pStyle w:val="Heading"/>
        <w:spacing w:before="320" w:after="160"/>
        <w:jc w:val="both"/>
      </w:pPr>
      <w:r>
        <w:rPr>
          <w:rStyle w:val="None"/>
          <w:rFonts w:ascii="Arial" w:hAnsi="Arial"/>
          <w:b w:val="1"/>
          <w:bCs w:val="1"/>
          <w:outline w:val="0"/>
          <w:color w:val="000000"/>
          <w:sz w:val="28"/>
          <w:szCs w:val="28"/>
          <w:u w:color="000000"/>
          <w:rtl w:val="0"/>
          <w:lang w:val="fr-FR"/>
          <w14:textFill>
            <w14:solidFill>
              <w14:srgbClr w14:val="000000"/>
            </w14:solidFill>
          </w14:textFill>
        </w:rPr>
        <w:t>References</w:t>
      </w:r>
    </w:p>
    <w:p>
      <w:pPr>
        <w:pStyle w:val="Heading"/>
        <w:spacing w:before="320" w:after="160"/>
        <w:jc w:val="both"/>
      </w:pPr>
      <w:r>
        <w:rPr>
          <w:rStyle w:val="None"/>
          <w:rFonts w:ascii="Arial" w:hAnsi="Arial"/>
          <w:outline w:val="0"/>
          <w:color w:val="000000"/>
          <w:sz w:val="24"/>
          <w:szCs w:val="24"/>
          <w:u w:color="000000"/>
          <w:rtl w:val="0"/>
          <w:lang w:val="en-US"/>
          <w14:textFill>
            <w14:solidFill>
              <w14:srgbClr w14:val="000000"/>
            </w14:solidFill>
          </w14:textFill>
        </w:rPr>
        <w:t>Davidovits, J. (2008). Geopolymer chemistry and applications. Geopolymer Institute.</w:t>
      </w:r>
    </w:p>
    <w:p>
      <w:pPr>
        <w:pStyle w:val="Heading"/>
        <w:spacing w:before="320" w:after="160"/>
        <w:jc w:val="both"/>
      </w:pPr>
      <w:r>
        <w:rPr>
          <w:rStyle w:val="None"/>
          <w:rFonts w:ascii="Arial" w:hAnsi="Arial"/>
          <w:outline w:val="0"/>
          <w:color w:val="000000"/>
          <w:sz w:val="24"/>
          <w:szCs w:val="24"/>
          <w:u w:color="000000"/>
          <w:rtl w:val="0"/>
          <w:lang w:val="en-US"/>
          <w14:textFill>
            <w14:solidFill>
              <w14:srgbClr w14:val="000000"/>
            </w14:solidFill>
          </w14:textFill>
        </w:rPr>
        <w:t>Davidovits, J., &amp; Huaman, L. (2019). Ancient geopolymer in South American monuments. Ceramics International.</w:t>
      </w:r>
    </w:p>
    <w:p>
      <w:pPr>
        <w:pStyle w:val="Heading"/>
        <w:spacing w:before="320" w:after="160"/>
        <w:jc w:val="both"/>
      </w:pPr>
      <w:r>
        <w:rPr>
          <w:rStyle w:val="None"/>
          <w:rFonts w:ascii="Arial" w:hAnsi="Arial"/>
          <w:outline w:val="0"/>
          <w:color w:val="000000"/>
          <w:sz w:val="24"/>
          <w:szCs w:val="24"/>
          <w:u w:color="000000"/>
          <w:rtl w:val="0"/>
          <w:lang w:val="es-ES_tradnl"/>
          <w14:textFill>
            <w14:solidFill>
              <w14:srgbClr w14:val="000000"/>
            </w14:solidFill>
          </w14:textFill>
        </w:rPr>
        <w:t>Garcilaso de la Vega. (1609). Comentarios reales de los Incas.</w:t>
      </w:r>
    </w:p>
    <w:p>
      <w:pPr>
        <w:pStyle w:val="Heading"/>
        <w:spacing w:before="320" w:after="160"/>
        <w:jc w:val="both"/>
      </w:pPr>
      <w:r>
        <w:rPr>
          <w:rStyle w:val="None"/>
          <w:rFonts w:ascii="Arial" w:hAnsi="Arial"/>
          <w:outline w:val="0"/>
          <w:color w:val="000000"/>
          <w:sz w:val="24"/>
          <w:szCs w:val="24"/>
          <w:u w:color="000000"/>
          <w:rtl w:val="0"/>
          <w:lang w:val="en-US"/>
          <w14:textFill>
            <w14:solidFill>
              <w14:srgbClr w14:val="000000"/>
            </w14:solidFill>
          </w14:textFill>
        </w:rPr>
        <w:t>Hawke, T. (2026). Evidence of geopolymer concrete in megalithic architecture of Cusco, Peru. harmonicresearchgroup@gmail.com. [Preprint].</w:t>
      </w:r>
    </w:p>
    <w:p>
      <w:pPr>
        <w:pStyle w:val="Heading"/>
        <w:spacing w:before="320" w:after="160"/>
        <w:jc w:val="both"/>
      </w:pPr>
      <w:r>
        <w:rPr>
          <w:rStyle w:val="None"/>
          <w:rFonts w:ascii="Arial" w:hAnsi="Arial"/>
          <w:outline w:val="0"/>
          <w:color w:val="000000"/>
          <w:sz w:val="24"/>
          <w:szCs w:val="24"/>
          <w:u w:color="000000"/>
          <w:rtl w:val="0"/>
          <w:lang w:val="en-US"/>
          <w14:textFill>
            <w14:solidFill>
              <w14:srgbClr w14:val="000000"/>
            </w14:solidFill>
          </w14:textFill>
        </w:rPr>
        <w:t>Hay, R. L., &amp; Sheppard, R. A. (2001). Occurrence of zeolites in sedimentary rocks: An overview. Reviews in Mineralogy and Geochemistry, 45(1), 217-234.</w:t>
      </w:r>
    </w:p>
    <w:p>
      <w:pPr>
        <w:pStyle w:val="Heading"/>
        <w:spacing w:before="320" w:after="160"/>
        <w:jc w:val="both"/>
      </w:pPr>
      <w:r>
        <w:rPr>
          <w:rStyle w:val="None"/>
          <w:rFonts w:ascii="Arial" w:hAnsi="Arial"/>
          <w:outline w:val="0"/>
          <w:color w:val="000000"/>
          <w:sz w:val="24"/>
          <w:szCs w:val="24"/>
          <w:u w:color="000000"/>
          <w:rtl w:val="0"/>
          <w:lang w:val="en-US"/>
          <w14:textFill>
            <w14:solidFill>
              <w14:srgbClr w14:val="000000"/>
            </w14:solidFill>
          </w14:textFill>
        </w:rPr>
        <w:t>Knoll, G. F. (2000). Radiation detection and measurement (3rd ed.). Wiley.</w:t>
      </w:r>
    </w:p>
    <w:p>
      <w:pPr>
        <w:pStyle w:val="Heading"/>
        <w:spacing w:before="320" w:after="160"/>
        <w:jc w:val="both"/>
      </w:pPr>
      <w:r>
        <w:rPr>
          <w:rStyle w:val="None"/>
          <w:rFonts w:ascii="Arial" w:hAnsi="Arial"/>
          <w:outline w:val="0"/>
          <w:color w:val="000000"/>
          <w:sz w:val="24"/>
          <w:szCs w:val="24"/>
          <w:u w:color="000000"/>
          <w:rtl w:val="0"/>
          <w:lang w:val="en-US"/>
          <w14:textFill>
            <w14:solidFill>
              <w14:srgbClr w14:val="000000"/>
            </w14:solidFill>
          </w14:textFill>
        </w:rPr>
        <w:t>Ogburn, D. E. (2004). Evidence for long-distance transportation of building stones in the Inka Empire. Latin American Antiquity, 15(1), 27-39.</w:t>
      </w:r>
    </w:p>
    <w:p>
      <w:pPr>
        <w:pStyle w:val="Heading"/>
        <w:spacing w:before="320" w:after="160"/>
        <w:jc w:val="both"/>
      </w:pPr>
      <w:r>
        <w:rPr>
          <w:rStyle w:val="None"/>
          <w:rFonts w:ascii="Arial" w:hAnsi="Arial"/>
          <w:outline w:val="0"/>
          <w:color w:val="000000"/>
          <w:sz w:val="24"/>
          <w:szCs w:val="24"/>
          <w:u w:color="000000"/>
          <w:rtl w:val="0"/>
          <w:lang w:val="en-US"/>
          <w14:textFill>
            <w14:solidFill>
              <w14:srgbClr w14:val="000000"/>
            </w14:solidFill>
          </w14:textFill>
        </w:rPr>
        <w:t>Protzen, J.-P. (1985). Inca quarrying and stonecutting. Journal of the Society of Architectural Historians, 44(2), 161-182.</w:t>
      </w:r>
    </w:p>
    <w:p>
      <w:pPr>
        <w:pStyle w:val="Heading"/>
        <w:spacing w:before="320" w:after="160"/>
        <w:jc w:val="both"/>
      </w:pPr>
      <w:r>
        <w:rPr>
          <w:rStyle w:val="None"/>
          <w:rFonts w:ascii="Arial" w:hAnsi="Arial"/>
          <w:outline w:val="0"/>
          <w:color w:val="000000"/>
          <w:sz w:val="24"/>
          <w:szCs w:val="24"/>
          <w:u w:color="000000"/>
          <w:rtl w:val="0"/>
          <w:lang w:val="en-US"/>
          <w14:textFill>
            <w14:solidFill>
              <w14:srgbClr w14:val="000000"/>
            </w14:solidFill>
          </w14:textFill>
        </w:rPr>
        <w:t>Provis, J. L., &amp; van Deventer, J. S. J. (Eds.). (2009). Geopolymers: Structures, processing, properties and industrial applications. Woodhead Publishing.</w:t>
      </w:r>
    </w:p>
    <w:p>
      <w:pPr>
        <w:pStyle w:val="Heading"/>
        <w:spacing w:before="320" w:after="160"/>
        <w:jc w:val="both"/>
      </w:pPr>
      <w:r>
        <w:rPr>
          <w:rStyle w:val="None"/>
          <w:rFonts w:ascii="Arial" w:hAnsi="Arial"/>
          <w:outline w:val="0"/>
          <w:color w:val="000000"/>
          <w:sz w:val="24"/>
          <w:szCs w:val="24"/>
          <w:u w:color="000000"/>
          <w:rtl w:val="0"/>
          <w:lang w:val="en-US"/>
          <w14:textFill>
            <w14:solidFill>
              <w14:srgbClr w14:val="000000"/>
            </w14:solidFill>
          </w14:textFill>
        </w:rPr>
        <w:t>Selden, R. Z., &amp; Colbert, M. W. (2021). Micro-CT analysis and digital morphometrics of biological inclusions in geological matrices. Journal of Archaeological Science: Reports, 35, 102769.</w:t>
      </w:r>
    </w:p>
    <w:p>
      <w:pPr>
        <w:pStyle w:val="Heading"/>
        <w:spacing w:before="320" w:after="160"/>
        <w:jc w:val="both"/>
      </w:pPr>
      <w:r>
        <w:rPr>
          <w:rStyle w:val="None"/>
          <w:rFonts w:ascii="Arial" w:hAnsi="Arial"/>
          <w:outline w:val="0"/>
          <w:color w:val="000000"/>
          <w:sz w:val="24"/>
          <w:szCs w:val="24"/>
          <w:u w:color="000000"/>
          <w:rtl w:val="0"/>
          <w:lang w:val="en-US"/>
          <w14:textFill>
            <w14:solidFill>
              <w14:srgbClr w14:val="000000"/>
            </w14:solidFill>
          </w14:textFill>
        </w:rPr>
        <w:t>Tindall, J. R., &amp; Thornton, R. (1995). Quarrying and building stone. Geological Society Special Publications, 91.</w:t>
      </w:r>
    </w:p>
    <w:p>
      <w:pPr>
        <w:pStyle w:val="Heading"/>
        <w:spacing w:before="320" w:after="160"/>
        <w:jc w:val="both"/>
      </w:pPr>
      <w:r>
        <w:rPr>
          <w:rStyle w:val="None"/>
          <w:rFonts w:ascii="Arial" w:hAnsi="Arial"/>
          <w:outline w:val="0"/>
          <w:color w:val="000000"/>
          <w:sz w:val="24"/>
          <w:szCs w:val="24"/>
          <w:u w:color="000000"/>
          <w:rtl w:val="0"/>
          <w14:textFill>
            <w14:solidFill>
              <w14:srgbClr w14:val="000000"/>
            </w14:solidFill>
          </w14:textFill>
        </w:rPr>
        <w:t>Twidale, C. R. (1982). Granite landforms. Elsevier.</w:t>
      </w:r>
    </w:p>
    <w:p>
      <w:pPr>
        <w:pStyle w:val="Heading"/>
        <w:spacing w:before="320" w:after="160"/>
        <w:jc w:val="both"/>
      </w:pPr>
      <w:r>
        <w:rPr>
          <w:rStyle w:val="None"/>
          <w:rFonts w:ascii="Arial" w:hAnsi="Arial"/>
          <w:outline w:val="0"/>
          <w:color w:val="000000"/>
          <w:sz w:val="24"/>
          <w:szCs w:val="24"/>
          <w:u w:color="000000"/>
          <w:rtl w:val="0"/>
          <w:lang w:val="en-US"/>
          <w14:textFill>
            <w14:solidFill>
              <w14:srgbClr w14:val="000000"/>
            </w14:solidFill>
          </w14:textFill>
        </w:rPr>
        <w:t>Winkler, E. M. (1994). Stone in architecture: Properties, durability (3rd ed.). Springer.</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660"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660"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660"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660"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660"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660"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660"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660"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60"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character" w:styleId="None">
    <w:name w:val="None"/>
  </w:style>
  <w:style w:type="character" w:styleId="Hyperlink.1">
    <w:name w:val="Hyperlink.1"/>
    <w:basedOn w:val="None"/>
    <w:next w:val="Hyperlink.1"/>
    <w:rPr>
      <w:outline w:val="0"/>
      <w:color w:val="0563c1"/>
      <w:u w:val="single" w:color="0563c1"/>
      <w:lang w:val="it-IT"/>
      <w14:textFill>
        <w14:solidFill>
          <w14:srgbClr w14:val="0563C1"/>
        </w14:solidFill>
      </w14:textFill>
    </w:rPr>
  </w:style>
  <w:style w:type="character" w:styleId="Hyperlink.2">
    <w:name w:val="Hyperlink.2"/>
    <w:basedOn w:val="None"/>
    <w:next w:val="Hyperlink.2"/>
    <w:rPr>
      <w:outline w:val="0"/>
      <w:color w:val="0563c1"/>
      <w:u w:val="single" w:color="0563c1"/>
      <w:lang w:val="nl-NL"/>
      <w14:textFill>
        <w14:solidFill>
          <w14:srgbClr w14:val="0563C1"/>
        </w14:solidFill>
      </w14:textFill>
    </w:rPr>
  </w:style>
  <w:style w:type="character" w:styleId="Hyperlink.3">
    <w:name w:val="Hyperlink.3"/>
    <w:basedOn w:val="None"/>
    <w:next w:val="Hyperlink.3"/>
    <w:rPr>
      <w:outline w:val="0"/>
      <w:color w:val="0563c1"/>
      <w:u w:val="single" w:color="0563c1"/>
      <w:lang w:val="en-US"/>
      <w14:textFill>
        <w14:solidFill>
          <w14:srgbClr w14:val="0563C1"/>
        </w14:solidFill>
      </w14:textFill>
    </w:rPr>
  </w:style>
  <w:style w:type="paragraph" w:styleId="Heading">
    <w:name w:val="Heading"/>
    <w:next w:val="Heading"/>
    <w:pPr>
      <w:keepNext w:val="0"/>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Times New Roman" w:hAnsi="Times New Roman" w:eastAsia="Times New Roman"/>
      <w:b w:val="0"/>
      <w:bCs w:val="0"/>
      <w:i w:val="0"/>
      <w:iCs w:val="0"/>
      <w:caps w:val="0"/>
      <w:smallCaps w:val="0"/>
      <w:strike w:val="0"/>
      <w:dstrike w:val="0"/>
      <w:outline w:val="0"/>
      <w:color w:val="2e74b5"/>
      <w:spacing w:val="0"/>
      <w:kern w:val="0"/>
      <w:position w:val="0"/>
      <w:sz w:val="32"/>
      <w:szCs w:val="32"/>
      <w:u w:val="none" w:color="2e74b5"/>
      <w:shd w:val="nil" w:color="auto" w:fill="auto"/>
      <w:vertAlign w:val="baseline"/>
      <w14:textOutline w14:w="12700" w14:cap="flat">
        <w14:noFill/>
        <w14:miter w14:lim="400000"/>
      </w14:textOutline>
      <w14:textFill>
        <w14:solidFill>
          <w14:srgbClr w14:val="2E74B5"/>
        </w14:solidFill>
      </w14:textFill>
    </w:rPr>
  </w:style>
  <w:style w:type="paragraph" w:styleId="Heading 2">
    <w:name w:val="Heading 2"/>
    <w:next w:val="Heading 2"/>
    <w:pPr>
      <w:keepNext w:val="0"/>
      <w:keepLines w:val="0"/>
      <w:pageBreakBefore w:val="0"/>
      <w:widowControl w:val="1"/>
      <w:shd w:val="clear" w:color="auto" w:fill="auto"/>
      <w:suppressAutoHyphens w:val="0"/>
      <w:bidi w:val="0"/>
      <w:spacing w:before="0" w:after="0" w:line="240" w:lineRule="auto"/>
      <w:ind w:left="0" w:right="0" w:firstLine="0"/>
      <w:jc w:val="left"/>
      <w:outlineLvl w:val="1"/>
    </w:pPr>
    <w:rPr>
      <w:rFonts w:ascii="Times New Roman" w:cs="Arial Unicode MS" w:hAnsi="Times New Roman" w:eastAsia="Arial Unicode MS"/>
      <w:b w:val="0"/>
      <w:bCs w:val="0"/>
      <w:i w:val="0"/>
      <w:iCs w:val="0"/>
      <w:caps w:val="0"/>
      <w:smallCaps w:val="0"/>
      <w:strike w:val="0"/>
      <w:dstrike w:val="0"/>
      <w:outline w:val="0"/>
      <w:color w:val="2e74b5"/>
      <w:spacing w:val="0"/>
      <w:kern w:val="0"/>
      <w:position w:val="0"/>
      <w:sz w:val="26"/>
      <w:szCs w:val="26"/>
      <w:u w:val="none" w:color="2e74b5"/>
      <w:shd w:val="nil" w:color="auto" w:fill="auto"/>
      <w:vertAlign w:val="baseline"/>
      <w:lang w:val="en-US"/>
      <w14:textOutline w14:w="12700" w14:cap="flat">
        <w14:noFill/>
        <w14:miter w14:lim="400000"/>
      </w14:textOutline>
      <w14:textFill>
        <w14:solidFill>
          <w14:srgbClr w14:val="2E74B5"/>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