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b w:val="1"/>
          <w:bCs w:val="1"/>
        </w:rPr>
      </w:pPr>
      <w:r>
        <w:rPr>
          <w:rFonts w:ascii="Verdana" w:hAnsi="Verdana"/>
          <w:b w:val="1"/>
          <w:bCs w:val="1"/>
          <w:sz w:val="32"/>
          <w:szCs w:val="32"/>
          <w:rtl w:val="0"/>
          <w:lang w:val="en-US"/>
        </w:rPr>
        <w:t>Does the Indus Valley Civilization Satisfy the Standard Civilization Criteria?</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Fonts w:ascii="Verdana" w:hAnsi="Verdana"/>
          <w:sz w:val="26"/>
          <w:szCs w:val="26"/>
          <w:u w:color="000000"/>
          <w:rtl w:val="0"/>
          <w:lang w:val="en-US"/>
        </w:rPr>
        <w:t>A Case for Reframing the Indus Valley as a Bronze Age Trade Network</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"https://doi.org/10.6084/m9.figshare.32781960"</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https://doi.org/10.6084/m9.figshare.32781960</w:t>
      </w:r>
      <w:r>
        <w:rPr>
          <w:rFonts w:ascii="Verdana" w:cs="Verdana" w:hAnsi="Verdana" w:eastAsia="Verdana"/>
        </w:rPr>
        <w:fldChar w:fldCharType="end" w:fldLock="0"/>
      </w:r>
      <w:r>
        <w:rPr>
          <w:rFonts w:ascii="Verdana" w:hAnsi="Verdana"/>
          <w:rtl w:val="0"/>
          <w:lang w:val="it-IT"/>
        </w:rPr>
        <w:t xml:space="preserve"> </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u w:color="000000"/>
          <w:rtl w:val="0"/>
          <w:lang w:val="en-US"/>
        </w:rPr>
        <w:t>Anthony Vondoom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u w:color="000000"/>
          <w:rtl w:val="0"/>
          <w:lang w:val="en-US"/>
        </w:rPr>
        <w:t>Independent Researcher in Cognitive Archaeology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u w:color="000000"/>
          <w:rtl w:val="0"/>
          <w:lang w:val="en-US"/>
        </w:rPr>
        <w:t>ORCID: 0009-0003-4953-1427</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lang w:val="it-IT"/>
        </w:rPr>
      </w:pPr>
      <w:r>
        <w:rPr>
          <w:rFonts w:ascii="Verdana" w:hAnsi="Verdana"/>
          <w:u w:color="000000"/>
          <w:rtl w:val="0"/>
          <w:lang w:val="it-IT"/>
        </w:rPr>
        <w:t>Sirmione, Italy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u w:color="000000"/>
          <w:rtl w:val="0"/>
          <w:lang w:val="en-US"/>
        </w:rPr>
        <w:t>www.dssm.academy</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u w:color="000000"/>
          <w:rtl w:val="0"/>
          <w:lang w:val="en-US"/>
        </w:rPr>
        <w:t>Conceptually related to: Vondoom, A. 2025. OSF. https://doi.org/10.17605/OSF.IO/YW5GM</w:t>
      </w: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p>
    <w:p>
      <w:pPr>
        <w:pStyle w:val="Body 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Verdana" w:cs="Verdana" w:hAnsi="Verdana" w:eastAsia="Verdana"/>
        </w:rPr>
      </w:pPr>
      <w:r>
        <w:rPr>
          <w:rFonts w:ascii="Verdana" w:hAnsi="Verdana"/>
          <w:sz w:val="18"/>
          <w:szCs w:val="18"/>
          <w:u w:color="000000"/>
          <w:rtl w:val="0"/>
          <w:lang w:val="en-US"/>
        </w:rPr>
        <w:t>This work is licensed under Creative Commons Attribution 4.0 International (CC BY 4.0). AI assistance was used in structuring and drafting this paper; all intellectual content, theoretical claims, and interpretive decisions are those of the author.</w:t>
      </w:r>
    </w:p>
    <w:p>
      <w:pPr>
        <w:pStyle w:val="Heading"/>
        <w:jc w:val="both"/>
        <w:rPr>
          <w:rFonts w:ascii="Verdana" w:cs="Verdana" w:hAnsi="Verdana" w:eastAsia="Verdana"/>
          <w:b w:val="0"/>
          <w:bCs w:val="0"/>
        </w:rPr>
      </w:pPr>
      <w:r>
        <w:rPr>
          <w:rFonts w:ascii="Verdana" w:hAnsi="Verdana"/>
          <w:b w:val="0"/>
          <w:bCs w:val="0"/>
          <w:rtl w:val="0"/>
          <w:lang w:val="de-DE"/>
        </w:rPr>
        <w:t>Abstract</w:t>
      </w:r>
    </w:p>
    <w:p>
      <w:pPr>
        <w:pStyle w:val="Heading"/>
        <w:jc w:val="both"/>
        <w:rPr>
          <w:rFonts w:ascii="Verdana" w:cs="Verdana" w:hAnsi="Verdana" w:eastAsia="Verdana"/>
          <w:b w:val="0"/>
          <w:bCs w:val="0"/>
          <w:lang w:val="en-US"/>
        </w:rPr>
      </w:pPr>
      <w:r>
        <w:rPr>
          <w:rFonts w:ascii="Verdana" w:hAnsi="Verdana"/>
          <w:b w:val="0"/>
          <w:bCs w:val="0"/>
          <w:i w:val="1"/>
          <w:iCs w:val="1"/>
          <w:sz w:val="22"/>
          <w:szCs w:val="22"/>
          <w:rtl w:val="0"/>
          <w:lang w:val="en-US"/>
        </w:rPr>
        <w:t>Maybe</w:t>
      </w:r>
      <w:r>
        <w:rPr>
          <w:rFonts w:ascii="Verdana" w:hAnsi="Verdana"/>
          <w:b w:val="0"/>
          <w:bCs w:val="0"/>
          <w:sz w:val="22"/>
          <w:szCs w:val="22"/>
          <w:rtl w:val="0"/>
          <w:lang w:val="en-US"/>
        </w:rPr>
        <w:t xml:space="preserve"> not.</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Indus Valley Civilization (c. 7000-1900 BCE) is conventionally classified as one of the four primary Bronze Age civilizations alongside Mesopotamia, Egypt, and early China. When that classification is tested against standard civilization criteria - centralized political authority, royal hierarchy, military infrastructure, palatial architecture, and administrative writing - the Indus archaeological record does not satisfy them. Not partially or ambiguously, but consistently and at scale across more than 1,500 sites spanning 1.5 million square kilometers. These absences are not interpretive gaps awaiting discovery. They are diagnostic.</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This paper proposes that the Indus Valley phenomenon is better understood as a Bronze Age trade network that generated urban infrastructure - a geographically optimal commercial hub whose nodes (Harappa, Mohenjo-daro, Dholavira, Lothal) functioned as processing centers, warehouses, and ports within a distributed mercantile system rather than as capitals of a political entity. The Dholavira signboard, the standardized weight system, the distinction between defensive and offensive military capacity, the outward-facing seal corpus, and the genetic signature of Indus-related populations found across the Persian Gulf corridor and Central Asia are all coherently explained by this reframing. The Assyrian karum system at Kanesh is presented as the closest documented parallel. Deep Symbolic Systems Model (DSSM) analysis confirms that symbolic stabilization in the Indus corridor emerged through distributed trade practice rather than centralized ritual or political authority. The so-called collapse of the Indus Civilization is reframed as network rerouting following hydrological disruption. Examining what the evidence actually satisfies may open more productive lines of inquiry than a century of anomaly management within the civilization framework has produced.</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Keywords: Indus Valley, trade network, Bronze Age, DSSM, Harappan, Mehrgarh, mercantile archaeology, non-state complexity, Dholavira, karum, Kanesh, symbolic stabilization, defensive capacity</w:t>
      </w:r>
    </w:p>
    <w:p>
      <w:pPr>
        <w:pStyle w:val="Heading"/>
        <w:jc w:val="both"/>
        <w:rPr>
          <w:rFonts w:ascii="Verdana" w:cs="Verdana" w:hAnsi="Verdana" w:eastAsia="Verdana"/>
          <w:b w:val="0"/>
          <w:bCs w:val="0"/>
          <w:lang w:val="en-US"/>
        </w:rPr>
      </w:pPr>
      <w:r>
        <w:rPr>
          <w:rFonts w:ascii="Verdana" w:hAnsi="Verdana"/>
          <w:b w:val="0"/>
          <w:bCs w:val="0"/>
          <w:rtl w:val="0"/>
          <w:lang w:val="en-US"/>
        </w:rPr>
        <w:t>Sustainable Development Goals</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This research contributes to SDG 4 (Quality Education) by producing open-access reinterpretation of one of the world's most consequential archaeological records. It contributes to SDG 10 (Reduced Inequalities) by challenging state-centric frameworks that have historically marginalized non-hierarchical social complexity. It contributes to SDG 17 (Partnerships for the Goals) by modeling cross-disciplinary integration of genomics, archaeology, cognitive science, and economic history.</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1. Introduction: The Category Problem</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term civilization carries embedded assumptions. It implies political coherence, social hierarchy, territorial sovereignty, and - by the Bronze Age - some form of administrative writing. These assumptions are not incidental. They derive from the civilizations that defined the category: Mesopotamia, Egypt, and early China, all of which produced kings, armies, conquest records, and textual archives.</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Indus Valley Civilization was named by analogy to these entities. The analogy was reasonable given the scale of urban remains at Harappa and Mohenjo-daro when excavations began in the 1920s. A century of subsequent excavation has not confirmed the analogy. It has instead produced a consistent record of anomalies: large, sophisticated, geographically extensive settlements that systematically lack every marker of political civilization that contemporary Bronze Age cultures produced abundantly.</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standard response has been to treat the absences as mysteries - features of Indus life not yet found, or expressed in perishable materials. This paper proposes a different response: the absences are not archaeological accidents but diagnostic signatures. The entity being described is not a civilization with unusual features. It is a different category of entity - a trade network that generated urban nodes - and the absences are predicted by that category.</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argument proceeds in four movements. First, the geographic position of the Indus corridor is analyzed as a commercial asset rather than an agricultural one. Second, the full inventory of Indus anomalies is compiled and evaluated against both the civilization model and the trade network model. Third, genomic evidence and the closest documented Bronze Age parallel - the Assyrian karum system - are examined together. Fourth, DSSM analysis formalizes the symbolic stabilization pathway.</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2. The Geographic Logic: Why Here</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Indus heartland is not the most agriculturally productive territory available to Bronze Age settlement. Egypt's Nile Valley offered the most reliable annual inundation on the planet. Mesopotamia's alluvial plain was among the most fertile in the ancient world. The Indus floodplain is productive, but not uniquely so by regional standards.</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What the Indus corridor offers instead is positional advantage of a different order. The river system is not a line - it is a fan. The Indus and its major tributaries, combined with the now-dry Ghaggar-Hakra system active during the Harappan period, open simultaneously in multiple directions from a single central geography. No other Bronze Age geography combines all four of the following axes simultaneously: northern Himalayan passes to Central Asian routes and lapis lazuli sources in Badakhshan; southern Arabian Sea access to the Persian Gulf corridor connecting Oman (Magan) and Bahrain (Dilmun); eastern reach via the Ghaggar-Hakra toward the Gangetic plain; and western overland routes through Balochistan to the Iranian plateau and Elam. Anatolia similarly occupies a crossroads position, but its axes run primarily east-west between Europe and the Levant, without the southward maritime opening onto the Arabian Sea that gives the Indus fan its distinctive geometry.</w:t>
      </w:r>
    </w:p>
    <w:p>
      <w:pPr>
        <w:pStyle w:val="Heading"/>
        <w:jc w:val="both"/>
        <w:rPr>
          <w:rFonts w:ascii="Verdana" w:cs="Verdana" w:hAnsi="Verdana" w:eastAsia="Verdana"/>
          <w:b w:val="0"/>
          <w:bCs w:val="0"/>
        </w:rPr>
      </w:pPr>
    </w:p>
    <w:tbl>
      <w:tblPr>
        <w:tblW w:w="936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200"/>
        <w:gridCol w:w="2000"/>
        <w:gridCol w:w="2580"/>
        <w:gridCol w:w="2580"/>
      </w:tblGrid>
      <w:tr>
        <w:tblPrEx>
          <w:shd w:val="clear" w:color="auto" w:fill="ced7e7"/>
        </w:tblPrEx>
        <w:trPr>
          <w:trHeight w:val="203" w:hRule="atLeast"/>
        </w:trPr>
        <w:tc>
          <w:tcPr>
            <w:tcW w:type="dxa" w:w="22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b w:val="1"/>
                <w:bCs w:val="1"/>
                <w:sz w:val="18"/>
                <w:szCs w:val="18"/>
                <w:shd w:val="nil" w:color="auto" w:fill="auto"/>
                <w:rtl w:val="0"/>
                <w:lang w:val="de-DE"/>
              </w:rPr>
              <w:t>Trade Axis</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s>
              <w:jc w:val="center"/>
            </w:pPr>
            <w:r>
              <w:rPr>
                <w:rFonts w:ascii="Arial" w:hAnsi="Arial"/>
                <w:b w:val="1"/>
                <w:bCs w:val="1"/>
                <w:sz w:val="18"/>
                <w:szCs w:val="18"/>
                <w:shd w:val="nil" w:color="auto" w:fill="auto"/>
                <w:rtl w:val="0"/>
                <w:lang w:val="fr-FR"/>
              </w:rPr>
              <w:t>Destination</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b w:val="1"/>
                <w:bCs w:val="1"/>
                <w:sz w:val="18"/>
                <w:szCs w:val="18"/>
                <w:shd w:val="nil" w:color="auto" w:fill="auto"/>
                <w:rtl w:val="0"/>
                <w:lang w:val="en-US"/>
              </w:rPr>
              <w:t>Key Resources</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b w:val="1"/>
                <w:bCs w:val="1"/>
                <w:sz w:val="18"/>
                <w:szCs w:val="18"/>
                <w:shd w:val="nil" w:color="auto" w:fill="auto"/>
                <w:rtl w:val="0"/>
                <w:lang w:val="en-US"/>
              </w:rPr>
              <w:t>Evidence</w:t>
            </w:r>
          </w:p>
        </w:tc>
      </w:tr>
      <w:tr>
        <w:tblPrEx>
          <w:shd w:val="clear" w:color="auto" w:fill="ced7e7"/>
        </w:tblPrEx>
        <w:trPr>
          <w:trHeight w:val="440" w:hRule="atLeast"/>
        </w:trPr>
        <w:tc>
          <w:tcPr>
            <w:tcW w:type="dxa" w:w="22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North</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Central Asia (BMAC)</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de-DE"/>
              </w:rPr>
              <w:t>Lapis lazuli (Badakhshan), tin</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Harappan colony at Shortughai, Afghanistan</w:t>
            </w:r>
          </w:p>
        </w:tc>
      </w:tr>
      <w:tr>
        <w:tblPrEx>
          <w:shd w:val="clear" w:color="auto" w:fill="ced7e7"/>
        </w:tblPrEx>
        <w:trPr>
          <w:trHeight w:val="440" w:hRule="atLeast"/>
        </w:trPr>
        <w:tc>
          <w:tcPr>
            <w:tcW w:type="dxa" w:w="22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South</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s-ES_tradnl"/>
              </w:rPr>
              <w:t>Persian Gulf (Dilmun, Magan)</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Copper (Oman), Gulf pearls</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Harappan seals at Ur; Gulf pottery at Lothal</w:t>
            </w:r>
          </w:p>
        </w:tc>
      </w:tr>
      <w:tr>
        <w:tblPrEx>
          <w:shd w:val="clear" w:color="auto" w:fill="ced7e7"/>
        </w:tblPrEx>
        <w:trPr>
          <w:trHeight w:val="440" w:hRule="atLeast"/>
        </w:trPr>
        <w:tc>
          <w:tcPr>
            <w:tcW w:type="dxa" w:w="22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East</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Gangetic plain</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Agricultural surplus, forest products</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Harappan sites along Ghaggar-Hakra corridor</w:t>
            </w:r>
          </w:p>
        </w:tc>
      </w:tr>
      <w:tr>
        <w:tblPrEx>
          <w:shd w:val="clear" w:color="auto" w:fill="ced7e7"/>
        </w:tblPrEx>
        <w:trPr>
          <w:trHeight w:val="440" w:hRule="atLeast"/>
        </w:trPr>
        <w:tc>
          <w:tcPr>
            <w:tcW w:type="dxa" w:w="22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de-DE"/>
              </w:rPr>
              <w:t>West</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Iranian plateau, Elam</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Silver, textiles</w:t>
            </w:r>
          </w:p>
        </w:tc>
        <w:tc>
          <w:tcPr>
            <w:tcW w:type="dxa" w:w="258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Harappan artifacts at Susa and Shahr-i-Sokhta</w:t>
            </w:r>
          </w:p>
        </w:tc>
      </w:tr>
    </w:tbl>
    <w:p>
      <w:pPr>
        <w:pStyle w:val="Heading"/>
        <w:widowControl w:val="0"/>
        <w:ind w:left="216" w:hanging="216"/>
        <w:rPr>
          <w:rFonts w:ascii="Verdana" w:cs="Verdana" w:hAnsi="Verdana" w:eastAsia="Verdana"/>
          <w:b w:val="0"/>
          <w:bCs w:val="0"/>
        </w:rPr>
      </w:pPr>
    </w:p>
    <w:p>
      <w:pPr>
        <w:pStyle w:val="Heading"/>
        <w:widowControl w:val="0"/>
        <w:ind w:left="108" w:hanging="108"/>
        <w:rPr>
          <w:rFonts w:ascii="Verdana" w:cs="Verdana" w:hAnsi="Verdana" w:eastAsia="Verdana"/>
          <w:b w:val="0"/>
          <w:bCs w:val="0"/>
        </w:rPr>
      </w:pPr>
    </w:p>
    <w:p>
      <w:pPr>
        <w:pStyle w:val="Heading"/>
        <w:widowControl w:val="0"/>
        <w:jc w:val="both"/>
        <w:rPr>
          <w:rFonts w:ascii="Verdana" w:cs="Verdana" w:hAnsi="Verdana" w:eastAsia="Verdana"/>
          <w:b w:val="0"/>
          <w:bCs w:val="0"/>
        </w:rPr>
      </w:pPr>
    </w:p>
    <w:p>
      <w:pPr>
        <w:pStyle w:val="Heading"/>
        <w:widowControl w:val="0"/>
        <w:jc w:val="both"/>
        <w:rPr>
          <w:rFonts w:ascii="Verdana" w:cs="Verdana" w:hAnsi="Verdana" w:eastAsia="Verdana"/>
          <w:b w:val="0"/>
          <w:bCs w:val="0"/>
        </w:rPr>
      </w:pPr>
    </w:p>
    <w:p>
      <w:pPr>
        <w:pStyle w:val="Heading"/>
        <w:widowControl w:val="0"/>
        <w:jc w:val="center"/>
        <w:rPr>
          <w:rFonts w:ascii="Verdana" w:cs="Verdana" w:hAnsi="Verdana" w:eastAsia="Verdana"/>
          <w:b w:val="0"/>
          <w:bCs w:val="0"/>
          <w:lang w:val="en-US"/>
        </w:rPr>
      </w:pPr>
      <w:r>
        <w:rPr>
          <w:rFonts w:ascii="Verdana" w:hAnsi="Verdana"/>
          <w:b w:val="0"/>
          <w:bCs w:val="0"/>
          <w:sz w:val="18"/>
          <w:szCs w:val="18"/>
          <w:rtl w:val="0"/>
          <w:lang w:val="en-US"/>
        </w:rPr>
        <w:t>Table 1. Primary geographic axes of Indus trade connectivity and supporting evidence.</w:t>
      </w:r>
    </w:p>
    <w:p>
      <w:pPr>
        <w:pStyle w:val="Heading"/>
        <w:widowControl w:val="0"/>
        <w:jc w:val="both"/>
        <w:rPr>
          <w:rFonts w:ascii="Verdana" w:cs="Verdana" w:hAnsi="Verdana" w:eastAsia="Verdana"/>
          <w:b w:val="0"/>
          <w:bCs w:val="0"/>
        </w:rPr>
      </w:pPr>
    </w:p>
    <w:p>
      <w:pPr>
        <w:pStyle w:val="Heading"/>
        <w:widowControl w:val="0"/>
        <w:jc w:val="both"/>
        <w:rPr>
          <w:rFonts w:ascii="Verdana" w:cs="Verdana" w:hAnsi="Verdana" w:eastAsia="Verdana"/>
          <w:b w:val="0"/>
          <w:bCs w:val="0"/>
          <w:lang w:val="en-US"/>
        </w:rPr>
      </w:pPr>
      <w:r>
        <w:rPr>
          <w:rFonts w:ascii="Verdana" w:hAnsi="Verdana"/>
          <w:b w:val="0"/>
          <w:bCs w:val="0"/>
          <w:sz w:val="22"/>
          <w:szCs w:val="22"/>
          <w:rtl w:val="0"/>
          <w:lang w:val="en-US"/>
        </w:rPr>
        <w:t>The seasonal dimension compounds this advantage. The Arabian Sea monsoon creates predictable wind reversal cycles that regularized maritime trade - merchants could schedule outbound and return voyages with confidence, a prerequisite for commercial planning at scale.</w:t>
      </w:r>
    </w:p>
    <w:p>
      <w:pPr>
        <w:pStyle w:val="Heading"/>
        <w:widowControl w:val="0"/>
        <w:jc w:val="both"/>
        <w:rPr>
          <w:rFonts w:ascii="Verdana" w:cs="Verdana" w:hAnsi="Verdana" w:eastAsia="Verdana"/>
          <w:b w:val="0"/>
          <w:bCs w:val="0"/>
          <w:lang w:val="en-US"/>
        </w:rPr>
      </w:pPr>
      <w:r>
        <w:rPr>
          <w:rFonts w:ascii="Verdana" w:hAnsi="Verdana"/>
          <w:b w:val="0"/>
          <w:bCs w:val="0"/>
          <w:sz w:val="22"/>
          <w:szCs w:val="22"/>
          <w:rtl w:val="0"/>
          <w:lang w:val="en-US"/>
        </w:rPr>
        <w:t>Critically, the resources that defined Indus export trade were not primarily sourced within the Indus heartland. Lapis lazuli came from Afghanistan. Copper came from Rajasthan and Oman. The Indus cities were not exploiting a local resource surplus. They were processing and redistributing materials sourced from a wide geographic catchment across an even wider distribution network. This is the operational logic of a trading company, not a territorial state. The location was chosen - and maintained across millennia - because it sits at the crossroads, not because it sits on the best land.</w:t>
      </w:r>
    </w:p>
    <w:p>
      <w:pPr>
        <w:pStyle w:val="Heading"/>
        <w:widowControl w:val="0"/>
        <w:jc w:val="both"/>
        <w:rPr>
          <w:rFonts w:ascii="Verdana" w:cs="Verdana" w:hAnsi="Verdana" w:eastAsia="Verdana"/>
          <w:b w:val="0"/>
          <w:bCs w:val="0"/>
          <w:lang w:val="en-US"/>
        </w:rPr>
      </w:pPr>
      <w:r>
        <w:rPr>
          <w:rFonts w:ascii="Verdana" w:hAnsi="Verdana"/>
          <w:b w:val="0"/>
          <w:bCs w:val="0"/>
          <w:sz w:val="22"/>
          <w:szCs w:val="22"/>
          <w:rtl w:val="0"/>
          <w:lang w:val="en-US"/>
        </w:rPr>
        <w:t>The network's position at the center of multiple civilizations' trade routes also conferred a structural incentive toward commercial neutrality. Threatening any trading partner militarily would collapse the network's own operations: Mesopotamia, the Persian Gulf corridor, Central Asia, and the subcontinent interior were simultaneously customers, suppliers, and transit partners. Commercial neutrality was not an ideology or an ethical choice. It was a business requirement built into the geography. A crossroads only functions if everyone can use it.</w:t>
      </w:r>
    </w:p>
    <w:p>
      <w:pPr>
        <w:pStyle w:val="Heading"/>
        <w:widowControl w:val="0"/>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3. The Anomaly Inventory</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following inventory compiles features of the Indus archaeological record that are anomalous within the civilization framework but predicted by the trade network model.</w:t>
      </w:r>
    </w:p>
    <w:p>
      <w:pPr>
        <w:pStyle w:val="Heading 2"/>
        <w:jc w:val="both"/>
        <w:rPr>
          <w:rFonts w:ascii="Verdana" w:cs="Verdana" w:hAnsi="Verdana" w:eastAsia="Verdana"/>
          <w:b w:val="0"/>
          <w:bCs w:val="0"/>
        </w:rPr>
      </w:pPr>
      <w:r>
        <w:rPr>
          <w:rFonts w:ascii="Verdana" w:hAnsi="Verdana"/>
          <w:b w:val="0"/>
          <w:bCs w:val="0"/>
          <w:rtl w:val="0"/>
          <w:lang w:val="en-US"/>
        </w:rPr>
        <w:t>3.1 Absence of Royal Burials</w:t>
      </w:r>
    </w:p>
    <w:p>
      <w:pPr>
        <w:pStyle w:val="Heading 2"/>
        <w:jc w:val="both"/>
        <w:rPr>
          <w:rFonts w:ascii="Verdana" w:cs="Verdana" w:hAnsi="Verdana" w:eastAsia="Verdana"/>
          <w:b w:val="0"/>
          <w:bCs w:val="0"/>
        </w:rPr>
      </w:pPr>
      <w:r>
        <w:rPr>
          <w:rFonts w:ascii="Verdana" w:hAnsi="Verdana"/>
          <w:b w:val="0"/>
          <w:bCs w:val="0"/>
          <w:sz w:val="22"/>
          <w:szCs w:val="22"/>
          <w:rtl w:val="0"/>
          <w:lang w:val="en-US"/>
        </w:rPr>
        <w:t>Every Bronze Age civilization produces differentiated mortuary evidence marking elite individuals through grave goods, scale, or architectural elaboration. The Royal Cemetery at Ur, Egyptian pharaonic tombs, and Shang dynasty bronzes demonstrate the pattern. Indus burials are remarkably egalitarian by comparison. No burial at any Harappan site has been identified as royal or politically paramount at anything approaching the scale seen in contemporary civilizations. Some variation in grave goods exists, but it does not scale with social dominance in the manner consistently observed elsewhere. A trade network does not require kings; commercial authority distributes across guild structures, merchant families, and contractual relationships.</w:t>
      </w:r>
    </w:p>
    <w:p>
      <w:pPr>
        <w:pStyle w:val="Heading 2"/>
        <w:jc w:val="both"/>
        <w:rPr>
          <w:rFonts w:ascii="Verdana" w:cs="Verdana" w:hAnsi="Verdana" w:eastAsia="Verdana"/>
          <w:b w:val="0"/>
          <w:bCs w:val="0"/>
        </w:rPr>
      </w:pPr>
      <w:r>
        <w:rPr>
          <w:rFonts w:ascii="Verdana" w:hAnsi="Verdana"/>
          <w:b w:val="0"/>
          <w:bCs w:val="0"/>
          <w:rtl w:val="0"/>
          <w:lang w:val="en-US"/>
        </w:rPr>
        <w:t>3.2 Defensive Capacity Without Offensive Military</w:t>
      </w:r>
    </w:p>
    <w:p>
      <w:pPr>
        <w:pStyle w:val="Heading 2"/>
        <w:jc w:val="both"/>
        <w:rPr>
          <w:rFonts w:ascii="Verdana" w:cs="Verdana" w:hAnsi="Verdana" w:eastAsia="Verdana"/>
          <w:b w:val="0"/>
          <w:bCs w:val="0"/>
        </w:rPr>
      </w:pPr>
      <w:r>
        <w:rPr>
          <w:rFonts w:ascii="Verdana" w:hAnsi="Verdana"/>
          <w:b w:val="0"/>
          <w:bCs w:val="0"/>
          <w:sz w:val="22"/>
          <w:szCs w:val="22"/>
          <w:rtl w:val="0"/>
          <w:lang w:val="en-US"/>
        </w:rPr>
        <w:t>The Indus record presents one of the most diagnostically significant military patterns in Bronze Age archaeology: consistent evidence of what might be called defensive capacity alongside a total absence of offensive military infrastructure. This distinction has not been adequately examined in the literature and is central to the trade network interpretation.</w:t>
      </w:r>
    </w:p>
    <w:p>
      <w:pPr>
        <w:pStyle w:val="Heading 2"/>
        <w:jc w:val="both"/>
        <w:rPr>
          <w:rFonts w:ascii="Verdana" w:cs="Verdana" w:hAnsi="Verdana" w:eastAsia="Verdana"/>
          <w:b w:val="0"/>
          <w:bCs w:val="0"/>
        </w:rPr>
      </w:pPr>
      <w:r>
        <w:rPr>
          <w:rFonts w:ascii="Verdana" w:hAnsi="Verdana"/>
          <w:b w:val="0"/>
          <w:bCs w:val="0"/>
          <w:sz w:val="22"/>
          <w:szCs w:val="22"/>
          <w:rtl w:val="0"/>
          <w:lang w:val="en-US"/>
        </w:rPr>
        <w:t>What exists: copper objects that could function as personal defensive weapons, settlement walls providing security perimeters, and evidence of organized collective labor suggesting coordinated community protection. What is entirely absent: weapons assemblages consistent with organized offensive military activity, standardized military weapons in battlefield quantities, chariot fittings or cavalry equipment, warrior burials with weapons, conquest iconography, trophy displays, enemy representations, or fortifications designed for siege warfare. The walls at Mohenjo-daro and Harappa are thick but lack the projecting bastions, towers, and killing zones that characterize military fortifications; their profiles are consistent with flood management that also provided incidental security benefits.</w:t>
      </w:r>
    </w:p>
    <w:p>
      <w:pPr>
        <w:pStyle w:val="Heading 2"/>
        <w:jc w:val="both"/>
        <w:rPr>
          <w:rFonts w:ascii="Verdana" w:cs="Verdana" w:hAnsi="Verdana" w:eastAsia="Verdana"/>
          <w:b w:val="0"/>
          <w:bCs w:val="0"/>
        </w:rPr>
      </w:pPr>
      <w:r>
        <w:rPr>
          <w:rFonts w:ascii="Verdana" w:hAnsi="Verdana"/>
          <w:b w:val="0"/>
          <w:bCs w:val="0"/>
          <w:sz w:val="22"/>
          <w:szCs w:val="22"/>
          <w:rtl w:val="0"/>
          <w:lang w:val="en-US"/>
        </w:rPr>
        <w:t>This pattern is precisely what the trade network model predicts. A commercial network requires security - protecting merchants, goods in transit, and warehouse facilities is a basic operational necessity. But a trade network has no structural incentive for territorial conquest. Offensive military projection disrupts the trust relationships and neutrality on which commercial exchange depends. The Indus record shows a society that invested in protection without investing in aggression. That is a commercial security logic, not a civilizational one.</w:t>
      </w:r>
    </w:p>
    <w:p>
      <w:pPr>
        <w:pStyle w:val="Heading 2"/>
        <w:jc w:val="both"/>
        <w:rPr>
          <w:rFonts w:ascii="Verdana" w:cs="Verdana" w:hAnsi="Verdana" w:eastAsia="Verdana"/>
          <w:b w:val="0"/>
          <w:bCs w:val="0"/>
        </w:rPr>
      </w:pPr>
    </w:p>
    <w:tbl>
      <w:tblPr>
        <w:tblW w:w="936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000"/>
        <w:gridCol w:w="3500"/>
        <w:gridCol w:w="3860"/>
      </w:tblGrid>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s>
              <w:jc w:val="center"/>
            </w:pPr>
            <w:r>
              <w:rPr>
                <w:rFonts w:ascii="Arial" w:hAnsi="Arial"/>
                <w:b w:val="1"/>
                <w:bCs w:val="1"/>
                <w:sz w:val="18"/>
                <w:szCs w:val="18"/>
                <w:shd w:val="nil" w:color="auto" w:fill="auto"/>
                <w:rtl w:val="0"/>
                <w:lang w:val="en-US"/>
              </w:rPr>
              <w:t>Military Category</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b w:val="1"/>
                <w:bCs w:val="1"/>
                <w:sz w:val="18"/>
                <w:szCs w:val="18"/>
                <w:shd w:val="nil" w:color="auto" w:fill="auto"/>
                <w:rtl w:val="0"/>
                <w:lang w:val="it-IT"/>
              </w:rPr>
              <w:t>Indicator</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b w:val="1"/>
                <w:bCs w:val="1"/>
                <w:sz w:val="18"/>
                <w:szCs w:val="18"/>
                <w:shd w:val="nil" w:color="auto" w:fill="auto"/>
                <w:rtl w:val="0"/>
                <w:lang w:val="nl-NL"/>
              </w:rPr>
              <w:t>Status in IVC Record</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Defensive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Settlement walls / perimeter structures</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en-US"/>
              </w:rPr>
              <w:t>Present - flood-control profile</w:t>
            </w:r>
          </w:p>
        </w:tc>
      </w:tr>
      <w:tr>
        <w:tblPrEx>
          <w:shd w:val="clear" w:color="auto" w:fill="ced7e7"/>
        </w:tblPrEx>
        <w:trPr>
          <w:trHeight w:val="440"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Defensive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Copper objects (possible personal weapons)</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en-US"/>
              </w:rPr>
              <w:t>Present - limited quantity</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Defensive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Organized collective labor capacity</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en-US"/>
              </w:rPr>
              <w:t>Present - inferred from urban construction</w:t>
            </w:r>
          </w:p>
        </w:tc>
      </w:tr>
      <w:tr>
        <w:tblPrEx>
          <w:shd w:val="clear" w:color="auto" w:fill="ced7e7"/>
        </w:tblPrEx>
        <w:trPr>
          <w:trHeight w:val="440"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Offensive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Weapons hoards / battlefield assemblages</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en-US"/>
              </w:rPr>
              <w:t>Absent across all 1,500+ sites</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Offensive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Standardized military weapons at scale</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de-DE"/>
              </w:rPr>
              <w:t>Absent</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Offensive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Warrior burials with weapons</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de-DE"/>
              </w:rPr>
              <w:t>Absent</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Offensive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it-IT"/>
              </w:rPr>
              <w:t>Conquest / warfare iconography</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en-US"/>
              </w:rPr>
              <w:t>Absent from entire seal corpus</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Offensive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Chariot or cavalry equipment</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de-DE"/>
              </w:rPr>
              <w:t>Absent</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Offensive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Siege fortification architecture</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de-DE"/>
              </w:rPr>
              <w:t>Absent</w:t>
            </w:r>
          </w:p>
        </w:tc>
      </w:tr>
      <w:tr>
        <w:tblPrEx>
          <w:shd w:val="clear" w:color="auto" w:fill="ced7e7"/>
        </w:tblPrEx>
        <w:trPr>
          <w:trHeight w:val="203" w:hRule="atLeast"/>
        </w:trPr>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de-DE"/>
              </w:rPr>
              <w:t>Offensive</w:t>
            </w:r>
          </w:p>
        </w:tc>
        <w:tc>
          <w:tcPr>
            <w:tcW w:type="dxa" w:w="35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Victory monuments / conquest records</w:t>
            </w:r>
          </w:p>
        </w:tc>
        <w:tc>
          <w:tcPr>
            <w:tcW w:type="dxa" w:w="38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 w:val="left" w:pos="3600"/>
              </w:tabs>
              <w:jc w:val="center"/>
            </w:pPr>
            <w:r>
              <w:rPr>
                <w:rFonts w:ascii="Arial" w:hAnsi="Arial"/>
                <w:sz w:val="18"/>
                <w:szCs w:val="18"/>
                <w:shd w:val="nil" w:color="auto" w:fill="auto"/>
                <w:rtl w:val="0"/>
                <w:lang w:val="de-DE"/>
              </w:rPr>
              <w:t>Absent</w:t>
            </w:r>
          </w:p>
        </w:tc>
      </w:tr>
    </w:tbl>
    <w:p>
      <w:pPr>
        <w:pStyle w:val="Heading 2"/>
        <w:widowControl w:val="0"/>
        <w:ind w:left="216" w:hanging="216"/>
        <w:rPr>
          <w:rFonts w:ascii="Verdana" w:cs="Verdana" w:hAnsi="Verdana" w:eastAsia="Verdana"/>
          <w:b w:val="0"/>
          <w:bCs w:val="0"/>
        </w:rPr>
      </w:pPr>
    </w:p>
    <w:p>
      <w:pPr>
        <w:pStyle w:val="Heading 2"/>
        <w:widowControl w:val="0"/>
        <w:ind w:left="108" w:hanging="108"/>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widowControl w:val="0"/>
        <w:jc w:val="center"/>
        <w:rPr>
          <w:rFonts w:ascii="Verdana" w:cs="Verdana" w:hAnsi="Verdana" w:eastAsia="Verdana"/>
          <w:b w:val="0"/>
          <w:bCs w:val="0"/>
        </w:rPr>
      </w:pPr>
      <w:r>
        <w:rPr>
          <w:rFonts w:ascii="Verdana" w:hAnsi="Verdana"/>
          <w:b w:val="0"/>
          <w:bCs w:val="0"/>
          <w:sz w:val="18"/>
          <w:szCs w:val="18"/>
          <w:rtl w:val="0"/>
          <w:lang w:val="en-US"/>
        </w:rPr>
        <w:t>Table 2. Defensive versus offensive military capacity indicators in the Indus archaeological record.</w:t>
      </w:r>
    </w:p>
    <w:p>
      <w:pPr>
        <w:pStyle w:val="Heading 2"/>
        <w:widowControl w:val="0"/>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3.3 Absence of Palace Complexes</w:t>
      </w:r>
    </w:p>
    <w:p>
      <w:pPr>
        <w:pStyle w:val="Heading 2"/>
        <w:jc w:val="both"/>
        <w:rPr>
          <w:rFonts w:ascii="Verdana" w:cs="Verdana" w:hAnsi="Verdana" w:eastAsia="Verdana"/>
          <w:b w:val="0"/>
          <w:bCs w:val="0"/>
        </w:rPr>
      </w:pPr>
      <w:r>
        <w:rPr>
          <w:rFonts w:ascii="Verdana" w:hAnsi="Verdana"/>
          <w:b w:val="0"/>
          <w:bCs w:val="0"/>
          <w:sz w:val="22"/>
          <w:szCs w:val="22"/>
          <w:rtl w:val="0"/>
          <w:lang w:val="en-US"/>
        </w:rPr>
        <w:t>Mesopotamian cities center on temple and palace compounds concentrating symbolic and administrative authority in physical form. Egyptian cities center on mortuary and ritual architecture at scales reflecting centralized resources. Indus citadel mounds - most prominently at Mohenjo-daro and Harappa - contain structures interpreted as granaries and the Great Bath. They do not contain throne rooms, administrative archives, or palatial residences at the scale seen in contemporary civilizations. The architecture of the citadel reflects the priorities of a commercial hub: storage capacity and shared infrastructure.</w:t>
      </w:r>
    </w:p>
    <w:p>
      <w:pPr>
        <w:pStyle w:val="Heading 2"/>
        <w:jc w:val="both"/>
        <w:rPr>
          <w:rFonts w:ascii="Verdana" w:cs="Verdana" w:hAnsi="Verdana" w:eastAsia="Verdana"/>
          <w:b w:val="0"/>
          <w:bCs w:val="0"/>
        </w:rPr>
      </w:pPr>
      <w:r>
        <w:rPr>
          <w:rFonts w:ascii="Verdana" w:hAnsi="Verdana"/>
          <w:b w:val="0"/>
          <w:bCs w:val="0"/>
          <w:rtl w:val="0"/>
          <w:lang w:val="en-US"/>
        </w:rPr>
        <w:t>3.4 The Great Bath</w:t>
      </w:r>
    </w:p>
    <w:p>
      <w:pPr>
        <w:pStyle w:val="Heading 2"/>
        <w:jc w:val="both"/>
        <w:rPr>
          <w:rFonts w:ascii="Verdana" w:cs="Verdana" w:hAnsi="Verdana" w:eastAsia="Verdana"/>
          <w:b w:val="0"/>
          <w:bCs w:val="0"/>
        </w:rPr>
      </w:pPr>
      <w:r>
        <w:rPr>
          <w:rFonts w:ascii="Verdana" w:hAnsi="Verdana"/>
          <w:b w:val="0"/>
          <w:bCs w:val="0"/>
          <w:sz w:val="22"/>
          <w:szCs w:val="22"/>
          <w:rtl w:val="0"/>
          <w:lang w:val="en-US"/>
        </w:rPr>
        <w:t>The Great Bath at Mohenjo-daro is a large, waterproofed, carefully maintained communal bathing facility at the center of a major urban settlement. Within the trade network model, it is most coherently interpreted as shared neutral infrastructure for a cosmopolitan commercial population - a space serving individuals of different geographic, linguistic, and cultural origins who converge at the node. Ritual purification requirements vary by cultural origin; a shared facility accommodates diversity without privileging any single tradition. This reading is the trade network model's interpretation and is offered here as hypothesis rather than established fact - the Great Bath remains one of the most debated structures in South Asian archaeology.</w:t>
      </w:r>
    </w:p>
    <w:p>
      <w:pPr>
        <w:pStyle w:val="Heading 2"/>
        <w:jc w:val="both"/>
        <w:rPr>
          <w:rFonts w:ascii="Verdana" w:cs="Verdana" w:hAnsi="Verdana" w:eastAsia="Verdana"/>
          <w:b w:val="0"/>
          <w:bCs w:val="0"/>
        </w:rPr>
      </w:pPr>
      <w:r>
        <w:rPr>
          <w:rFonts w:ascii="Verdana" w:hAnsi="Verdana"/>
          <w:b w:val="0"/>
          <w:bCs w:val="0"/>
          <w:rtl w:val="0"/>
          <w:lang w:val="en-US"/>
        </w:rPr>
        <w:t>3.5 Standardized Weights Without Central Enforcement</w:t>
      </w:r>
    </w:p>
    <w:p>
      <w:pPr>
        <w:pStyle w:val="Heading 2"/>
        <w:jc w:val="both"/>
        <w:rPr>
          <w:rFonts w:ascii="Verdana" w:cs="Verdana" w:hAnsi="Verdana" w:eastAsia="Verdana"/>
          <w:b w:val="0"/>
          <w:bCs w:val="0"/>
        </w:rPr>
      </w:pPr>
      <w:r>
        <w:rPr>
          <w:rFonts w:ascii="Verdana" w:hAnsi="Verdana"/>
          <w:b w:val="0"/>
          <w:bCs w:val="0"/>
          <w:sz w:val="22"/>
          <w:szCs w:val="22"/>
          <w:rtl w:val="0"/>
          <w:lang w:val="en-US"/>
        </w:rPr>
        <w:t>The Indus weight system is among the most precisely standardized in the ancient world, following consistent binary and decimal ratios across the entire geographic extent of the culture. This uniformity is maintained in the absence of any identified central administrative authority capable of enforcing it. The paradox dissolves within the trade network model: commercial standardization does not require central enforcement, it requires commercial self-interest. Merchants using non-standard weights are excluded from exchange networks. The uniformity of the Indus weight system is maintained from below, by the practical necessity of interoperability. The 1:2:4 brick ratio observed uniformly across Harappan construction follows the same logic: a building standard maintained by its utility, not by decree.</w:t>
      </w:r>
    </w:p>
    <w:p>
      <w:pPr>
        <w:pStyle w:val="Heading 2"/>
        <w:jc w:val="both"/>
        <w:rPr>
          <w:rFonts w:ascii="Verdana" w:cs="Verdana" w:hAnsi="Verdana" w:eastAsia="Verdana"/>
          <w:b w:val="0"/>
          <w:bCs w:val="0"/>
        </w:rPr>
      </w:pPr>
      <w:r>
        <w:rPr>
          <w:rFonts w:ascii="Verdana" w:hAnsi="Verdana"/>
          <w:b w:val="0"/>
          <w:bCs w:val="0"/>
          <w:rtl w:val="0"/>
          <w:lang w:val="en-US"/>
        </w:rPr>
        <w:t>3.6 The Seal Corpus as Trade Code</w:t>
      </w:r>
    </w:p>
    <w:p>
      <w:pPr>
        <w:pStyle w:val="Heading 2"/>
        <w:jc w:val="both"/>
        <w:rPr>
          <w:rFonts w:ascii="Verdana" w:cs="Verdana" w:hAnsi="Verdana" w:eastAsia="Verdana"/>
          <w:b w:val="0"/>
          <w:bCs w:val="0"/>
        </w:rPr>
      </w:pPr>
      <w:r>
        <w:rPr>
          <w:rFonts w:ascii="Verdana" w:hAnsi="Verdana"/>
          <w:b w:val="0"/>
          <w:bCs w:val="0"/>
          <w:sz w:val="22"/>
          <w:szCs w:val="22"/>
          <w:rtl w:val="0"/>
          <w:lang w:val="en-US"/>
        </w:rPr>
        <w:t>The Indus script appears primarily on small seals, each typically bearing a short sequence of signs above an animal motif. Approximately 4,000 inscribed objects have been recovered. The sign sequences average five signs per inscription and show no evidence of the extended narrative, administrative listing, or religious text that characterizes contemporary scripts in Mesopotamia and Egypt.</w:t>
      </w:r>
    </w:p>
    <w:p>
      <w:pPr>
        <w:pStyle w:val="Heading 2"/>
        <w:jc w:val="both"/>
        <w:rPr>
          <w:rFonts w:ascii="Verdana" w:cs="Verdana" w:hAnsi="Verdana" w:eastAsia="Verdana"/>
          <w:b w:val="0"/>
          <w:bCs w:val="0"/>
        </w:rPr>
      </w:pPr>
      <w:r>
        <w:rPr>
          <w:rFonts w:ascii="Verdana" w:hAnsi="Verdana"/>
          <w:b w:val="0"/>
          <w:bCs w:val="0"/>
          <w:sz w:val="22"/>
          <w:szCs w:val="22"/>
          <w:rtl w:val="0"/>
          <w:lang w:val="en-US"/>
        </w:rPr>
        <w:t>A common objection holds that Indus administrative records may have been written on perishable materials - wood, palm leaf, or cloth - and have not survived. This objection does not withstand scrutiny when the full material record is examined. Indus craftspeople demonstrably understood clay as a recording medium: they produced fired bricks at industrial scale, standardized ceramic vessels in enormous quantities, and fired clay seals precisely for the purpose of information encoding. The technology and the material were in continuous use. Mesopotamia's administrative record survives not because Mesopotamians were uniquely literate but because they chose clay tablets as their recording medium - a choice that proved archaeologically indestructible. Indus craftspeople made no equivalent choice. They used clay for construction, for vessels, and for trade seals - but not for administrative tablets. That selective use pattern is not an accident of preservation. It is a behavioral signature.</w:t>
      </w:r>
    </w:p>
    <w:p>
      <w:pPr>
        <w:pStyle w:val="Heading 2"/>
        <w:jc w:val="both"/>
        <w:rPr>
          <w:rFonts w:ascii="Verdana" w:cs="Verdana" w:hAnsi="Verdana" w:eastAsia="Verdana"/>
          <w:b w:val="0"/>
          <w:bCs w:val="0"/>
        </w:rPr>
      </w:pPr>
      <w:r>
        <w:rPr>
          <w:rFonts w:ascii="Verdana" w:hAnsi="Verdana"/>
          <w:b w:val="0"/>
          <w:bCs w:val="0"/>
          <w:sz w:val="22"/>
          <w:szCs w:val="22"/>
          <w:rtl w:val="0"/>
          <w:lang w:val="en-US"/>
        </w:rPr>
        <w:t>Farmer, Sproat, and Witzel demonstrated that the statistical properties of the Indus sign corpus are inconsistent with a full linguistic writing system. The present paper extends this argument: the Indus signs were never intended as linguistic writing because the network had no administrative motivation to produce it. The seals functioned as trade identity markers - institutional codes identifying the bearer's goods, origin, and commercial standing to distant counterparts who shared the code but not a spoken language. They are not an undeveloped script. They are a fully developed trade code deployed by people who knew exactly how to make clay records and chose not to.</w:t>
      </w:r>
    </w:p>
    <w:p>
      <w:pPr>
        <w:pStyle w:val="Heading 2"/>
        <w:jc w:val="both"/>
        <w:rPr>
          <w:rFonts w:ascii="Verdana" w:cs="Verdana" w:hAnsi="Verdana" w:eastAsia="Verdana"/>
          <w:b w:val="0"/>
          <w:bCs w:val="0"/>
        </w:rPr>
      </w:pPr>
      <w:r>
        <w:rPr>
          <w:rFonts w:ascii="Verdana" w:hAnsi="Verdana"/>
          <w:b w:val="0"/>
          <w:bCs w:val="0"/>
          <w:rtl w:val="0"/>
          <w:lang w:val="en-US"/>
        </w:rPr>
        <w:t>3.7 The Dholavira Signboard</w:t>
      </w:r>
    </w:p>
    <w:p>
      <w:pPr>
        <w:pStyle w:val="Heading 2"/>
        <w:jc w:val="both"/>
        <w:rPr>
          <w:rFonts w:ascii="Verdana" w:cs="Verdana" w:hAnsi="Verdana" w:eastAsia="Verdana"/>
          <w:b w:val="0"/>
          <w:bCs w:val="0"/>
        </w:rPr>
      </w:pPr>
      <w:r>
        <w:rPr>
          <w:rFonts w:ascii="Verdana" w:hAnsi="Verdana"/>
          <w:b w:val="0"/>
          <w:bCs w:val="0"/>
          <w:sz w:val="22"/>
          <w:szCs w:val="22"/>
          <w:rtl w:val="0"/>
          <w:lang w:val="en-US"/>
        </w:rPr>
        <w:t>The large inscription discovered at Dholavira - ten Indus signs inlaid in white gypsum on a wooden board approximately three meters long, found in association with the northern gate of the citadel - is the single most diagnostically significant artifact in the Indus corpus for the present argument. Each sign is approximately 37 centimeters high, large enough to be read by approaching visitors at a distance. The board's width matches the width of the gate passage, and its position indicates it was displayed above or at the gate entrance.</w:t>
      </w:r>
    </w:p>
    <w:p>
      <w:pPr>
        <w:pStyle w:val="Heading 2"/>
        <w:jc w:val="both"/>
        <w:rPr>
          <w:rFonts w:ascii="Verdana" w:cs="Verdana" w:hAnsi="Verdana" w:eastAsia="Verdana"/>
          <w:b w:val="0"/>
          <w:bCs w:val="0"/>
        </w:rPr>
      </w:pPr>
      <w:r>
        <w:rPr>
          <w:rFonts w:ascii="Verdana" w:hAnsi="Verdana"/>
          <w:b w:val="0"/>
          <w:bCs w:val="0"/>
          <w:sz w:val="22"/>
          <w:szCs w:val="22"/>
          <w:rtl w:val="0"/>
          <w:lang w:val="en-US"/>
        </w:rPr>
        <w:t>Residents of Dholavira did not need a sign to know where they lived. The sign is for people arriving - people approaching from outside who need to know what this place is, what it offers, or what its commercial identity is. This is the logic of commercial signage. The Dholavira inscription is, functionally, a billboard. It is the most natural artifact imaginable in a major trade hub node and is essentially inexplicable in a self-contained civilization whose residents share identity by default.</w:t>
      </w:r>
    </w:p>
    <w:p>
      <w:pPr>
        <w:pStyle w:val="Heading 2"/>
        <w:jc w:val="both"/>
        <w:rPr>
          <w:rFonts w:ascii="Verdana" w:cs="Verdana" w:hAnsi="Verdana" w:eastAsia="Verdana"/>
          <w:b w:val="0"/>
          <w:bCs w:val="0"/>
        </w:rPr>
      </w:pPr>
    </w:p>
    <w:p>
      <w:pPr>
        <w:pStyle w:val="Heading 2"/>
        <w:jc w:val="both"/>
        <w:rPr>
          <w:rFonts w:ascii="Verdana" w:cs="Verdana" w:hAnsi="Verdana" w:eastAsia="Verdana"/>
          <w:b w:val="0"/>
          <w:bCs w:val="0"/>
        </w:rPr>
      </w:pPr>
      <w:r>
        <w:rPr>
          <w:rFonts w:ascii="Verdana" w:hAnsi="Verdana"/>
          <w:b w:val="0"/>
          <w:bCs w:val="0"/>
          <w:rtl w:val="0"/>
          <w:lang w:val="en-US"/>
        </w:rPr>
        <w:t>3.8 Industrial-Scale Luxury Goods Production</w:t>
      </w:r>
    </w:p>
    <w:p>
      <w:pPr>
        <w:pStyle w:val="Heading 2"/>
        <w:jc w:val="both"/>
        <w:rPr>
          <w:rFonts w:ascii="Verdana" w:cs="Verdana" w:hAnsi="Verdana" w:eastAsia="Verdana"/>
          <w:b w:val="0"/>
          <w:bCs w:val="0"/>
        </w:rPr>
      </w:pPr>
      <w:r>
        <w:rPr>
          <w:rFonts w:ascii="Verdana" w:hAnsi="Verdana"/>
          <w:b w:val="0"/>
          <w:bCs w:val="0"/>
          <w:sz w:val="22"/>
          <w:szCs w:val="22"/>
          <w:rtl w:val="0"/>
          <w:lang w:val="en-US"/>
        </w:rPr>
        <w:t>Harappan sites contain evidence of industrial-scale production of carnelian beads, faience objects, shell ornaments, and copper alloy goods at volumes exceeding any plausible local consumption. The production infrastructure at Chanhu-daro and Harappa indicates organized workshop output oriented toward external markets. These are export goods. The scale of production makes sense only if the destination is a network larger than the local population.</w:t>
      </w:r>
    </w:p>
    <w:p>
      <w:pPr>
        <w:pStyle w:val="Heading 2"/>
        <w:jc w:val="both"/>
        <w:rPr>
          <w:rFonts w:ascii="Verdana" w:cs="Verdana" w:hAnsi="Verdana" w:eastAsia="Verdana"/>
          <w:b w:val="0"/>
          <w:bCs w:val="0"/>
        </w:rPr>
      </w:pPr>
      <w:r>
        <w:rPr>
          <w:rFonts w:ascii="Verdana" w:hAnsi="Verdana"/>
          <w:b w:val="0"/>
          <w:bCs w:val="0"/>
          <w:rtl w:val="0"/>
          <w:lang w:val="en-US"/>
        </w:rPr>
        <w:t>3.9 Lothal's Dockyard</w:t>
      </w:r>
    </w:p>
    <w:p>
      <w:pPr>
        <w:pStyle w:val="Heading 2"/>
        <w:jc w:val="both"/>
        <w:rPr>
          <w:rFonts w:ascii="Verdana" w:cs="Verdana" w:hAnsi="Verdana" w:eastAsia="Verdana"/>
          <w:b w:val="0"/>
          <w:bCs w:val="0"/>
        </w:rPr>
      </w:pPr>
      <w:r>
        <w:rPr>
          <w:rFonts w:ascii="Verdana" w:hAnsi="Verdana"/>
          <w:b w:val="0"/>
          <w:bCs w:val="0"/>
          <w:sz w:val="22"/>
          <w:szCs w:val="22"/>
          <w:rtl w:val="0"/>
          <w:lang w:val="en-US"/>
        </w:rPr>
        <w:t>The structure at Lothal - a large trapezoidal basin of baked brick approximately 222 meters long, 37 meters wide, and 4 meters deep, with inlet and outlet channels and an adjacent warehouse - was for decades a contested interpretation, with some scholars arguing it was a water reservoir. Research published in 2024 by the Indian Institute of Technology Gandhinagar, establishing a direct connection between the site and the paleochannel of the Sabarmati River and confirming the presence of marine microfossils and salt deposits in the basin, now substantially confirms the dockyard interpretation. Its presence at a Harappan site on the Gujarat coast is direct evidence of maritime commercial orientation.</w:t>
      </w:r>
    </w:p>
    <w:p>
      <w:pPr>
        <w:pStyle w:val="Heading 2"/>
        <w:jc w:val="both"/>
        <w:rPr>
          <w:rFonts w:ascii="Verdana" w:cs="Verdana" w:hAnsi="Verdana" w:eastAsia="Verdana"/>
          <w:b w:val="0"/>
          <w:bCs w:val="0"/>
        </w:rPr>
      </w:pPr>
      <w:r>
        <w:rPr>
          <w:rFonts w:ascii="Verdana" w:hAnsi="Verdana"/>
          <w:b w:val="0"/>
          <w:bCs w:val="0"/>
          <w:rtl w:val="0"/>
          <w:lang w:val="en-US"/>
        </w:rPr>
        <w:t>3.10 Absence of a Capital</w:t>
      </w:r>
    </w:p>
    <w:p>
      <w:pPr>
        <w:pStyle w:val="Heading 2"/>
        <w:jc w:val="both"/>
        <w:rPr>
          <w:rFonts w:ascii="Verdana" w:cs="Verdana" w:hAnsi="Verdana" w:eastAsia="Verdana"/>
          <w:b w:val="0"/>
          <w:bCs w:val="0"/>
        </w:rPr>
      </w:pPr>
      <w:r>
        <w:rPr>
          <w:rFonts w:ascii="Verdana" w:hAnsi="Verdana"/>
          <w:b w:val="0"/>
          <w:bCs w:val="0"/>
          <w:sz w:val="22"/>
          <w:szCs w:val="22"/>
          <w:rtl w:val="0"/>
          <w:lang w:val="en-US"/>
        </w:rPr>
        <w:t>Harappa and Mohenjo-daro are the two largest Harappan sites, approximately equal in size, separated by roughly 600 kilometers, with comparable levels of urban development and symbolic investment. A civilization has a capital. A trade network has major nodes. The equivalence of these two sites is anomalous for a state and predicted for a network.</w:t>
      </w:r>
    </w:p>
    <w:p>
      <w:pPr>
        <w:pStyle w:val="Heading 2"/>
        <w:jc w:val="both"/>
        <w:rPr>
          <w:rFonts w:ascii="Verdana" w:cs="Verdana" w:hAnsi="Verdana" w:eastAsia="Verdana"/>
          <w:b w:val="0"/>
          <w:bCs w:val="0"/>
        </w:rPr>
      </w:pPr>
    </w:p>
    <w:tbl>
      <w:tblPr>
        <w:tblW w:w="936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800"/>
        <w:gridCol w:w="3000"/>
        <w:gridCol w:w="3560"/>
      </w:tblGrid>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b w:val="1"/>
                <w:bCs w:val="1"/>
                <w:sz w:val="18"/>
                <w:szCs w:val="18"/>
                <w:shd w:val="nil" w:color="auto" w:fill="auto"/>
                <w:rtl w:val="0"/>
                <w:lang w:val="en-US"/>
              </w:rPr>
              <w:t>Feature</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b w:val="1"/>
                <w:bCs w:val="1"/>
                <w:sz w:val="18"/>
                <w:szCs w:val="18"/>
                <w:shd w:val="nil" w:color="auto" w:fill="auto"/>
                <w:rtl w:val="0"/>
                <w:lang w:val="en-US"/>
              </w:rPr>
              <w:t>Civilization Model</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b w:val="1"/>
                <w:bCs w:val="1"/>
                <w:sz w:val="18"/>
                <w:szCs w:val="18"/>
                <w:shd w:val="nil" w:color="auto" w:fill="auto"/>
                <w:rtl w:val="0"/>
                <w:lang w:val="en-US"/>
              </w:rPr>
              <w:t>Trade Network Model</w:t>
            </w:r>
          </w:p>
        </w:tc>
      </w:tr>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Royal burials</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Present, elaborated</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Absent - predicted</w:t>
            </w:r>
          </w:p>
        </w:tc>
      </w:tr>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Offensive military</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Present, abundant</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Absent - predicted</w:t>
            </w:r>
          </w:p>
        </w:tc>
      </w:tr>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Defensive capacity</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State military includes defense</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Present without offense - predicted</w:t>
            </w:r>
          </w:p>
        </w:tc>
      </w:tr>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fr-FR"/>
              </w:rPr>
              <w:t>Palace complexes</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fr-FR"/>
              </w:rPr>
              <w:t>Present, central</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Absent - predicted</w:t>
            </w:r>
          </w:p>
        </w:tc>
      </w:tr>
      <w:tr>
        <w:tblPrEx>
          <w:shd w:val="clear" w:color="auto" w:fill="ced7e7"/>
        </w:tblPrEx>
        <w:trPr>
          <w:trHeight w:val="440"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Administrative writing</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Present on clay tablets</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Absent - clay was available; choice not to use it is behavioral</w:t>
            </w:r>
          </w:p>
        </w:tc>
      </w:tr>
      <w:tr>
        <w:tblPrEx>
          <w:shd w:val="clear" w:color="auto" w:fill="ced7e7"/>
        </w:tblPrEx>
        <w:trPr>
          <w:trHeight w:val="440"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Weight standardization</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State-enforced</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Self-enforced by commercial necessity - predicted</w:t>
            </w:r>
          </w:p>
        </w:tc>
      </w:tr>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Urban hierarchy</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pt-PT"/>
              </w:rPr>
              <w:t>Capital dominant</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Multiple equal nodes - predicted</w:t>
            </w:r>
          </w:p>
        </w:tc>
      </w:tr>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de-DE"/>
              </w:rPr>
              <w:t>Signage at gates</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de-DE"/>
              </w:rPr>
              <w:t>Political declaration</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Commercial identification - predicted</w:t>
            </w:r>
          </w:p>
        </w:tc>
      </w:tr>
      <w:tr>
        <w:tblPrEx>
          <w:shd w:val="clear" w:color="auto" w:fill="ced7e7"/>
        </w:tblPrEx>
        <w:trPr>
          <w:trHeight w:val="440"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Genetic signal abroad</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Conquest or refugee diaspora</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Sustained contact consistent with commercial presence</w:t>
            </w:r>
          </w:p>
        </w:tc>
      </w:tr>
      <w:tr>
        <w:tblPrEx>
          <w:shd w:val="clear" w:color="auto" w:fill="ced7e7"/>
        </w:tblPrEx>
        <w:trPr>
          <w:trHeight w:val="203" w:hRule="atLeast"/>
        </w:trPr>
        <w:tc>
          <w:tcPr>
            <w:tcW w:type="dxa" w:w="28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Network end-state</w:t>
            </w:r>
          </w:p>
        </w:tc>
        <w:tc>
          <w:tcPr>
            <w:tcW w:type="dxa" w:w="3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Civilizational collapse</w:t>
            </w:r>
          </w:p>
        </w:tc>
        <w:tc>
          <w:tcPr>
            <w:tcW w:type="dxa" w:w="35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Route rerouting - predicted</w:t>
            </w:r>
          </w:p>
        </w:tc>
      </w:tr>
    </w:tbl>
    <w:p>
      <w:pPr>
        <w:pStyle w:val="Heading 2"/>
        <w:widowControl w:val="0"/>
        <w:ind w:left="216" w:hanging="216"/>
        <w:rPr>
          <w:rFonts w:ascii="Verdana" w:cs="Verdana" w:hAnsi="Verdana" w:eastAsia="Verdana"/>
          <w:b w:val="0"/>
          <w:bCs w:val="0"/>
        </w:rPr>
      </w:pPr>
    </w:p>
    <w:p>
      <w:pPr>
        <w:pStyle w:val="Heading 2"/>
        <w:widowControl w:val="0"/>
        <w:ind w:left="108" w:hanging="108"/>
        <w:rPr>
          <w:rFonts w:ascii="Verdana" w:cs="Verdana" w:hAnsi="Verdana" w:eastAsia="Verdana"/>
          <w:b w:val="0"/>
          <w:bCs w:val="0"/>
        </w:rPr>
      </w:pPr>
    </w:p>
    <w:p>
      <w:pPr>
        <w:pStyle w:val="Heading 2"/>
        <w:widowControl w:val="0"/>
        <w:jc w:val="both"/>
        <w:rPr>
          <w:rFonts w:ascii="Verdana" w:cs="Verdana" w:hAnsi="Verdana" w:eastAsia="Verdana"/>
          <w:b w:val="0"/>
          <w:bCs w:val="0"/>
        </w:rPr>
      </w:pPr>
    </w:p>
    <w:p>
      <w:pPr>
        <w:pStyle w:val="Heading 2"/>
        <w:widowControl w:val="0"/>
        <w:jc w:val="center"/>
        <w:rPr>
          <w:rFonts w:ascii="Verdana" w:cs="Verdana" w:hAnsi="Verdana" w:eastAsia="Verdana"/>
          <w:b w:val="0"/>
          <w:bCs w:val="0"/>
        </w:rPr>
      </w:pPr>
    </w:p>
    <w:p>
      <w:pPr>
        <w:pStyle w:val="Heading 2"/>
        <w:widowControl w:val="0"/>
        <w:jc w:val="center"/>
        <w:rPr>
          <w:rFonts w:ascii="Verdana" w:cs="Verdana" w:hAnsi="Verdana" w:eastAsia="Verdana"/>
          <w:b w:val="0"/>
          <w:bCs w:val="0"/>
        </w:rPr>
      </w:pPr>
      <w:r>
        <w:rPr>
          <w:rFonts w:ascii="Verdana" w:hAnsi="Verdana"/>
          <w:b w:val="0"/>
          <w:bCs w:val="0"/>
          <w:sz w:val="18"/>
          <w:szCs w:val="18"/>
          <w:rtl w:val="0"/>
          <w:lang w:val="en-US"/>
        </w:rPr>
        <w:t>Table 3. Predictive comparison of civilization and trade network models against Indus archaeological evidence.</w:t>
      </w:r>
    </w:p>
    <w:p>
      <w:pPr>
        <w:pStyle w:val="Heading 2"/>
        <w:widowControl w:val="0"/>
        <w:jc w:val="both"/>
        <w:rPr>
          <w:rFonts w:ascii="Verdana" w:cs="Verdana" w:hAnsi="Verdana" w:eastAsia="Verdana"/>
          <w:b w:val="0"/>
          <w:bCs w:val="0"/>
        </w:rPr>
      </w:pPr>
    </w:p>
    <w:p>
      <w:pPr>
        <w:pStyle w:val="Heading"/>
        <w:jc w:val="both"/>
        <w:rPr>
          <w:rFonts w:ascii="Verdana" w:cs="Verdana" w:hAnsi="Verdana" w:eastAsia="Verdana"/>
          <w:b w:val="0"/>
          <w:bCs w:val="0"/>
        </w:rPr>
      </w:pPr>
      <w:r>
        <w:rPr>
          <w:rFonts w:ascii="Verdana" w:hAnsi="Verdana"/>
          <w:b w:val="0"/>
          <w:bCs w:val="0"/>
          <w:rtl w:val="0"/>
          <w:lang w:val="de-DE"/>
        </w:rPr>
        <w:t>4. Mehrgarh as Network Origin</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conventional Indus Valley narrative begins meaningfully at approximately 2600 BCE with the mature Harappan phase. Mehrgarh (c. 7000-3300 BCE) is treated as a proto-urban precursor - an early agricultural settlement on the path toward civilization.</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This framing inverts the actual relationship. From the Neolithic phases onward, Mehrgarh shows standardized craft production, consistent design principles in bead-making, evidence of long-distance material sourcing, and organized storage practices. These are behaviors oriented toward exchange, not behaviors oriented toward political centralization. The population at Mehrgarh was not building toward a state. It was developing and maintaining productive and exchange capacities that would not generate large urban concentrations until commercial volume demanded them.</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Mehrgarh-to-Harappa sequence is not a civilization slowly developing. It is a trade network gradually densifying. Harappa and Mohenjo-daro are what happens when a millennia-old network of exchange grows complex enough to require permanent large-scale infrastructure. The cities are a consequence of the network, not its origin.</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5. Genomic Evidence, Commercial Diaspora, and the Karum Parallel</w:t>
      </w:r>
    </w:p>
    <w:p>
      <w:pPr>
        <w:pStyle w:val="Heading 2"/>
        <w:jc w:val="both"/>
        <w:rPr>
          <w:rFonts w:ascii="Verdana" w:cs="Verdana" w:hAnsi="Verdana" w:eastAsia="Verdana"/>
          <w:b w:val="0"/>
          <w:bCs w:val="0"/>
        </w:rPr>
      </w:pPr>
      <w:r>
        <w:rPr>
          <w:rFonts w:ascii="Verdana" w:hAnsi="Verdana"/>
          <w:b w:val="0"/>
          <w:bCs w:val="0"/>
          <w:rtl w:val="0"/>
          <w:lang w:val="en-US"/>
        </w:rPr>
        <w:t>5.1 The Genetic Signal</w:t>
      </w:r>
    </w:p>
    <w:p>
      <w:pPr>
        <w:pStyle w:val="Heading 2"/>
        <w:jc w:val="both"/>
        <w:rPr>
          <w:rFonts w:ascii="Verdana" w:cs="Verdana" w:hAnsi="Verdana" w:eastAsia="Verdana"/>
          <w:b w:val="0"/>
          <w:bCs w:val="0"/>
        </w:rPr>
      </w:pPr>
      <w:r>
        <w:rPr>
          <w:rFonts w:ascii="Verdana" w:hAnsi="Verdana"/>
          <w:b w:val="0"/>
          <w:bCs w:val="0"/>
          <w:sz w:val="22"/>
          <w:szCs w:val="22"/>
          <w:rtl w:val="0"/>
          <w:lang w:val="en-US"/>
        </w:rPr>
        <w:t>Ancient DNA analysis has produced findings directly relevant to the present argument. The genetic composition of Indus-related populations - a mixture of Iranian agriculturalist ancestry and Ancient Ancestral South Indian (AASI) ancestry, with no Steppe pastoralist input during the Harappan period - establishes the core population profile. More diagnostically significant is the finding by Narasimhan et al. (2019) that IVC-related genetic ancestry appears in individuals from Shahr-i-Sokhta in Iran and Gonur in Turkmenistan during the height of the Harappan urban period. The authors of that study describe these individuals as being in cultural communication with the IVC - a deliberately careful framing that the present paper preserves.</w:t>
      </w:r>
    </w:p>
    <w:p>
      <w:pPr>
        <w:pStyle w:val="Heading 2"/>
        <w:jc w:val="both"/>
        <w:rPr>
          <w:rFonts w:ascii="Verdana" w:cs="Verdana" w:hAnsi="Verdana" w:eastAsia="Verdana"/>
          <w:b w:val="0"/>
          <w:bCs w:val="0"/>
        </w:rPr>
      </w:pPr>
      <w:r>
        <w:rPr>
          <w:rFonts w:ascii="Verdana" w:hAnsi="Verdana"/>
          <w:b w:val="0"/>
          <w:bCs w:val="0"/>
          <w:sz w:val="22"/>
          <w:szCs w:val="22"/>
          <w:rtl w:val="0"/>
          <w:lang w:val="en-US"/>
        </w:rPr>
        <w:t>Several interpretations of this signal are possible. Population drift through gradual intermarriage across generations, seasonal labor migration, elite marriage exchange networks, or some combination of these mechanisms could all produce IVC-related ancestry in Central Asian contexts. The genetic evidence alone cannot distinguish between these scenarios. What can be said is that the presence of IVC-related ancestry across the Persian Gulf corridor and Central Asia during the Harappan period reflects sustained, multi-generational contact with those regions - a pattern that fits the trade network model as readily as any alternative explanation.</w:t>
      </w:r>
    </w:p>
    <w:p>
      <w:pPr>
        <w:pStyle w:val="Heading 2"/>
        <w:jc w:val="both"/>
        <w:rPr>
          <w:rFonts w:ascii="Verdana" w:cs="Verdana" w:hAnsi="Verdana" w:eastAsia="Verdana"/>
          <w:b w:val="0"/>
          <w:bCs w:val="0"/>
        </w:rPr>
      </w:pPr>
      <w:r>
        <w:rPr>
          <w:rFonts w:ascii="Verdana" w:hAnsi="Verdana"/>
          <w:b w:val="0"/>
          <w:bCs w:val="0"/>
          <w:sz w:val="22"/>
          <w:szCs w:val="22"/>
          <w:rtl w:val="0"/>
          <w:lang w:val="en-US"/>
        </w:rPr>
        <w:t>If the trade network model is correct, the most parsimonious explanation for the genetic signal is commercial diaspora: individuals and family groups embedded in foreign contexts for trading purposes over multiple generations. This remains a hypothesis. What the evidence does not support is the characterization of these individuals as refugees from a collapsing civilization - the signal appears during Harappan prosperity, not decline.</w:t>
      </w:r>
    </w:p>
    <w:p>
      <w:pPr>
        <w:pStyle w:val="Heading 2"/>
        <w:jc w:val="both"/>
        <w:rPr>
          <w:rFonts w:ascii="Verdana" w:cs="Verdana" w:hAnsi="Verdana" w:eastAsia="Verdana"/>
          <w:b w:val="0"/>
          <w:bCs w:val="0"/>
          <w:lang w:val="de-DE"/>
        </w:rPr>
      </w:pPr>
      <w:r>
        <w:rPr>
          <w:rFonts w:ascii="Verdana" w:hAnsi="Verdana"/>
          <w:b w:val="0"/>
          <w:bCs w:val="0"/>
          <w:rtl w:val="0"/>
          <w:lang w:val="de-DE"/>
        </w:rPr>
        <w:t>5.2 The Karum Parallel</w:t>
      </w:r>
    </w:p>
    <w:p>
      <w:pPr>
        <w:pStyle w:val="Heading 2"/>
        <w:jc w:val="both"/>
        <w:rPr>
          <w:rFonts w:ascii="Verdana" w:cs="Verdana" w:hAnsi="Verdana" w:eastAsia="Verdana"/>
          <w:b w:val="0"/>
          <w:bCs w:val="0"/>
        </w:rPr>
      </w:pPr>
      <w:r>
        <w:rPr>
          <w:rFonts w:ascii="Verdana" w:hAnsi="Verdana"/>
          <w:b w:val="0"/>
          <w:bCs w:val="0"/>
          <w:sz w:val="22"/>
          <w:szCs w:val="22"/>
          <w:rtl w:val="0"/>
          <w:lang w:val="en-US"/>
        </w:rPr>
        <w:t>The Assyrian karum system of the early second millennium BCE provides the only fully documented Bronze Age case of stateless commercial communities embedded in foreign cities - and it is instructive precisely because it is textually confirmed rather than inferred.</w:t>
      </w:r>
    </w:p>
    <w:p>
      <w:pPr>
        <w:pStyle w:val="Heading 2"/>
        <w:jc w:val="both"/>
        <w:rPr>
          <w:rFonts w:ascii="Verdana" w:cs="Verdana" w:hAnsi="Verdana" w:eastAsia="Verdana"/>
          <w:b w:val="0"/>
          <w:bCs w:val="0"/>
        </w:rPr>
      </w:pPr>
      <w:r>
        <w:rPr>
          <w:rFonts w:ascii="Verdana" w:hAnsi="Verdana"/>
          <w:b w:val="0"/>
          <w:bCs w:val="0"/>
          <w:sz w:val="22"/>
          <w:szCs w:val="22"/>
          <w:rtl w:val="0"/>
          <w:lang w:val="en-US"/>
        </w:rPr>
        <w:t>Karum Kanesh, the Assyrian merchant colony at the Anatolian city of Kultepe, is the best documented instance. Assyrian merchants maintained a permanent residential quarter - the karum, meaning harbor or port district - outside the native Anatolian city walls. They governed themselves by Assyrian commercial law, maintained their own legal and dispute resolution systems, kept meticulous records of transactions on clay tablets in cuneiform, and operated trading networks carrying tin and textiles from Assur to Anatolia in exchange for silver and gold. Crucially, they were not political agents of the Assyrian state. They were private merchants operating through kinship and contractual networks, paying taxes to both the Assyrian crown and the local Anatolian ruler, but operating commercially rather than politically. Their presence in Kanesh was sustained across multiple generations and left a rich textual archive of approximately 23,000 clay tablets.</w:t>
      </w:r>
    </w:p>
    <w:p>
      <w:pPr>
        <w:pStyle w:val="Heading 2"/>
        <w:jc w:val="both"/>
        <w:rPr>
          <w:rFonts w:ascii="Verdana" w:cs="Verdana" w:hAnsi="Verdana" w:eastAsia="Verdana"/>
          <w:b w:val="0"/>
          <w:bCs w:val="0"/>
        </w:rPr>
      </w:pPr>
      <w:r>
        <w:rPr>
          <w:rFonts w:ascii="Verdana" w:hAnsi="Verdana"/>
          <w:b w:val="0"/>
          <w:bCs w:val="0"/>
          <w:sz w:val="22"/>
          <w:szCs w:val="22"/>
          <w:rtl w:val="0"/>
          <w:lang w:val="en-US"/>
        </w:rPr>
        <w:t>The karum system is relevant here not as a direct parallel - it is later, smaller, and textually documented in a way the Indus record is not - but as proof of concept. Stateless merchant communities embedded in foreign cities, maintaining commercial coherence across large distances through shared practice and code rather than political authority, are archaeologically and historically confirmed in exactly the period adjacent to Harappan urbanism. They were not a theoretical possibility. They existed, they worked, and they left evidence. The genetic signal of IVC-related ancestry in Central Asian and Iranian contexts during the Harappan period is consistent with an earlier and geographically larger instance of precisely this organizational form.</w:t>
      </w:r>
    </w:p>
    <w:p>
      <w:pPr>
        <w:pStyle w:val="Heading 2"/>
        <w:jc w:val="both"/>
        <w:rPr>
          <w:rFonts w:ascii="Verdana" w:cs="Verdana" w:hAnsi="Verdana" w:eastAsia="Verdana"/>
          <w:b w:val="0"/>
          <w:bCs w:val="0"/>
        </w:rPr>
      </w:pPr>
      <w:r>
        <w:rPr>
          <w:rFonts w:ascii="Verdana" w:hAnsi="Verdana"/>
          <w:b w:val="0"/>
          <w:bCs w:val="0"/>
          <w:rtl w:val="0"/>
          <w:lang w:val="en-US"/>
        </w:rPr>
        <w:t>5.3 The Phoenician Extension</w:t>
      </w:r>
    </w:p>
    <w:p>
      <w:pPr>
        <w:pStyle w:val="Heading 2"/>
        <w:jc w:val="both"/>
        <w:rPr>
          <w:rFonts w:ascii="Verdana" w:cs="Verdana" w:hAnsi="Verdana" w:eastAsia="Verdana"/>
          <w:b w:val="0"/>
          <w:bCs w:val="0"/>
        </w:rPr>
      </w:pPr>
      <w:r>
        <w:rPr>
          <w:rFonts w:ascii="Verdana" w:hAnsi="Verdana"/>
          <w:b w:val="0"/>
          <w:bCs w:val="0"/>
          <w:sz w:val="22"/>
          <w:szCs w:val="22"/>
          <w:rtl w:val="0"/>
          <w:lang w:val="en-US"/>
        </w:rPr>
        <w:t>The Phoenician colonial network of the first millennium BCE represents a structurally distinct but conceptually relevant later case. Unlike the Harappan network, Phoenician city-states had kings, political hierarchies, and military capacity. What makes Phoenicia relevant here is not its internal organization but its external commercial logic: Phoenician colonies from Carthage to Cadiz maintained coherence through shared trade practice, standardized weights and measures, and a common symbolic repertoire - not through political control from a center. The commercial network extended far beyond what the political structures of any individual Phoenician city-state could project or enforce. This demonstrates that network commercial logic can operate at a scale and geographic extent that outstrips the political structures nominally embedded within it. The Harappan case may represent this same commercial network logic operating in a context where the political civilization layer was simply absent rather than present and secondary.</w:t>
      </w:r>
    </w:p>
    <w:p>
      <w:pPr>
        <w:pStyle w:val="Heading 2"/>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6. The Non-Collapse: Network Rerouting</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standard account describes a collapse beginning around 2000-1900 BCE, associated with the drying of the Ghaggar-Hakra river system, urban abandonment, and the disappearance of standardized material culture. This is framed as civilizational death.</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trade network model produces a different reading of the same evidence. Trade networks do not collapse - they reroute. When a major transport artery becomes non-functional, commercial activity redistributes to available alternatives. The Ghaggar-Hakra's desiccation eliminated one major axis of the network's inland reach. Urban centers dependent on that axis lost their commercial rationale and were abandoned. The population did not disappear - craft traditions, genetic continuity, and settlement patterns in smaller communities show persistence. The network changed its routes.</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influx of Steppe pastoralist ancestry into South Asia after approximately 1900 BCE, associated with Indo-Aryan migration, marks the arrival of a different population into a geography from which the trade network had substantially withdrawn. Vedic and Harappan civilization are not politically or institutionally continuous. They are sequential occupants of the same geography. Treating them as a single developmental sequence has obscured the character of both.</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7. DSSM Analysis: Distributed Mercantile Symbolic Stabilization</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Deep Symbolic Systems Model analysis of the Indus corpus confirms that symbolic stabilization followed a distributed mercantile pathway rather than the axial-ritual pathway characteristic of Egypt or the spatial-authority pathway of Mesopotamia. DSSM identifies four stabilization criteria: intergenerational repetition, spatial constraint, cross-media redundancy, and persistence under stress.</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In the Indus record, all four are met through commercial rather than political mechanisms. Intergenerational repetition is achieved through craft guild transmission - bead-making techniques, seal production protocols, and weight system conventions passed through occupational lineages. Spatial constraint is embedded in standardized urban planning and workshop organization. Cross-media redundancy appears simultaneously in the seal corpus, weight system, brick ratios, and ceramic conventions. Persistence under stress is demonstrated by the maintenance of commercial standards across seven centuries of urban occupation spanning wide geographic and ecological variation.</w:t>
      </w:r>
    </w:p>
    <w:p>
      <w:pPr>
        <w:pStyle w:val="Heading"/>
        <w:jc w:val="both"/>
        <w:rPr>
          <w:rFonts w:ascii="Verdana" w:cs="Verdana" w:hAnsi="Verdana" w:eastAsia="Verdana"/>
          <w:b w:val="0"/>
          <w:bCs w:val="0"/>
          <w:sz w:val="22"/>
          <w:szCs w:val="22"/>
          <w:lang w:val="en-US"/>
        </w:rPr>
      </w:pPr>
      <w:r>
        <w:rPr>
          <w:rFonts w:ascii="Verdana" w:hAnsi="Verdana"/>
          <w:b w:val="0"/>
          <w:bCs w:val="0"/>
          <w:sz w:val="22"/>
          <w:szCs w:val="22"/>
          <w:rtl w:val="0"/>
          <w:lang w:val="en-US"/>
        </w:rPr>
        <w:t>The DSSM stabilization pathway for the Indus is designated Distributed-Mercantile: symbolic systems stabilize through the self-reinforcing requirements of commercial exchange rather than centralized ritual or administrative authority. This pathway produces a distinctive signature - high symbolic uniformity across geography, absence of hierarchical symbolic expression, and symbolic collapse correlated with commercial network failure rather than political disruption - all of which match the Indus record precisely.</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rPr>
      </w:pPr>
    </w:p>
    <w:tbl>
      <w:tblPr>
        <w:tblW w:w="9460"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00"/>
        <w:gridCol w:w="2000"/>
        <w:gridCol w:w="2000"/>
        <w:gridCol w:w="3060"/>
      </w:tblGrid>
      <w:tr>
        <w:tblPrEx>
          <w:shd w:val="clear" w:color="auto" w:fill="ced7e7"/>
        </w:tblPrEx>
        <w:trPr>
          <w:trHeight w:val="440" w:hRule="atLeast"/>
        </w:trPr>
        <w:tc>
          <w:tcPr>
            <w:tcW w:type="dxa" w:w="24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b w:val="1"/>
                <w:bCs w:val="1"/>
                <w:sz w:val="18"/>
                <w:szCs w:val="18"/>
                <w:shd w:val="nil" w:color="auto" w:fill="auto"/>
                <w:rtl w:val="0"/>
                <w:lang w:val="it-IT"/>
              </w:rPr>
              <w:t>DSSM Criterion</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s>
              <w:jc w:val="center"/>
            </w:pPr>
            <w:r>
              <w:rPr>
                <w:rFonts w:ascii="Arial" w:hAnsi="Arial"/>
                <w:b w:val="1"/>
                <w:bCs w:val="1"/>
                <w:sz w:val="18"/>
                <w:szCs w:val="18"/>
                <w:shd w:val="nil" w:color="auto" w:fill="auto"/>
                <w:rtl w:val="0"/>
                <w:lang w:val="de-DE"/>
              </w:rPr>
              <w:t>Egypt (Axial-Ritual)</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s>
              <w:jc w:val="center"/>
            </w:pPr>
            <w:r>
              <w:rPr>
                <w:rFonts w:ascii="Arial" w:hAnsi="Arial"/>
                <w:b w:val="1"/>
                <w:bCs w:val="1"/>
                <w:sz w:val="18"/>
                <w:szCs w:val="18"/>
                <w:shd w:val="nil" w:color="auto" w:fill="auto"/>
                <w:rtl w:val="0"/>
                <w:lang w:val="en-US"/>
              </w:rPr>
              <w:t>Mesopotamia (Spatial-Authority)</w:t>
            </w:r>
          </w:p>
        </w:tc>
        <w:tc>
          <w:tcPr>
            <w:tcW w:type="dxa" w:w="30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dddddd"/>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b w:val="1"/>
                <w:bCs w:val="1"/>
                <w:sz w:val="18"/>
                <w:szCs w:val="18"/>
                <w:shd w:val="nil" w:color="auto" w:fill="auto"/>
                <w:rtl w:val="0"/>
                <w:lang w:val="en-US"/>
              </w:rPr>
              <w:t>Indus (Distributed-Mercantile)</w:t>
            </w:r>
          </w:p>
        </w:tc>
      </w:tr>
      <w:tr>
        <w:tblPrEx>
          <w:shd w:val="clear" w:color="auto" w:fill="ced7e7"/>
        </w:tblPrEx>
        <w:trPr>
          <w:trHeight w:val="440" w:hRule="atLeast"/>
        </w:trPr>
        <w:tc>
          <w:tcPr>
            <w:tcW w:type="dxa" w:w="24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Intergenerational repetition</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Ritual calendars, mortuary practice</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Temple administration, scribal schools</w:t>
            </w:r>
          </w:p>
        </w:tc>
        <w:tc>
          <w:tcPr>
            <w:tcW w:type="dxa" w:w="30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Craft guild transmission</w:t>
            </w:r>
          </w:p>
        </w:tc>
      </w:tr>
      <w:tr>
        <w:tblPrEx>
          <w:shd w:val="clear" w:color="auto" w:fill="ced7e7"/>
        </w:tblPrEx>
        <w:trPr>
          <w:trHeight w:val="440" w:hRule="atLeast"/>
        </w:trPr>
        <w:tc>
          <w:tcPr>
            <w:tcW w:type="dxa" w:w="24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Spatial constraint</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fr-FR"/>
              </w:rPr>
              <w:t>Nile axis, temple orientation</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Ziggurat precinct, city walls</w:t>
            </w:r>
          </w:p>
        </w:tc>
        <w:tc>
          <w:tcPr>
            <w:tcW w:type="dxa" w:w="30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nl-NL"/>
              </w:rPr>
              <w:t>Standardized urban grids, workshop zones</w:t>
            </w:r>
          </w:p>
        </w:tc>
      </w:tr>
      <w:tr>
        <w:tblPrEx>
          <w:shd w:val="clear" w:color="auto" w:fill="ced7e7"/>
        </w:tblPrEx>
        <w:trPr>
          <w:trHeight w:val="679" w:hRule="atLeast"/>
        </w:trPr>
        <w:tc>
          <w:tcPr>
            <w:tcW w:type="dxa" w:w="24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Cross-media redundancy</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Hieroglyphs, monuments, coffin texts</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Cuneiform, cylinder seals, palace reliefs</w:t>
            </w:r>
          </w:p>
        </w:tc>
        <w:tc>
          <w:tcPr>
            <w:tcW w:type="dxa" w:w="30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Seals, weights, brick ratios, ceramics</w:t>
            </w:r>
          </w:p>
        </w:tc>
      </w:tr>
      <w:tr>
        <w:tblPrEx>
          <w:shd w:val="clear" w:color="auto" w:fill="ced7e7"/>
        </w:tblPrEx>
        <w:trPr>
          <w:trHeight w:val="440" w:hRule="atLeast"/>
        </w:trPr>
        <w:tc>
          <w:tcPr>
            <w:tcW w:type="dxa" w:w="24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en-US"/>
              </w:rPr>
              <w:t>Persistence under stress</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High - ecological regularity</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Moderate - political disruption frequent</w:t>
            </w:r>
          </w:p>
        </w:tc>
        <w:tc>
          <w:tcPr>
            <w:tcW w:type="dxa" w:w="30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High - commercial self-enforcement</w:t>
            </w:r>
          </w:p>
        </w:tc>
      </w:tr>
      <w:tr>
        <w:tblPrEx>
          <w:shd w:val="clear" w:color="auto" w:fill="ced7e7"/>
        </w:tblPrEx>
        <w:trPr>
          <w:trHeight w:val="440" w:hRule="atLeast"/>
        </w:trPr>
        <w:tc>
          <w:tcPr>
            <w:tcW w:type="dxa" w:w="24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s>
              <w:jc w:val="center"/>
            </w:pPr>
            <w:r>
              <w:rPr>
                <w:rFonts w:ascii="Arial" w:hAnsi="Arial"/>
                <w:sz w:val="18"/>
                <w:szCs w:val="18"/>
                <w:shd w:val="nil" w:color="auto" w:fill="auto"/>
                <w:rtl w:val="0"/>
                <w:lang w:val="de-DE"/>
              </w:rPr>
              <w:t>Collapse trigger</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it-IT"/>
              </w:rPr>
              <w:t>Political conquest</w:t>
            </w:r>
          </w:p>
        </w:tc>
        <w:tc>
          <w:tcPr>
            <w:tcW w:type="dxa" w:w="200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s>
              <w:jc w:val="center"/>
            </w:pPr>
            <w:r>
              <w:rPr>
                <w:rFonts w:ascii="Arial" w:hAnsi="Arial"/>
                <w:sz w:val="18"/>
                <w:szCs w:val="18"/>
                <w:shd w:val="nil" w:color="auto" w:fill="auto"/>
                <w:rtl w:val="0"/>
                <w:lang w:val="en-US"/>
              </w:rPr>
              <w:t>Military defeat / ecological failure</w:t>
            </w:r>
          </w:p>
        </w:tc>
        <w:tc>
          <w:tcPr>
            <w:tcW w:type="dxa" w:w="3060"/>
            <w:tcBorders>
              <w:top w:val="single" w:color="999999" w:sz="1" w:space="0" w:shadow="0" w:frame="0"/>
              <w:left w:val="single" w:color="999999" w:sz="1" w:space="0" w:shadow="0" w:frame="0"/>
              <w:bottom w:val="single" w:color="999999" w:sz="1" w:space="0" w:shadow="0" w:frame="0"/>
              <w:right w:val="single" w:color="999999" w:sz="1" w:space="0" w:shadow="0" w:frame="0"/>
            </w:tcBorders>
            <w:shd w:val="clear" w:color="auto" w:fill="ffffff"/>
            <w:tcMar>
              <w:top w:type="dxa" w:w="80"/>
              <w:left w:type="dxa" w:w="80"/>
              <w:bottom w:type="dxa" w:w="80"/>
              <w:right w:type="dxa" w:w="80"/>
            </w:tcMar>
            <w:vAlign w:val="top"/>
          </w:tcPr>
          <w:p>
            <w:pPr>
              <w:pStyle w:val="Default"/>
              <w:tabs>
                <w:tab w:val="left" w:pos="720"/>
                <w:tab w:val="left" w:pos="1440"/>
                <w:tab w:val="left" w:pos="2160"/>
                <w:tab w:val="left" w:pos="2880"/>
              </w:tabs>
              <w:jc w:val="center"/>
            </w:pPr>
            <w:r>
              <w:rPr>
                <w:rFonts w:ascii="Arial" w:hAnsi="Arial"/>
                <w:sz w:val="18"/>
                <w:szCs w:val="18"/>
                <w:shd w:val="nil" w:color="auto" w:fill="auto"/>
                <w:rtl w:val="0"/>
                <w:lang w:val="en-US"/>
              </w:rPr>
              <w:t>Proposed: Trade route disruption</w:t>
            </w:r>
          </w:p>
        </w:tc>
      </w:tr>
    </w:tbl>
    <w:p>
      <w:pPr>
        <w:pStyle w:val="Heading"/>
        <w:widowControl w:val="0"/>
        <w:ind w:left="216" w:hanging="216"/>
        <w:rPr>
          <w:rFonts w:ascii="Verdana" w:cs="Verdana" w:hAnsi="Verdana" w:eastAsia="Verdana"/>
          <w:b w:val="0"/>
          <w:bCs w:val="0"/>
        </w:rPr>
      </w:pPr>
    </w:p>
    <w:p>
      <w:pPr>
        <w:pStyle w:val="Heading"/>
        <w:widowControl w:val="0"/>
        <w:ind w:left="108" w:hanging="108"/>
        <w:rPr>
          <w:rFonts w:ascii="Verdana" w:cs="Verdana" w:hAnsi="Verdana" w:eastAsia="Verdana"/>
          <w:b w:val="0"/>
          <w:bCs w:val="0"/>
        </w:rPr>
      </w:pPr>
    </w:p>
    <w:p>
      <w:pPr>
        <w:pStyle w:val="Heading"/>
        <w:widowControl w:val="0"/>
        <w:jc w:val="both"/>
        <w:rPr>
          <w:rFonts w:ascii="Verdana" w:cs="Verdana" w:hAnsi="Verdana" w:eastAsia="Verdana"/>
          <w:b w:val="0"/>
          <w:bCs w:val="0"/>
        </w:rPr>
      </w:pPr>
    </w:p>
    <w:p>
      <w:pPr>
        <w:pStyle w:val="Heading"/>
        <w:widowControl w:val="0"/>
        <w:jc w:val="both"/>
        <w:rPr>
          <w:rFonts w:ascii="Verdana" w:cs="Verdana" w:hAnsi="Verdana" w:eastAsia="Verdana"/>
          <w:b w:val="0"/>
          <w:bCs w:val="0"/>
        </w:rPr>
      </w:pPr>
    </w:p>
    <w:p>
      <w:pPr>
        <w:pStyle w:val="Heading"/>
        <w:widowControl w:val="0"/>
        <w:jc w:val="center"/>
        <w:rPr>
          <w:rFonts w:ascii="Verdana" w:cs="Verdana" w:hAnsi="Verdana" w:eastAsia="Verdana"/>
          <w:b w:val="0"/>
          <w:bCs w:val="0"/>
          <w:lang w:val="en-US"/>
        </w:rPr>
      </w:pPr>
      <w:r>
        <w:rPr>
          <w:rFonts w:ascii="Verdana" w:hAnsi="Verdana"/>
          <w:b w:val="0"/>
          <w:bCs w:val="0"/>
          <w:sz w:val="18"/>
          <w:szCs w:val="18"/>
          <w:rtl w:val="0"/>
          <w:lang w:val="en-US"/>
        </w:rPr>
        <w:t>Table 4. DSSM stabilization pathway comparison across three Bronze Age cases.</w:t>
      </w:r>
    </w:p>
    <w:p>
      <w:pPr>
        <w:pStyle w:val="Heading"/>
        <w:widowControl w:val="0"/>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8. Discussion</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reframing proposed here is a question about category. The century-long effort to explain Indus anomalies within the civilization framework has produced increasingly elaborate special-case explanations for each absence: the palaces have not been found yet, the royal burials were in perishable materials, the script has not been deciphered. These explanations are not impossible, but they are increasingly implausible as the excavated record expands without confirming any of them.</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trade network model requires no special cases. Every feature of the Indus record that is anomalous within the civilization framework is predicted, not merely accommodated, by the trade network framework. The absence of kings, armies configured for conquest, royal tombs, administrative archives, and conquest records are not gaps in the evidence. They are the evidence. The presence of defensive capacity without offensive military is particularly significant: it suggests a society that understood the need for security and invested in it deliberately, while having no political or territorial motivation for aggression.</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karum system at Kanesh demonstrates that what the trade network model proposes is not hypothetical. Stateless commercial communities maintaining coherence across large distances through shared practice, operating embedded in foreign cities across multiple generations, leaving genetic and material traces in contexts far from their origin geography - this is documented Bronze Age reality. The Harappan evidence is consistent with an earlier and larger instance of the same organizational form. Phoenicia demonstrates that commercial network logic can operate at a scale that outstrips the political structures nominally embedded within it. Together these parallels bracket the Harappan case: preceded by Kanesh's proof of concept and followed by Phoenicia's demonstration of scale.</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This reframing has implications beyond the Indus corpus. It suggests that the taxonomy of Bronze Age complexity may be insufficiently differentiated - that large-scale, geographically extensive, symbolically sophisticated social organization can emerge through commercial rather than political mechanisms, and that the resulting entities look systematically different from political civilizations in precisely the ways the Indus record demonstrates. Whether the Indus Valley satisfies standard civilization criteria is an empirical question. The present paper argues that the current evidence does not support a positive answer.</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lang w:val="en-US"/>
        </w:rPr>
      </w:pPr>
      <w:r>
        <w:rPr>
          <w:rFonts w:ascii="Verdana" w:hAnsi="Verdana"/>
          <w:b w:val="0"/>
          <w:bCs w:val="0"/>
          <w:rtl w:val="0"/>
          <w:lang w:val="en-US"/>
        </w:rPr>
        <w:t>9. Counter-Theories and Limitations</w:t>
      </w:r>
    </w:p>
    <w:p>
      <w:pPr>
        <w:pStyle w:val="Heading 2"/>
        <w:jc w:val="both"/>
        <w:rPr>
          <w:rFonts w:ascii="Verdana" w:cs="Verdana" w:hAnsi="Verdana" w:eastAsia="Verdana"/>
          <w:b w:val="0"/>
          <w:bCs w:val="0"/>
        </w:rPr>
      </w:pPr>
      <w:r>
        <w:rPr>
          <w:rFonts w:ascii="Verdana" w:hAnsi="Verdana"/>
          <w:b w:val="0"/>
          <w:bCs w:val="0"/>
          <w:rtl w:val="0"/>
          <w:lang w:val="en-US"/>
        </w:rPr>
        <w:t>9.1 The Undiscovered Palaces Argument</w:t>
      </w:r>
    </w:p>
    <w:p>
      <w:pPr>
        <w:pStyle w:val="Heading 2"/>
        <w:jc w:val="both"/>
        <w:rPr>
          <w:rFonts w:ascii="Verdana" w:cs="Verdana" w:hAnsi="Verdana" w:eastAsia="Verdana"/>
          <w:b w:val="0"/>
          <w:bCs w:val="0"/>
        </w:rPr>
      </w:pPr>
      <w:r>
        <w:rPr>
          <w:rFonts w:ascii="Verdana" w:hAnsi="Verdana"/>
          <w:b w:val="0"/>
          <w:bCs w:val="0"/>
          <w:sz w:val="22"/>
          <w:szCs w:val="22"/>
          <w:rtl w:val="0"/>
          <w:lang w:val="en-US"/>
        </w:rPr>
        <w:t>The most common objection to the trade network model is simply that the evidence for political hierarchy has not yet been found - that palaces, royal tombs, and administrative archives exist somewhere in the 1.5 million square kilometer distribution zone and await excavation. This argument carries diminishing force as the excavated record grows. Over a century of systematic archaeological investigation has produced more than 1,500 sites across the full geographic extent of the culture without recovering a single palace complex, royal burial, or administrative tablet archive. The probability of systematic non-discovery at this scale is low.</w:t>
      </w:r>
    </w:p>
    <w:p>
      <w:pPr>
        <w:pStyle w:val="Heading 2"/>
        <w:jc w:val="both"/>
        <w:rPr>
          <w:rFonts w:ascii="Verdana" w:cs="Verdana" w:hAnsi="Verdana" w:eastAsia="Verdana"/>
          <w:b w:val="0"/>
          <w:bCs w:val="0"/>
        </w:rPr>
      </w:pPr>
      <w:r>
        <w:rPr>
          <w:rFonts w:ascii="Verdana" w:hAnsi="Verdana"/>
          <w:b w:val="0"/>
          <w:bCs w:val="0"/>
          <w:sz w:val="22"/>
          <w:szCs w:val="22"/>
          <w:rtl w:val="0"/>
          <w:lang w:val="en-US"/>
        </w:rPr>
        <w:t>The administrative tablet argument is particularly strong on this point. Mesopotamia's bureaucratic record survives not because its buildings survived but because clay tablets are functionally indestructible. If the Indus network maintained a literate administration, tablets would appear throughout the excavated record the way they do at every comparable Mesopotamian site - in waste deposits, collapsed rooms, storage pits, and secondary fills. They do not appear. The selective absence of tablets alongside the confirmed presence of industrial-scale clay use for other purposes is not explained by non-discovery. It is explained by non-production.</w:t>
      </w:r>
    </w:p>
    <w:p>
      <w:pPr>
        <w:pStyle w:val="Heading 2"/>
        <w:jc w:val="both"/>
        <w:rPr>
          <w:rFonts w:ascii="Verdana" w:cs="Verdana" w:hAnsi="Verdana" w:eastAsia="Verdana"/>
          <w:b w:val="0"/>
          <w:bCs w:val="0"/>
        </w:rPr>
      </w:pPr>
      <w:r>
        <w:rPr>
          <w:rFonts w:ascii="Verdana" w:hAnsi="Verdana"/>
          <w:b w:val="0"/>
          <w:bCs w:val="0"/>
          <w:rtl w:val="0"/>
          <w:lang w:val="en-US"/>
        </w:rPr>
        <w:t>9.2 The Peer Polity Model</w:t>
      </w:r>
    </w:p>
    <w:p>
      <w:pPr>
        <w:pStyle w:val="Heading 2"/>
        <w:jc w:val="both"/>
        <w:rPr>
          <w:rFonts w:ascii="Verdana" w:cs="Verdana" w:hAnsi="Verdana" w:eastAsia="Verdana"/>
          <w:b w:val="0"/>
          <w:bCs w:val="0"/>
        </w:rPr>
      </w:pPr>
      <w:r>
        <w:rPr>
          <w:rFonts w:ascii="Verdana" w:hAnsi="Verdana"/>
          <w:b w:val="0"/>
          <w:bCs w:val="0"/>
          <w:sz w:val="22"/>
          <w:szCs w:val="22"/>
          <w:rtl w:val="0"/>
          <w:lang w:val="en-US"/>
        </w:rPr>
        <w:t>The peer polity interaction model, proposed by Renfrew and applied to IVC by several scholars, accounts for the observed uniformity of Harappan material culture across a large geographic area without requiring a centralized political authority. Under this model, multiple independent but structurally similar polities maintain coherence through competitive emulation and shared symbolic systems rather than administrative control. This is a reasonable alternative to the centralized state model and addresses the absence of a single dominant capital.</w:t>
      </w:r>
    </w:p>
    <w:p>
      <w:pPr>
        <w:pStyle w:val="Heading 2"/>
        <w:jc w:val="both"/>
        <w:rPr>
          <w:rFonts w:ascii="Verdana" w:cs="Verdana" w:hAnsi="Verdana" w:eastAsia="Verdana"/>
          <w:b w:val="0"/>
          <w:bCs w:val="0"/>
        </w:rPr>
      </w:pPr>
      <w:r>
        <w:rPr>
          <w:rFonts w:ascii="Verdana" w:hAnsi="Verdana"/>
          <w:b w:val="0"/>
          <w:bCs w:val="0"/>
          <w:sz w:val="22"/>
          <w:szCs w:val="22"/>
          <w:rtl w:val="0"/>
          <w:lang w:val="en-US"/>
        </w:rPr>
        <w:t>The peer polity model does not, however, account for the absence of warfare iconography, offensive military assemblages, or conquest records between the proposed peer polities. Peer polities typically compete as well as cooperate - the Greek city-states, the Classic Maya centers, and the Mesopotamian city-states all produced abundant evidence of inter-polity conflict alongside their shared cultural frameworks. The Indus record shows none of this. The trade network model predicts the absence of inter-node warfare more naturally than the peer polity model: nodes in a commercial network do not attack each other because they are commercially interdependent.</w:t>
      </w:r>
    </w:p>
    <w:p>
      <w:pPr>
        <w:pStyle w:val="Heading 2"/>
        <w:jc w:val="both"/>
        <w:rPr>
          <w:rFonts w:ascii="Verdana" w:cs="Verdana" w:hAnsi="Verdana" w:eastAsia="Verdana"/>
          <w:b w:val="0"/>
          <w:bCs w:val="0"/>
          <w:lang w:val="fr-FR"/>
        </w:rPr>
      </w:pPr>
      <w:r>
        <w:rPr>
          <w:rFonts w:ascii="Verdana" w:hAnsi="Verdana"/>
          <w:b w:val="0"/>
          <w:bCs w:val="0"/>
          <w:rtl w:val="0"/>
          <w:lang w:val="fr-FR"/>
        </w:rPr>
        <w:t>9.3 Limitations</w:t>
      </w:r>
    </w:p>
    <w:p>
      <w:pPr>
        <w:pStyle w:val="Heading 2"/>
        <w:jc w:val="both"/>
        <w:rPr>
          <w:rFonts w:ascii="Verdana" w:cs="Verdana" w:hAnsi="Verdana" w:eastAsia="Verdana"/>
          <w:b w:val="0"/>
          <w:bCs w:val="0"/>
        </w:rPr>
      </w:pPr>
      <w:r>
        <w:rPr>
          <w:rFonts w:ascii="Verdana" w:hAnsi="Verdana"/>
          <w:b w:val="0"/>
          <w:bCs w:val="0"/>
          <w:sz w:val="22"/>
          <w:szCs w:val="22"/>
          <w:rtl w:val="0"/>
          <w:lang w:val="en-US"/>
        </w:rPr>
        <w:t>Several limitations of the present analysis should be acknowledged. First, the ancient DNA evidence for the Harappan period currently rests on a very small sample - effectively a single sequenced individual from Rakhigarhi, with the broader genetic signal derived from individuals at sites in cultural communication with the IVC. Conclusions drawn from this base are necessarily provisional and should be revised as the sample expands.</w:t>
      </w:r>
    </w:p>
    <w:p>
      <w:pPr>
        <w:pStyle w:val="Heading 2"/>
        <w:jc w:val="both"/>
        <w:rPr>
          <w:rFonts w:ascii="Verdana" w:cs="Verdana" w:hAnsi="Verdana" w:eastAsia="Verdana"/>
          <w:b w:val="0"/>
          <w:bCs w:val="0"/>
        </w:rPr>
      </w:pPr>
      <w:r>
        <w:rPr>
          <w:rFonts w:ascii="Verdana" w:hAnsi="Verdana"/>
          <w:b w:val="0"/>
          <w:bCs w:val="0"/>
          <w:sz w:val="22"/>
          <w:szCs w:val="22"/>
          <w:rtl w:val="0"/>
          <w:lang w:val="en-US"/>
        </w:rPr>
        <w:t>Second, in the absence of deciphered Indus texts, all interpretations of architectural function - the Great Bath, the citadel structures, the so-called granaries - remain necessarily inferential. The trade network model offers a coherent reading of these structures, but coherence is not confirmation. Third, the trade network model is proposed here as more explanatorily parsimonious than the civilization model given current evidence, not as definitively established. New excavations, particularly at poorly sampled sites in the Ghaggar-Hakra corridor and in Gujarat coastal contexts, could materially alter the picture. The argument advanced here is that the current evidence warrants a serious reexamination of the category, not that the reexamination is closed.</w:t>
      </w:r>
    </w:p>
    <w:p>
      <w:pPr>
        <w:pStyle w:val="Heading 2"/>
        <w:jc w:val="both"/>
        <w:rPr>
          <w:rFonts w:ascii="Verdana" w:cs="Verdana" w:hAnsi="Verdana" w:eastAsia="Verdana"/>
          <w:b w:val="0"/>
          <w:bCs w:val="0"/>
        </w:rPr>
      </w:pPr>
    </w:p>
    <w:p>
      <w:pPr>
        <w:pStyle w:val="Heading"/>
        <w:jc w:val="both"/>
        <w:rPr>
          <w:rFonts w:ascii="Verdana" w:cs="Verdana" w:hAnsi="Verdana" w:eastAsia="Verdana"/>
          <w:b w:val="0"/>
          <w:bCs w:val="0"/>
          <w:lang w:val="it-IT"/>
        </w:rPr>
      </w:pPr>
      <w:r>
        <w:rPr>
          <w:rFonts w:ascii="Verdana" w:hAnsi="Verdana"/>
          <w:b w:val="0"/>
          <w:bCs w:val="0"/>
          <w:rtl w:val="0"/>
          <w:lang w:val="it-IT"/>
        </w:rPr>
        <w:t>10. Conclusion</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When the Indus Valley is tested against standard civilization criteria, the evidence does not confirm the category. There are no kings, no apparatus of territorial conquest, no royal tombs, no administrative archives, no conquest records, and no palace complexes - across more than 1,500 sites and seven centuries of mature urban occupation. There is, however, evidence of defensive capacity without offensive military: a society that protected itself without projecting force. These are not absences awaiting explanation. They are a consistent pattern pointing toward a different organizational logic.</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The trade network model accounts for all of them. The Dholavira signboard was outward-facing commercial signage. The weight system was a self-enforced commercial standard. The Great Bath was shared infrastructure for a cosmopolitan population. Lothal was a port, now confirmed. The genetic signal of IVC-related ancestry in Central Asia and Iran reflects sustained multi-generational contact of the kind commercial networks generate. The Assyrian karum system at Kanesh documents that this organizational form existed and worked in the Bronze Age. The end of Harappan urbanism follows the pattern of network rerouting, not civilizational collapse.</w:t>
      </w:r>
    </w:p>
    <w:p>
      <w:pPr>
        <w:pStyle w:val="Heading"/>
        <w:jc w:val="both"/>
        <w:rPr>
          <w:rFonts w:ascii="Verdana" w:cs="Verdana" w:hAnsi="Verdana" w:eastAsia="Verdana"/>
          <w:b w:val="0"/>
          <w:bCs w:val="0"/>
          <w:lang w:val="en-US"/>
        </w:rPr>
      </w:pPr>
      <w:r>
        <w:rPr>
          <w:rFonts w:ascii="Verdana" w:hAnsi="Verdana"/>
          <w:b w:val="0"/>
          <w:bCs w:val="0"/>
          <w:sz w:val="22"/>
          <w:szCs w:val="22"/>
          <w:rtl w:val="0"/>
          <w:lang w:val="en-US"/>
        </w:rPr>
        <w:t>A trade network that maintained coherence across 1.5 million square kilometers for seven centuries, without kings, armies of conquest, or coercive administration, through the distributed self-interest of its participants and the security of a commercially neutral position, is not a failed civilization. It is a different kind of achievement - and possibly a more instructive one for understanding how large-scale human coordination can be organized without political hierarchy.</w:t>
      </w:r>
    </w:p>
    <w:p>
      <w:pPr>
        <w:pStyle w:val="Heading"/>
        <w:jc w:val="both"/>
        <w:rPr>
          <w:rFonts w:ascii="Verdana" w:cs="Verdana" w:hAnsi="Verdana" w:eastAsia="Verdana"/>
          <w:b w:val="0"/>
          <w:bCs w:val="0"/>
        </w:rPr>
      </w:pPr>
    </w:p>
    <w:p>
      <w:pPr>
        <w:pStyle w:val="Heading"/>
        <w:jc w:val="both"/>
        <w:rPr>
          <w:rFonts w:ascii="Verdana" w:cs="Verdana" w:hAnsi="Verdana" w:eastAsia="Verdana"/>
          <w:b w:val="0"/>
          <w:bCs w:val="0"/>
          <w:lang w:val="fr-FR"/>
        </w:rPr>
      </w:pPr>
      <w:r>
        <w:rPr>
          <w:rFonts w:ascii="Verdana" w:hAnsi="Verdana"/>
          <w:b w:val="0"/>
          <w:bCs w:val="0"/>
          <w:rtl w:val="0"/>
          <w:lang w:val="fr-FR"/>
        </w:rPr>
        <w:t>References</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Bisht, R. S. "Dholavira: A New Horizon of the Indus Civilization." Puratattva 20 (1991): 71-82. [Page numbers unverified; confirm before journal submission.]</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Clift, P. D., and Plumb, R. A. The Asian Monsoon: Causes, History and Effects. Cambridge University Press, 2008.</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Farmer, S., Sproat, R., and Witzel, M. "The Collapse of the Indus-Script Thesis: The Myth of a Literate Harappan Civilization." Electronic Journal of Vedic Studies 11, no. 2 (2004): 19-57.</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Gupta, E., Prabhakar, V. N., and Jain, V. "Sabarmati and Its Connection with the Harappan Port Lothal." Journal of Archaeological Science 170 (2024).</w:t>
      </w:r>
    </w:p>
    <w:p>
      <w:pPr>
        <w:pStyle w:val="Heading"/>
        <w:jc w:val="both"/>
        <w:rPr>
          <w:rFonts w:ascii="Verdana" w:cs="Verdana" w:hAnsi="Verdana" w:eastAsia="Verdana"/>
          <w:b w:val="0"/>
          <w:bCs w:val="0"/>
        </w:rPr>
      </w:pPr>
      <w:r>
        <w:rPr>
          <w:rFonts w:ascii="Verdana" w:hAnsi="Verdana"/>
          <w:b w:val="0"/>
          <w:bCs w:val="0"/>
          <w:sz w:val="18"/>
          <w:szCs w:val="18"/>
          <w:rtl w:val="0"/>
          <w:lang w:val="de-DE"/>
        </w:rPr>
        <w:t>Jarrige, C. Mehrgarh: Field Reports. CNRS Press, 2008.</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Jansen, M. "Mohenjo-daro, City of the Indus Valley." Endeavour 9, no. 4 (1985): 161-169.</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Kenoyer, J. M. Ancient Cities of the Indus Valley Civilization. Oxford University Press, 1998.</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Kenoyer, J. M. "The Indus Valley Tradition of Pakistan and Western India." Journal of World Prehistory 5, no. 4 (1991): 331-385.</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Kenoyer, J. M. "Crafts and Social Organization in the Indus Valley." Ancient India 64 (2008): 25-45.</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Larsen, M. T. The Old Assyrian City-State and Its Colonies. Akademisk Forlag, 1976.</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Narasimhan, V. M., et al. "The Formation of Human Populations in South and Central Asia." Science 365, no. 6457 (2019): eaat7487.</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Parpola, A. Deciphering the Indus Script. Cambridge University Press, 1994.</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Parpola, A. "The Coming of the Aryans to Iran and India and the Cultural and Ethnic Identity of the Dasas." Studia Orientalia 64 (1988): 195-302.</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Possehl, G. L. The Indus Civilization: A Contemporary Perspective. Rowman &amp; Littlefield, 2002.</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Rao, S. R. Lothal: A Harappan Port Town. Archaeological Survey of India, 1985.</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Ratnagar, S. Trading Encounters: From the Euphrates to the Indus in the Bronze Age. 2nd ed. Oxford University Press, 2004.</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Shinde, V., et al. "An Ancient Harappan Genome Lacks Ancestry from Steppe Pastoralists or Iranian Farmers." Cell 179, no. 3 (2019): 729-735.e10. https://doi.org/10.1016/j.cell.2019.08.048</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Vidale, M. The Archaeology of Indus Crafts. IsIAO, 2000.</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Vondoom, A. Deep Symbolic Systems Model: Canonical Framework. OSF, 2025. https://doi.org/10.17605/OSF.IO/YW5GM</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Vondoom, A. "Cognitive Foundations of Early Indus Valley Civilization: Distributed Mercantile Symbolic Stabilization Along the Indus." Zenodo preprint, 2026. https://doi.org/10.5281/zenodo.18406654</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Vondoom, A. "The Woman from Rakhigarhi: Genomic Evidence and the DSSM Model of Indus Identity." DSSM Preprint Series, 2026.</w:t>
      </w:r>
    </w:p>
    <w:p>
      <w:pPr>
        <w:pStyle w:val="Heading"/>
        <w:jc w:val="both"/>
        <w:rPr>
          <w:rFonts w:ascii="Verdana" w:cs="Verdana" w:hAnsi="Verdana" w:eastAsia="Verdana"/>
          <w:b w:val="0"/>
          <w:bCs w:val="0"/>
          <w:lang w:val="en-US"/>
        </w:rPr>
      </w:pPr>
      <w:r>
        <w:rPr>
          <w:rFonts w:ascii="Verdana" w:hAnsi="Verdana"/>
          <w:b w:val="0"/>
          <w:bCs w:val="0"/>
          <w:sz w:val="18"/>
          <w:szCs w:val="18"/>
          <w:rtl w:val="0"/>
          <w:lang w:val="en-US"/>
        </w:rPr>
        <w:t>Vondoom, A. "Before the Silk Road: Resident Mercantile Communities and the Indus Trade Diaspora." DSSM Preprint Series, 2026.</w:t>
      </w:r>
    </w:p>
    <w:p>
      <w:pPr>
        <w:pStyle w:val="Heading"/>
        <w:jc w:val="both"/>
      </w:pPr>
      <w:r>
        <w:rPr>
          <w:rFonts w:ascii="Verdana" w:hAnsi="Verdana"/>
          <w:b w:val="0"/>
          <w:bCs w:val="0"/>
          <w:sz w:val="18"/>
          <w:szCs w:val="18"/>
          <w:rtl w:val="0"/>
          <w:lang w:val="en-US"/>
        </w:rPr>
        <w:t>Wright, R. P. The Ancient Indus: Urbanism, Economy, and Society. Cambridge University Press, 2010.</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320" w:after="16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240" w:after="12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