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34"/>
          <w:szCs w:val="34"/>
        </w:rPr>
      </w:pPr>
      <w:r>
        <w:rPr>
          <w:rFonts w:ascii="Verdana" w:hAnsi="Verdana"/>
          <w:b w:val="1"/>
          <w:bCs w:val="1"/>
          <w:sz w:val="34"/>
          <w:szCs w:val="34"/>
          <w:rtl w:val="0"/>
          <w:lang w:val="en-US"/>
        </w:rPr>
        <w:t xml:space="preserve">The Queen's Chamber Shafts as Geometric Markers of a Stepped Internal Core: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8"/>
          <w:szCs w:val="28"/>
        </w:rPr>
      </w:pPr>
      <w:r>
        <w:rPr>
          <w:rFonts w:ascii="Verdana" w:hAnsi="Verdana"/>
          <w:sz w:val="26"/>
          <w:szCs w:val="26"/>
          <w:rtl w:val="0"/>
          <w:lang w:val="en-US"/>
        </w:rPr>
        <w:t>A Convergent Analysis Integrating Observational, Robotic Survey, and Geophysical Evidence in the Great Pyramid of Khufu</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8"/>
          <w:szCs w:val="28"/>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8"/>
          <w:szCs w:val="28"/>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8"/>
          <w:szCs w:val="28"/>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8"/>
          <w:szCs w:val="28"/>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8"/>
          <w:szCs w:val="28"/>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8"/>
          <w:szCs w:val="28"/>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8"/>
          <w:szCs w:val="28"/>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8"/>
          <w:szCs w:val="28"/>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8"/>
          <w:szCs w:val="28"/>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8"/>
          <w:szCs w:val="28"/>
        </w:rPr>
      </w:pPr>
      <w:r>
        <w:rPr>
          <w:rFonts w:ascii="Verdana" w:hAnsi="Verdana"/>
          <w:b w:val="1"/>
          <w:bCs w:val="1"/>
          <w:sz w:val="28"/>
          <w:szCs w:val="28"/>
          <w:rtl w:val="0"/>
          <w:lang w:val="it-IT"/>
        </w:rPr>
        <w:t xml:space="preserve">Figshare </w:t>
      </w:r>
      <w:r>
        <w:rPr>
          <w:rStyle w:val="Hyperlink.0"/>
          <w:rFonts w:ascii="Verdana" w:cs="Verdana" w:hAnsi="Verdana" w:eastAsia="Verdana"/>
        </w:rPr>
        <w:fldChar w:fldCharType="begin" w:fldLock="0"/>
      </w:r>
      <w:r>
        <w:rPr>
          <w:rStyle w:val="Hyperlink.0"/>
          <w:rFonts w:ascii="Verdana" w:cs="Verdana" w:hAnsi="Verdana" w:eastAsia="Verdana"/>
        </w:rPr>
        <w:instrText xml:space="preserve"> HYPERLINK "https://doi.org/10.6084/m9.figshare.32774961"</w:instrText>
      </w:r>
      <w:r>
        <w:rPr>
          <w:rStyle w:val="Hyperlink.0"/>
          <w:rFonts w:ascii="Verdana" w:cs="Verdana" w:hAnsi="Verdana" w:eastAsia="Verdana"/>
        </w:rPr>
        <w:fldChar w:fldCharType="separate" w:fldLock="0"/>
      </w:r>
      <w:r>
        <w:rPr>
          <w:rStyle w:val="Hyperlink.0"/>
          <w:rFonts w:ascii="Verdana" w:hAnsi="Verdana"/>
          <w:rtl w:val="0"/>
          <w:lang w:val="en-US"/>
        </w:rPr>
        <w:t>https://doi.org/10.6084/m9.figshare.32774961</w:t>
      </w:r>
      <w:r>
        <w:rPr>
          <w:rFonts w:ascii="Verdana" w:cs="Verdana" w:hAnsi="Verdana" w:eastAsia="Verdana"/>
        </w:rPr>
        <w:fldChar w:fldCharType="end" w:fldLock="0"/>
      </w:r>
      <w:r>
        <w:rPr>
          <w:rFonts w:ascii="Verdana" w:hAnsi="Verdana"/>
          <w:b w:val="1"/>
          <w:bCs w:val="1"/>
          <w:sz w:val="28"/>
          <w:szCs w:val="28"/>
          <w:rtl w:val="0"/>
          <w:lang w:val="it-IT"/>
        </w:rPr>
        <w:t xml:space="preserve">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8"/>
          <w:szCs w:val="28"/>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8"/>
          <w:szCs w:val="28"/>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8"/>
          <w:szCs w:val="28"/>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8"/>
          <w:szCs w:val="28"/>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8"/>
          <w:szCs w:val="28"/>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8"/>
          <w:szCs w:val="28"/>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8"/>
          <w:szCs w:val="28"/>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8"/>
          <w:szCs w:val="28"/>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8"/>
          <w:szCs w:val="28"/>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8"/>
          <w:szCs w:val="28"/>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8"/>
          <w:szCs w:val="28"/>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8"/>
          <w:szCs w:val="28"/>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8"/>
          <w:szCs w:val="28"/>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8"/>
          <w:szCs w:val="28"/>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8"/>
          <w:szCs w:val="28"/>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8"/>
          <w:szCs w:val="28"/>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8"/>
          <w:szCs w:val="28"/>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8"/>
          <w:szCs w:val="28"/>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8"/>
          <w:szCs w:val="28"/>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8"/>
          <w:szCs w:val="28"/>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r>
        <w:rPr>
          <w:rFonts w:ascii="Verdana" w:hAnsi="Verdana"/>
          <w:b w:val="1"/>
          <w:bCs w:val="1"/>
          <w:sz w:val="24"/>
          <w:szCs w:val="24"/>
          <w:rtl w:val="0"/>
          <w:lang w:val="en-US"/>
        </w:rPr>
        <w:t>Anthony Vondoom</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sz w:val="24"/>
          <w:szCs w:val="24"/>
        </w:rPr>
      </w:pPr>
      <w:r>
        <w:rPr>
          <w:rFonts w:ascii="Verdana" w:hAnsi="Verdana"/>
          <w:sz w:val="24"/>
          <w:szCs w:val="24"/>
          <w:rtl w:val="0"/>
          <w:lang w:val="en-US"/>
        </w:rPr>
        <w:t>Independent Researcher, Cognitive Archaeology,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r>
        <w:rPr>
          <w:rFonts w:ascii="Verdana" w:hAnsi="Verdana"/>
          <w:sz w:val="24"/>
          <w:szCs w:val="24"/>
          <w:rtl w:val="0"/>
          <w:lang w:val="it-IT"/>
        </w:rPr>
        <w:t>Sirmione, Italy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r>
        <w:rPr>
          <w:rFonts w:ascii="Verdana" w:hAnsi="Verdana"/>
          <w:sz w:val="24"/>
          <w:szCs w:val="24"/>
          <w:rtl w:val="0"/>
        </w:rPr>
        <w:t>ORCID: 0009-0003-4953-1427</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r>
        <w:rPr>
          <w:rFonts w:ascii="Verdana" w:hAnsi="Verdana"/>
          <w:i w:val="1"/>
          <w:iCs w:val="1"/>
          <w:sz w:val="24"/>
          <w:szCs w:val="24"/>
          <w:rtl w:val="0"/>
          <w:lang w:val="nl-NL"/>
        </w:rPr>
        <w:t>anthony.vondoom@outlook.com</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b w:val="1"/>
          <w:bCs w:val="1"/>
          <w:sz w:val="24"/>
          <w:szCs w:val="24"/>
          <w:rtl w:val="0"/>
          <w:lang w:val="de-DE"/>
        </w:rPr>
        <w:t>Abstract</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sz w:val="24"/>
          <w:szCs w:val="24"/>
          <w:rtl w:val="0"/>
          <w:lang w:val="en-US"/>
        </w:rPr>
        <w:t>This paper presents a convergent geometric and geophysical analysis bearing on the internal construction of the Great Pyramid of Khufu, building on three prior independent lines of evidence. Rigano (2003) established through systematic observational analysis that 22 of 30 surveyed Old Kingdom pyramids contain confirmed stepped internal cores beneath their smooth exterior casing, and proposed that the Queen's Chamber shafts - which terminate inside the pyramid core without exiting - may mark the surface of an internal stepped structure. Vondoom (2026a) established through geophysical analysis of the 1987 Bui et al. microgravimetric survey that the pyramid's internal density zones do not correlate horizontally, inconsistent with uniform construction and consistent with non-horizontal material boundaries. A discovery by the Egyptian Supreme Council of Antiquities at Gebel El-Teir, Minya (June 2026), of two Early Dynastic tombs whose walls are thicker at the base and gradually narrow toward the top provides contemporary field confirmation of the developmental arc underlying both prior lines of evidence. The present paper applies a geometric test to Rigano's shaft hypothesis using Gantenbrink's (1993) robotic survey data. The southern Queen's Chamber shaft, travelling at 39.6 degrees over 65 metres, terminates at approximately 63.5 metres above the pyramid base. Under a stepped core model derived from Meidum proportions applied to Khufu's dimensions, the projected step core face sits at approximately 63.3 metres at the corresponding horizontal distance - a difference of 0.23 metres, within the uncertainty of the projection. No single line of evidence confirms the stepped model; together, across four independent data sources spanning Petrie's 1883 survey to the 2023 muon tomography programme, they constitute a convergent evidential case. A falsifiable prediction is proposed.</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b w:val="1"/>
          <w:bCs w:val="1"/>
          <w:sz w:val="24"/>
          <w:szCs w:val="24"/>
          <w:rtl w:val="0"/>
          <w:lang w:val="en-US"/>
        </w:rPr>
        <w:t xml:space="preserve">Keywords: </w:t>
      </w:r>
      <w:r>
        <w:rPr>
          <w:rFonts w:ascii="Verdana" w:hAnsi="Verdana"/>
          <w:sz w:val="24"/>
          <w:szCs w:val="24"/>
          <w:rtl w:val="0"/>
          <w:lang w:val="en-US"/>
        </w:rPr>
        <w:t>Great Pyramid of Khufu; Queen's Chamber shafts; stepped internal core; Gantenbrink; microgravimetry; Meidum Pyramid; Bui et al. 1987; geometric analysis; Gebel El-Teir</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numPr>
          <w:ilvl w:val="0"/>
          <w:numId w:val="2"/>
        </w:numPr>
        <w:jc w:val="both"/>
        <w:rPr>
          <w:rFonts w:ascii="Verdana" w:hAnsi="Verdana"/>
          <w:sz w:val="28"/>
          <w:szCs w:val="28"/>
          <w:lang w:val="fr-FR"/>
        </w:rPr>
      </w:pPr>
      <w:r>
        <w:rPr>
          <w:rFonts w:ascii="Verdana" w:hAnsi="Verdana"/>
          <w:b w:val="1"/>
          <w:bCs w:val="1"/>
          <w:sz w:val="28"/>
          <w:szCs w:val="28"/>
          <w:rtl w:val="0"/>
          <w:lang w:val="fr-FR"/>
        </w:rPr>
        <w:t>Introduction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sz w:val="24"/>
          <w:szCs w:val="24"/>
          <w:rtl w:val="0"/>
          <w:lang w:val="en-US"/>
        </w:rPr>
        <w:t>Two independent research programmes have arrived at a common structural conclusion about the Great Pyramid of Khufu by entirely different methodological routes. Rigano (2003), through systematic observational analysis of 30 Old Kingdom pyramids, documented that 22 contain confirmed stepped internal cores beneath their smooth casing, and proposed that the unexplained termination of the Queen's Chamber shafts inside the pyramid core may mark the surface of a stepped internal structure.</w:t>
      </w:r>
      <w:r>
        <w:rPr>
          <w:rFonts w:ascii="Verdana" w:cs="Verdana" w:hAnsi="Verdana" w:eastAsia="Verdana"/>
          <w:vertAlign w:val="superscript"/>
        </w:rPr>
        <w:footnoteReference w:id="1"/>
      </w:r>
      <w:r>
        <w:rPr>
          <w:rFonts w:ascii="Verdana" w:hAnsi="Verdana"/>
          <w:sz w:val="24"/>
          <w:szCs w:val="24"/>
          <w:rtl w:val="0"/>
          <w:lang w:val="en-US"/>
        </w:rPr>
        <w:t xml:space="preserve"> Vondoom (2026a), through geophysical analysis of the 1987 Bui et al. microgravimetric survey, established that the pyramid's internal density zones do not correlate horizontally, inconsistent with uniform horizontal construction.</w:t>
      </w:r>
      <w:r>
        <w:rPr>
          <w:rFonts w:ascii="Verdana" w:cs="Verdana" w:hAnsi="Verdana" w:eastAsia="Verdana"/>
          <w:vertAlign w:val="superscript"/>
        </w:rPr>
        <w:footnoteReference w:id="2"/>
      </w:r>
      <w:r>
        <w:rPr>
          <w:rFonts w:ascii="Verdana" w:hAnsi="Verdana"/>
          <w:sz w:val="24"/>
          <w:szCs w:val="24"/>
          <w:rtl w:val="0"/>
          <w:lang w:val="en-US"/>
        </w:rPr>
        <w:t xml:space="preserve"> The present paper closes the gap between these two lines of evidence by applying a geometric test to Rigano's shaft hypothesis, using the precise robotic survey data collected by Rudolf Gantenbrink in 1993.</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sz w:val="24"/>
          <w:szCs w:val="24"/>
          <w:rtl w:val="0"/>
          <w:lang w:val="en-US"/>
        </w:rPr>
        <w:t>The Queen's Chamber shafts have been an acknowledged anomaly in the Egyptological literature since their discovery by Waynman Dixon in 1872. Unlike the King's Chamber shafts, which exit the pyramid's exterior at known elevations, the Queen's Chamber shafts travel through the pyramid core and terminate without exit, sealed at their ends by limestone blocking slabs.</w:t>
      </w:r>
      <w:r>
        <w:rPr>
          <w:rFonts w:ascii="Verdana" w:cs="Verdana" w:hAnsi="Verdana" w:eastAsia="Verdana"/>
          <w:vertAlign w:val="superscript"/>
        </w:rPr>
        <w:footnoteReference w:id="3"/>
      </w:r>
      <w:r>
        <w:rPr>
          <w:rFonts w:ascii="Verdana" w:hAnsi="Verdana"/>
          <w:sz w:val="24"/>
          <w:szCs w:val="24"/>
          <w:rtl w:val="0"/>
          <w:lang w:val="en-US"/>
        </w:rPr>
        <w:t xml:space="preserve"> Their purpose has generated substantial scholarly debate, but the significance of their termination points as potential structural markers has not previously been examined against a quantitative construction model. This paper undertakes that examination.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sz w:val="24"/>
          <w:szCs w:val="24"/>
          <w:rtl w:val="0"/>
          <w:lang w:val="en-US"/>
        </w:rPr>
        <w:t>A further line of contemporary confirmation emerged in June 2026, when the Egyptian Supreme Council of Antiquities announced the discovery of two Early Dynastic tombs at Gebel El-Teir in Minya Governorate. The first tomb features walls that are thicker at the base and gradually narrow toward the top - a geometry described by the Head of the Egyptian Antiquities Sector as representing 'an early step in the engineering ideas that later led to the step pyramid and eventually the true pyramid'.</w:t>
      </w:r>
      <w:r>
        <w:rPr>
          <w:rFonts w:ascii="Verdana" w:cs="Verdana" w:hAnsi="Verdana" w:eastAsia="Verdana"/>
          <w:vertAlign w:val="superscript"/>
        </w:rPr>
        <w:footnoteReference w:id="4"/>
      </w:r>
      <w:r>
        <w:rPr>
          <w:rFonts w:ascii="Verdana" w:hAnsi="Verdana"/>
          <w:sz w:val="24"/>
          <w:szCs w:val="24"/>
          <w:rtl w:val="0"/>
          <w:lang w:val="en-US"/>
        </w:rPr>
        <w:t xml:space="preserve"> This independent observation by Egyptian state archaeologists directly confirms the developmental sequence from tapered-wall tomb to mastaba to stepped pyramid to true pyramid that underpins the construction argument of this paper.</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sz w:val="24"/>
          <w:szCs w:val="24"/>
          <w:rtl w:val="0"/>
          <w:lang w:val="en-US"/>
        </w:rPr>
        <w:t>The argument proceeds in four stages: a review of the observational evidence base established by Rigano (2003) and Rigano (2014); the geometric calculation of the shaft termination position using Gantenbrink's (1993) measurements; a comparison of the termination position against a stepped core model derived from Meidum proportions; and a synthesis with the Bui et al. (1987) geophysical data. Confirmed evidence is distinguished from hypothesis throughout.</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b w:val="1"/>
          <w:bCs w:val="1"/>
          <w:sz w:val="28"/>
          <w:szCs w:val="28"/>
        </w:rPr>
      </w:pPr>
      <w:r>
        <w:rPr>
          <w:rFonts w:ascii="Verdana" w:hAnsi="Verdana"/>
          <w:b w:val="1"/>
          <w:bCs w:val="1"/>
          <w:sz w:val="28"/>
          <w:szCs w:val="28"/>
          <w:rtl w:val="0"/>
          <w:lang w:val="en-US"/>
        </w:rPr>
        <w:t>2. The Observational Foundation: Rigano's Systematic Survey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sz w:val="24"/>
          <w:szCs w:val="24"/>
          <w:rtl w:val="0"/>
          <w:lang w:val="en-US"/>
        </w:rPr>
        <w:t>The most systematic observational case for stepped internal cores in Old Kingdom true pyramids was assembled by Rigano (2003, 2014) through a survey of 36 pyramid structures spanning Dynasty III through Dynasty VI. Of 30 pyramids whose construction details were sufficiently preserved for analysis, 22 were found to contain a visible step pyramid structure beneath the completed smooth exterior.</w:t>
      </w:r>
      <w:r>
        <w:rPr>
          <w:rFonts w:ascii="Verdana" w:cs="Verdana" w:hAnsi="Verdana" w:eastAsia="Verdana"/>
          <w:vertAlign w:val="superscript"/>
        </w:rPr>
        <w:footnoteReference w:id="5"/>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r>
        <w:rPr>
          <w:rFonts w:ascii="Verdana" w:hAnsi="Verdana"/>
          <w:i w:val="1"/>
          <w:iCs w:val="1"/>
          <w:rtl w:val="0"/>
          <w:lang w:val="en-US"/>
        </w:rPr>
        <w:t>Table 1. Selected Old Kingdom pyramids with confirmed stepped internal cores (after Rigano 2003: Table 1).</w:t>
      </w:r>
    </w:p>
    <w:tbl>
      <w:tblPr>
        <w:tblW w:w="902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805"/>
        <w:gridCol w:w="1805"/>
        <w:gridCol w:w="1805"/>
        <w:gridCol w:w="1805"/>
        <w:gridCol w:w="1805"/>
      </w:tblGrid>
      <w:tr>
        <w:tblPrEx>
          <w:shd w:val="clear" w:color="auto" w:fill="ced7e7"/>
        </w:tblPrEx>
        <w:trPr>
          <w:trHeight w:val="292" w:hRule="atLeast"/>
        </w:trPr>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b w:val="1"/>
                <w:bCs w:val="1"/>
                <w:sz w:val="24"/>
                <w:szCs w:val="24"/>
                <w:u w:color="000000"/>
                <w:shd w:val="nil" w:color="auto" w:fill="auto"/>
                <w:rtl w:val="0"/>
              </w:rPr>
              <w:t>Pyramid</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b w:val="1"/>
                <w:bCs w:val="1"/>
                <w:sz w:val="24"/>
                <w:szCs w:val="24"/>
                <w:u w:color="000000"/>
                <w:shd w:val="nil" w:color="auto" w:fill="auto"/>
                <w:rtl w:val="0"/>
                <w:lang w:val="en-US"/>
              </w:rPr>
              <w:t>Field</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b w:val="1"/>
                <w:bCs w:val="1"/>
                <w:sz w:val="24"/>
                <w:szCs w:val="24"/>
                <w:u w:color="000000"/>
                <w:shd w:val="nil" w:color="auto" w:fill="auto"/>
                <w:rtl w:val="0"/>
              </w:rPr>
              <w:t>Dynasty</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b w:val="1"/>
                <w:bCs w:val="1"/>
                <w:sz w:val="24"/>
                <w:szCs w:val="24"/>
                <w:u w:color="000000"/>
                <w:shd w:val="nil" w:color="auto" w:fill="auto"/>
                <w:rtl w:val="0"/>
                <w:lang w:val="pt-PT"/>
              </w:rPr>
              <w:t>Interior</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b w:val="1"/>
                <w:bCs w:val="1"/>
                <w:sz w:val="24"/>
                <w:szCs w:val="24"/>
                <w:u w:color="000000"/>
                <w:shd w:val="nil" w:color="auto" w:fill="auto"/>
                <w:rtl w:val="0"/>
                <w:lang w:val="en-US"/>
              </w:rPr>
              <w:t>Cased</w:t>
            </w:r>
          </w:p>
        </w:tc>
      </w:tr>
      <w:tr>
        <w:tblPrEx>
          <w:shd w:val="clear" w:color="auto" w:fill="ced7e7"/>
        </w:tblPrEx>
        <w:trPr>
          <w:trHeight w:val="650" w:hRule="atLeast"/>
        </w:trPr>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lang w:val="de-DE"/>
              </w:rPr>
              <w:t>Sneferu (Meidum)</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lang w:val="de-DE"/>
              </w:rPr>
              <w:t>Meidum</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rPr>
              <w:t>IV</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lang w:val="en-US"/>
              </w:rPr>
              <w:t>Stepped (visible)</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lang w:val="en-US"/>
              </w:rPr>
              <w:t>Yes</w:t>
            </w:r>
          </w:p>
        </w:tc>
      </w:tr>
      <w:tr>
        <w:tblPrEx>
          <w:shd w:val="clear" w:color="auto" w:fill="ced7e7"/>
        </w:tblPrEx>
        <w:trPr>
          <w:trHeight w:val="292" w:hRule="atLeast"/>
        </w:trPr>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rPr>
              <w:t>[Khufu]</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lang w:val="en-US"/>
              </w:rPr>
              <w:t>Giza</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rPr>
              <w:t>IV</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lang w:val="en-US"/>
              </w:rPr>
              <w:t>Unknown</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lang w:val="en-US"/>
              </w:rPr>
              <w:t>Yes</w:t>
            </w:r>
          </w:p>
        </w:tc>
      </w:tr>
      <w:tr>
        <w:tblPrEx>
          <w:shd w:val="clear" w:color="auto" w:fill="ced7e7"/>
        </w:tblPrEx>
        <w:trPr>
          <w:trHeight w:val="292" w:hRule="atLeast"/>
        </w:trPr>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rPr>
              <w:t>Khufu GI-a</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lang w:val="en-US"/>
              </w:rPr>
              <w:t>Giza</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rPr>
              <w:t>IV</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lang w:val="en-US"/>
              </w:rPr>
              <w:t>Stepped</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lang w:val="en-US"/>
              </w:rPr>
              <w:t>Yes</w:t>
            </w:r>
          </w:p>
        </w:tc>
      </w:tr>
      <w:tr>
        <w:tblPrEx>
          <w:shd w:val="clear" w:color="auto" w:fill="ced7e7"/>
        </w:tblPrEx>
        <w:trPr>
          <w:trHeight w:val="292" w:hRule="atLeast"/>
        </w:trPr>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rPr>
              <w:t>Khufu GI-b</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lang w:val="en-US"/>
              </w:rPr>
              <w:t>Giza</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rPr>
              <w:t>IV</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lang w:val="en-US"/>
              </w:rPr>
              <w:t>Stepped</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lang w:val="en-US"/>
              </w:rPr>
              <w:t>Yes</w:t>
            </w:r>
          </w:p>
        </w:tc>
      </w:tr>
      <w:tr>
        <w:tblPrEx>
          <w:shd w:val="clear" w:color="auto" w:fill="ced7e7"/>
        </w:tblPrEx>
        <w:trPr>
          <w:trHeight w:val="292" w:hRule="atLeast"/>
        </w:trPr>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rPr>
              <w:t>Khufu GI-c</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lang w:val="en-US"/>
              </w:rPr>
              <w:t>Giza</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rPr>
              <w:t>IV</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lang w:val="en-US"/>
              </w:rPr>
              <w:t>Stepped</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lang w:val="en-US"/>
              </w:rPr>
              <w:t>Yes</w:t>
            </w:r>
          </w:p>
        </w:tc>
      </w:tr>
      <w:tr>
        <w:tblPrEx>
          <w:shd w:val="clear" w:color="auto" w:fill="ced7e7"/>
        </w:tblPrEx>
        <w:trPr>
          <w:trHeight w:val="292" w:hRule="atLeast"/>
        </w:trPr>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lang w:val="de-DE"/>
              </w:rPr>
              <w:t>Menkaure</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lang w:val="en-US"/>
              </w:rPr>
              <w:t>Giza</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rPr>
              <w:t>IV</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lang w:val="en-US"/>
              </w:rPr>
              <w:t>Stepped</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lang w:val="en-US"/>
              </w:rPr>
              <w:t>Yes</w:t>
            </w:r>
          </w:p>
        </w:tc>
      </w:tr>
      <w:tr>
        <w:tblPrEx>
          <w:shd w:val="clear" w:color="auto" w:fill="ced7e7"/>
        </w:tblPrEx>
        <w:trPr>
          <w:trHeight w:val="650" w:hRule="atLeast"/>
        </w:trPr>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lang w:val="de-DE"/>
              </w:rPr>
              <w:t>Menkaure GIII-b</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lang w:val="en-US"/>
              </w:rPr>
              <w:t>Giza</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rPr>
              <w:t>IV</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lang w:val="en-US"/>
              </w:rPr>
              <w:t>Step exterior</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lang w:val="en-US"/>
              </w:rPr>
              <w:t>No (unfinished)</w:t>
            </w:r>
          </w:p>
        </w:tc>
      </w:tr>
      <w:tr>
        <w:tblPrEx>
          <w:shd w:val="clear" w:color="auto" w:fill="ced7e7"/>
        </w:tblPrEx>
        <w:trPr>
          <w:trHeight w:val="292" w:hRule="atLeast"/>
        </w:trPr>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lang w:val="de-DE"/>
              </w:rPr>
              <w:t>Menkaure GIII-c</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lang w:val="en-US"/>
              </w:rPr>
              <w:t>Giza</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rPr>
              <w:t>IV</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lang w:val="en-US"/>
              </w:rPr>
              <w:t>Step exterior</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lang w:val="en-US"/>
              </w:rPr>
              <w:t>No (unfinished)</w:t>
            </w:r>
          </w:p>
        </w:tc>
      </w:tr>
      <w:tr>
        <w:tblPrEx>
          <w:shd w:val="clear" w:color="auto" w:fill="ced7e7"/>
        </w:tblPrEx>
        <w:trPr>
          <w:trHeight w:val="292" w:hRule="atLeast"/>
        </w:trPr>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rPr>
              <w:t>Sahure</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lang w:val="en-US"/>
              </w:rPr>
              <w:t>Abusir</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rPr>
              <w:t>V</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lang w:val="en-US"/>
              </w:rPr>
              <w:t>Stepped</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lang w:val="en-US"/>
              </w:rPr>
              <w:t>Yes</w:t>
            </w:r>
          </w:p>
        </w:tc>
      </w:tr>
      <w:tr>
        <w:tblPrEx>
          <w:shd w:val="clear" w:color="auto" w:fill="ced7e7"/>
        </w:tblPrEx>
        <w:trPr>
          <w:trHeight w:val="292" w:hRule="atLeast"/>
        </w:trPr>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rPr>
              <w:t>Neferirkare</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lang w:val="en-US"/>
              </w:rPr>
              <w:t>Abusir</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rPr>
              <w:t>V</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lang w:val="en-US"/>
              </w:rPr>
              <w:t>Stepped</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lang w:val="en-US"/>
              </w:rPr>
              <w:t>Yes</w:t>
            </w:r>
          </w:p>
        </w:tc>
      </w:tr>
      <w:tr>
        <w:tblPrEx>
          <w:shd w:val="clear" w:color="auto" w:fill="ced7e7"/>
        </w:tblPrEx>
        <w:trPr>
          <w:trHeight w:val="292" w:hRule="atLeast"/>
        </w:trPr>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lang w:val="fr-FR"/>
              </w:rPr>
              <w:t>Neuserre</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lang w:val="en-US"/>
              </w:rPr>
              <w:t>Abusir</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rPr>
              <w:t>V</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lang w:val="en-US"/>
              </w:rPr>
              <w:t>Stepped</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lang w:val="en-US"/>
              </w:rPr>
              <w:t>Yes</w:t>
            </w:r>
          </w:p>
        </w:tc>
      </w:tr>
      <w:tr>
        <w:tblPrEx>
          <w:shd w:val="clear" w:color="auto" w:fill="ced7e7"/>
        </w:tblPrEx>
        <w:trPr>
          <w:trHeight w:val="292" w:hRule="atLeast"/>
        </w:trPr>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lang w:val="it-IT"/>
              </w:rPr>
              <w:t>Unas</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lang w:val="pt-PT"/>
              </w:rPr>
              <w:t>Saqqara</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rPr>
              <w:t>V</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lang w:val="en-US"/>
              </w:rPr>
              <w:t>Stepped</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lang w:val="en-US"/>
              </w:rPr>
              <w:t>Yes</w:t>
            </w:r>
          </w:p>
        </w:tc>
      </w:tr>
      <w:tr>
        <w:tblPrEx>
          <w:shd w:val="clear" w:color="auto" w:fill="ced7e7"/>
        </w:tblPrEx>
        <w:trPr>
          <w:trHeight w:val="292" w:hRule="atLeast"/>
        </w:trPr>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rPr>
              <w:t>Teti</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lang w:val="pt-PT"/>
              </w:rPr>
              <w:t>Saqqara</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rPr>
              <w:t>VI</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lang w:val="en-US"/>
              </w:rPr>
              <w:t>Stepped</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lang w:val="en-US"/>
              </w:rPr>
              <w:t>Yes</w:t>
            </w:r>
          </w:p>
        </w:tc>
      </w:tr>
      <w:tr>
        <w:tblPrEx>
          <w:shd w:val="clear" w:color="auto" w:fill="ced7e7"/>
        </w:tblPrEx>
        <w:trPr>
          <w:trHeight w:val="292" w:hRule="atLeast"/>
        </w:trPr>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lang w:val="it-IT"/>
              </w:rPr>
              <w:t>Pepi I</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lang w:val="pt-PT"/>
              </w:rPr>
              <w:t>Saqqara</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rPr>
              <w:t>VI</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lang w:val="en-US"/>
              </w:rPr>
              <w:t>Stepped</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lang w:val="en-US"/>
              </w:rPr>
              <w:t>Yes</w:t>
            </w:r>
          </w:p>
        </w:tc>
      </w:tr>
      <w:tr>
        <w:tblPrEx>
          <w:shd w:val="clear" w:color="auto" w:fill="ced7e7"/>
        </w:tblPrEx>
        <w:trPr>
          <w:trHeight w:val="292" w:hRule="atLeast"/>
        </w:trPr>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lang w:val="it-IT"/>
              </w:rPr>
              <w:t>Pepi II</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lang w:val="pt-PT"/>
              </w:rPr>
              <w:t>Saqqara</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rPr>
              <w:t>VI</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lang w:val="en-US"/>
              </w:rPr>
              <w:t>Stepped</w:t>
            </w:r>
          </w:p>
        </w:tc>
        <w:tc>
          <w:tcPr>
            <w:tcW w:type="dxa" w:w="1805"/>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24"/>
                <w:szCs w:val="24"/>
                <w:u w:color="000000"/>
                <w:shd w:val="nil" w:color="auto" w:fill="auto"/>
                <w:rtl w:val="0"/>
                <w:lang w:val="en-US"/>
              </w:rPr>
              <w:t>Yes</w:t>
            </w:r>
          </w:p>
        </w:tc>
      </w:tr>
    </w:tbl>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sz w:val="24"/>
          <w:szCs w:val="24"/>
          <w:rtl w:val="0"/>
          <w:lang w:val="en-US"/>
        </w:rPr>
        <w:t>Within every true pyramid in which interior construction is visible, there is a stepped core. The pattern is not anomalous; it is universal within the observable sample. Rigano (2003) further demonstrated through analysis of Menkaure's unfinished subsidiary pyramids GIII-b and GIII-c that the stepped interior was completed as a discrete construction phase before the smooth exterior casing was applied - a conclusion supported by the absence of a base apron around both structures.</w:t>
      </w:r>
      <w:r>
        <w:rPr>
          <w:rFonts w:ascii="Verdana" w:cs="Verdana" w:hAnsi="Verdana" w:eastAsia="Verdana"/>
          <w:vertAlign w:val="superscript"/>
        </w:rPr>
        <w:footnoteReference w:id="6"/>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sz w:val="24"/>
          <w:szCs w:val="24"/>
          <w:rtl w:val="0"/>
          <w:lang w:val="en-US"/>
        </w:rPr>
        <w:t>For Khufu's pyramid specifically, Rigano (2014) identified three observational windows into its interior construction: Al-Mamoun's ninth-century breach, the south face gash cut by Howard Vyse (which shows two courses of better-finished masonry consistent with inner step surfaces), and the gable wall immediately behind the north face entrance gables (a wall of tight-fitting blocks that may represent the face of a stepped interior).</w:t>
      </w:r>
      <w:r>
        <w:rPr>
          <w:rFonts w:ascii="Verdana" w:cs="Verdana" w:hAnsi="Verdana" w:eastAsia="Verdana"/>
          <w:vertAlign w:val="superscript"/>
        </w:rPr>
        <w:footnoteReference w:id="7"/>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sz w:val="24"/>
          <w:szCs w:val="24"/>
          <w:rtl w:val="0"/>
          <w:lang w:val="en-US"/>
        </w:rPr>
        <w:t>Rigano (2003) additionally proposed that the Queen's Chamber shafts, which terminate inside the pyramid core at unknown positions, may identify the surface of the initial stepped structure. The present paper tests this proposal quantitatively for the first time.</w:t>
      </w:r>
      <w:r>
        <w:rPr>
          <w:rFonts w:ascii="Verdana" w:cs="Verdana" w:hAnsi="Verdana" w:eastAsia="Verdana"/>
          <w:vertAlign w:val="superscript"/>
        </w:rPr>
        <w:footnoteReference w:id="8"/>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b w:val="1"/>
          <w:bCs w:val="1"/>
          <w:sz w:val="28"/>
          <w:szCs w:val="28"/>
        </w:rPr>
      </w:pPr>
      <w:r>
        <w:rPr>
          <w:rFonts w:ascii="Verdana" w:hAnsi="Verdana"/>
          <w:b w:val="1"/>
          <w:bCs w:val="1"/>
          <w:sz w:val="28"/>
          <w:szCs w:val="28"/>
          <w:rtl w:val="0"/>
          <w:lang w:val="en-US"/>
        </w:rPr>
        <w:t>3. The Gantenbrink Robotic Survey of 1993</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b w:val="1"/>
          <w:bCs w:val="1"/>
          <w:sz w:val="24"/>
          <w:szCs w:val="24"/>
        </w:rPr>
      </w:pPr>
      <w:r>
        <w:rPr>
          <w:rFonts w:ascii="Verdana" w:hAnsi="Verdana"/>
          <w:b w:val="1"/>
          <w:bCs w:val="1"/>
          <w:sz w:val="24"/>
          <w:szCs w:val="24"/>
          <w:rtl w:val="0"/>
          <w:lang w:val="en-US"/>
        </w:rPr>
        <w:t>3.1. The Upuaut-2 Mission</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sz w:val="24"/>
          <w:szCs w:val="24"/>
          <w:rtl w:val="0"/>
          <w:lang w:val="en-US"/>
        </w:rPr>
        <w:t>Between January and April 1993, Rudolf Gantenbrink conducted three field campaigns in the Great Pyramid using the robot Upuaut-2, a custom-built remotely operated vehicle equipped with video camera, laser pointer, and inclinometers capable of continuous angle measurement. The project was conducted under the auspices of the German Archaeological Institute in Cairo.</w:t>
      </w:r>
      <w:r>
        <w:rPr>
          <w:rFonts w:ascii="Verdana" w:cs="Verdana" w:hAnsi="Verdana" w:eastAsia="Verdana"/>
          <w:vertAlign w:val="superscript"/>
        </w:rPr>
        <w:footnoteReference w:id="9"/>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sz w:val="24"/>
          <w:szCs w:val="24"/>
        </w:rPr>
      </w:pPr>
      <w:r>
        <w:rPr>
          <w:rFonts w:ascii="Verdana" w:hAnsi="Verdana"/>
          <w:sz w:val="24"/>
          <w:szCs w:val="24"/>
          <w:rtl w:val="0"/>
          <w:lang w:val="en-US"/>
        </w:rPr>
        <w:t>On 22 March 1993, Upuaut-2 traversed the southern Queen's Chamber shaft and at approximately 59 metres encountered a limestone blocking slab embedded with two copper fittings - commonly known as Gantenbrink's Door. The Hawass survey subsequently confirmed that both Queen's Chamber shafts are equidistant, terminating at approximately 65 metres from the chamber.</w:t>
      </w:r>
      <w:r>
        <w:rPr>
          <w:rFonts w:ascii="Verdana" w:cs="Verdana" w:hAnsi="Verdana" w:eastAsia="Verdana"/>
          <w:vertAlign w:val="superscript"/>
        </w:rPr>
        <w:footnoteReference w:id="10"/>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b w:val="1"/>
          <w:bCs w:val="1"/>
          <w:sz w:val="24"/>
          <w:szCs w:val="24"/>
        </w:rPr>
      </w:pPr>
      <w:r>
        <w:rPr>
          <w:rFonts w:ascii="Verdana" w:hAnsi="Verdana"/>
          <w:b w:val="1"/>
          <w:bCs w:val="1"/>
          <w:sz w:val="24"/>
          <w:szCs w:val="24"/>
          <w:rtl w:val="0"/>
          <w:lang w:val="en-US"/>
        </w:rPr>
        <w:t>3.2. Shaft Measurements and the Elevation Calculation</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sz w:val="24"/>
          <w:szCs w:val="24"/>
          <w:rtl w:val="0"/>
          <w:lang w:val="en-US"/>
        </w:rPr>
        <w:t>Gantenbrink's (1993) robotic survey produced the following precise measurements for the southern Queen's Chamber shaft: angle of ascent 39.6 degrees mean from 24 independent inclinometer measurements over 28 metres of traversed shaft; shaft start position 1.96 metres south of the southern chamber wall.</w:t>
      </w:r>
      <w:r>
        <w:rPr>
          <w:rFonts w:ascii="Verdana" w:cs="Verdana" w:hAnsi="Verdana" w:eastAsia="Verdana"/>
          <w:vertAlign w:val="superscript"/>
        </w:rPr>
        <w:footnoteReference w:id="11"/>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sz w:val="24"/>
          <w:szCs w:val="24"/>
        </w:rPr>
      </w:pPr>
      <w:r>
        <w:rPr>
          <w:rFonts w:ascii="Verdana" w:hAnsi="Verdana"/>
          <w:sz w:val="24"/>
          <w:szCs w:val="24"/>
          <w:rtl w:val="0"/>
          <w:lang w:val="en-US"/>
        </w:rPr>
        <w:t>The Queen's Chamber floor elevation, from Petrie's (1883) survey, is 834.4 inches (21.19 metres) above the pyramid base. The shaft openings are located approximately 0.9 metres above the chamber floor, placing them at approximately 22.1 metres above the pyramid base. This figure requires verification against Petrie's original survey notes.</w:t>
      </w:r>
      <w:r>
        <w:rPr>
          <w:rFonts w:ascii="Verdana" w:cs="Verdana" w:hAnsi="Verdana" w:eastAsia="Verdana"/>
          <w:vertAlign w:val="superscript"/>
        </w:rPr>
        <w:footnoteReference w:id="12"/>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sz w:val="24"/>
          <w:szCs w:val="24"/>
        </w:rPr>
      </w:pPr>
      <w:r>
        <w:rPr>
          <w:rFonts w:ascii="Verdana" w:hAnsi="Verdana"/>
          <w:sz w:val="24"/>
          <w:szCs w:val="24"/>
          <w:rtl w:val="0"/>
          <w:lang w:val="en-US"/>
        </w:rPr>
        <w:t xml:space="preserve">Applying standard trigonometric projection: </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sz w:val="24"/>
          <w:szCs w:val="24"/>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sz w:val="24"/>
          <w:szCs w:val="24"/>
        </w:rPr>
      </w:pPr>
      <w:r>
        <w:rPr>
          <w:rFonts w:ascii="Verdana" w:hAnsi="Verdana"/>
          <w:sz w:val="24"/>
          <w:szCs w:val="24"/>
          <w:rtl w:val="0"/>
          <w:lang w:val="en-US"/>
        </w:rPr>
        <w:t>vertical rise = 65.0 x sin(39.6</w:t>
      </w:r>
      <w:r>
        <w:rPr>
          <w:rFonts w:ascii="Verdana" w:hAnsi="Verdana" w:hint="default"/>
          <w:sz w:val="24"/>
          <w:szCs w:val="24"/>
          <w:rtl w:val="0"/>
          <w:lang w:val="it-IT"/>
        </w:rPr>
        <w:t>°</w:t>
      </w:r>
      <w:r>
        <w:rPr>
          <w:rFonts w:ascii="Verdana" w:hAnsi="Verdana"/>
          <w:sz w:val="24"/>
          <w:szCs w:val="24"/>
          <w:rtl w:val="0"/>
        </w:rPr>
        <w:t>) = 41.43 m;</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sz w:val="24"/>
          <w:szCs w:val="24"/>
        </w:rPr>
      </w:pPr>
      <w:r>
        <w:rPr>
          <w:rFonts w:ascii="Verdana" w:hAnsi="Verdana"/>
          <w:sz w:val="24"/>
          <w:szCs w:val="24"/>
          <w:rtl w:val="0"/>
          <w:lang w:val="en-US"/>
        </w:rPr>
        <w:t xml:space="preserve"> termination elevation = 22.1 + 41.43 = 63.53 m; </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sz w:val="24"/>
          <w:szCs w:val="24"/>
        </w:rPr>
      </w:pPr>
      <w:r>
        <w:rPr>
          <w:rFonts w:ascii="Verdana" w:hAnsi="Verdana"/>
          <w:sz w:val="24"/>
          <w:szCs w:val="24"/>
          <w:rtl w:val="0"/>
          <w:lang w:val="en-US"/>
        </w:rPr>
        <w:t>horizontal run = 65.0 x cos(39.6</w:t>
      </w:r>
      <w:r>
        <w:rPr>
          <w:rFonts w:ascii="Verdana" w:hAnsi="Verdana" w:hint="default"/>
          <w:sz w:val="24"/>
          <w:szCs w:val="24"/>
          <w:rtl w:val="0"/>
          <w:lang w:val="it-IT"/>
        </w:rPr>
        <w:t>°</w:t>
      </w:r>
      <w:r>
        <w:rPr>
          <w:rFonts w:ascii="Verdana" w:hAnsi="Verdana"/>
          <w:sz w:val="24"/>
          <w:szCs w:val="24"/>
          <w:rtl w:val="0"/>
        </w:rPr>
        <w:t xml:space="preserve">) = 50.08 m; </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sz w:val="24"/>
          <w:szCs w:val="24"/>
        </w:rPr>
      </w:pPr>
      <w:r>
        <w:rPr>
          <w:rFonts w:ascii="Verdana" w:hAnsi="Verdana"/>
          <w:sz w:val="24"/>
          <w:szCs w:val="24"/>
          <w:rtl w:val="0"/>
          <w:lang w:val="en-US"/>
        </w:rPr>
        <w:t>termination horizontal distance from pyramid centre = 1.96 + 50.08 = 52.04 m.</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b w:val="1"/>
          <w:bCs w:val="1"/>
          <w:sz w:val="24"/>
          <w:szCs w:val="24"/>
        </w:rPr>
      </w:pPr>
      <w:r>
        <w:rPr>
          <w:rFonts w:ascii="Verdana" w:hAnsi="Verdana"/>
          <w:b w:val="1"/>
          <w:bCs w:val="1"/>
          <w:sz w:val="24"/>
          <w:szCs w:val="24"/>
          <w:rtl w:val="0"/>
          <w:lang w:val="en-US"/>
        </w:rPr>
        <w:t>3.3. The Terminal Block Material Observation</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sz w:val="24"/>
          <w:szCs w:val="24"/>
          <w:rtl w:val="0"/>
          <w:lang w:val="en-US"/>
        </w:rPr>
        <w:t>Gantenbrink (1993) recorded in his field notes that the final limestone block immediately before the blocking slab appears to be carved from a different, higher-quality material than the local Giza limestone used throughout the preceding shaft traverse. This observation has not been independently published in peer-reviewed literature and is presented here as a reported field observation requiring further verification. If confirmed, the structural significance would be substantial: a material change at the terminal block is consistent with the shaft approaching a deliberate masonry face of the type that characterises the step tier surfaces documented in other Old Kingdom pyramids.</w:t>
      </w:r>
      <w:r>
        <w:rPr>
          <w:rFonts w:ascii="Verdana" w:cs="Verdana" w:hAnsi="Verdana" w:eastAsia="Verdana"/>
          <w:vertAlign w:val="superscript"/>
        </w:rPr>
        <w:footnoteReference w:id="13"/>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b w:val="1"/>
          <w:bCs w:val="1"/>
          <w:sz w:val="28"/>
          <w:szCs w:val="28"/>
        </w:rPr>
      </w:pPr>
      <w:r>
        <w:rPr>
          <w:rFonts w:ascii="Verdana" w:hAnsi="Verdana"/>
          <w:b w:val="1"/>
          <w:bCs w:val="1"/>
          <w:sz w:val="28"/>
          <w:szCs w:val="28"/>
          <w:rtl w:val="0"/>
          <w:lang w:val="en-US"/>
        </w:rPr>
        <w:t>4. Geometric Analysis: Shaft Termination and the Stepped Core Model</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b w:val="1"/>
          <w:bCs w:val="1"/>
          <w:sz w:val="24"/>
          <w:szCs w:val="24"/>
          <w:rtl w:val="0"/>
          <w:lang w:val="en-US"/>
        </w:rPr>
        <w:t>4.1. Input Measurements</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r>
        <w:rPr>
          <w:rFonts w:ascii="Verdana" w:hAnsi="Verdana"/>
          <w:i w:val="1"/>
          <w:iCs w:val="1"/>
          <w:rtl w:val="0"/>
          <w:lang w:val="en-US"/>
        </w:rPr>
        <w:t>Table 2. Input measurements for geometric calculation.</w:t>
      </w:r>
    </w:p>
    <w:tbl>
      <w:tblPr>
        <w:tblW w:w="9024"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008"/>
        <w:gridCol w:w="3008"/>
        <w:gridCol w:w="3008"/>
      </w:tblGrid>
      <w:tr>
        <w:tblPrEx>
          <w:shd w:val="clear" w:color="auto" w:fill="ced7e7"/>
        </w:tblPrEx>
        <w:trPr>
          <w:trHeight w:val="292" w:hRule="atLeast"/>
        </w:trPr>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b w:val="1"/>
                <w:bCs w:val="1"/>
                <w:sz w:val="24"/>
                <w:szCs w:val="24"/>
                <w:u w:color="000000"/>
                <w:shd w:val="nil" w:color="auto" w:fill="auto"/>
                <w:rtl w:val="0"/>
                <w:lang w:val="pt-PT"/>
              </w:rPr>
              <w:t>Parameter</w:t>
            </w:r>
          </w:p>
        </w:tc>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b w:val="1"/>
                <w:bCs w:val="1"/>
                <w:sz w:val="24"/>
                <w:szCs w:val="24"/>
                <w:u w:color="000000"/>
                <w:shd w:val="nil" w:color="auto" w:fill="auto"/>
                <w:rtl w:val="0"/>
              </w:rPr>
              <w:t>Value</w:t>
            </w:r>
          </w:p>
        </w:tc>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b w:val="1"/>
                <w:bCs w:val="1"/>
                <w:sz w:val="24"/>
                <w:szCs w:val="24"/>
                <w:u w:color="000000"/>
                <w:shd w:val="nil" w:color="auto" w:fill="auto"/>
                <w:rtl w:val="0"/>
                <w:lang w:val="en-US"/>
              </w:rPr>
              <w:t>Source</w:t>
            </w:r>
          </w:p>
        </w:tc>
      </w:tr>
      <w:tr>
        <w:tblPrEx>
          <w:shd w:val="clear" w:color="auto" w:fill="ced7e7"/>
        </w:tblPrEx>
        <w:trPr>
          <w:trHeight w:val="292" w:hRule="atLeast"/>
        </w:trPr>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24"/>
                <w:szCs w:val="24"/>
                <w:u w:color="000000"/>
                <w:shd w:val="nil" w:color="auto" w:fill="auto"/>
                <w:rtl w:val="0"/>
                <w:lang w:val="en-US"/>
              </w:rPr>
              <w:t>Pyramid base (each side)</w:t>
            </w:r>
          </w:p>
        </w:tc>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24"/>
                <w:szCs w:val="24"/>
                <w:u w:color="000000"/>
                <w:shd w:val="nil" w:color="auto" w:fill="auto"/>
                <w:rtl w:val="0"/>
              </w:rPr>
              <w:t>230.364 m</w:t>
            </w:r>
          </w:p>
        </w:tc>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24"/>
                <w:szCs w:val="24"/>
                <w:u w:color="000000"/>
                <w:shd w:val="nil" w:color="auto" w:fill="auto"/>
                <w:rtl w:val="0"/>
                <w:lang w:val="it-IT"/>
              </w:rPr>
              <w:t>Cole 1925</w:t>
            </w:r>
          </w:p>
        </w:tc>
      </w:tr>
      <w:tr>
        <w:tblPrEx>
          <w:shd w:val="clear" w:color="auto" w:fill="ced7e7"/>
        </w:tblPrEx>
        <w:trPr>
          <w:trHeight w:val="292" w:hRule="atLeast"/>
        </w:trPr>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24"/>
                <w:szCs w:val="24"/>
                <w:u w:color="000000"/>
                <w:shd w:val="nil" w:color="auto" w:fill="auto"/>
                <w:rtl w:val="0"/>
                <w:lang w:val="en-US"/>
              </w:rPr>
              <w:t>Pyramid height</w:t>
            </w:r>
          </w:p>
        </w:tc>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24"/>
                <w:szCs w:val="24"/>
                <w:u w:color="000000"/>
                <w:shd w:val="nil" w:color="auto" w:fill="auto"/>
                <w:rtl w:val="0"/>
              </w:rPr>
              <w:t>146.59 m</w:t>
            </w:r>
          </w:p>
        </w:tc>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24"/>
                <w:szCs w:val="24"/>
                <w:u w:color="000000"/>
                <w:shd w:val="nil" w:color="auto" w:fill="auto"/>
                <w:rtl w:val="0"/>
              </w:rPr>
              <w:t>Petrie 1883</w:t>
            </w:r>
          </w:p>
        </w:tc>
      </w:tr>
      <w:tr>
        <w:tblPrEx>
          <w:shd w:val="clear" w:color="auto" w:fill="ced7e7"/>
        </w:tblPrEx>
        <w:trPr>
          <w:trHeight w:val="650" w:hRule="atLeast"/>
        </w:trPr>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24"/>
                <w:szCs w:val="24"/>
                <w:u w:color="000000"/>
                <w:shd w:val="nil" w:color="auto" w:fill="auto"/>
                <w:rtl w:val="0"/>
                <w:lang w:val="en-US"/>
              </w:rPr>
              <w:t>Queen's Chamber floor elevation</w:t>
            </w:r>
          </w:p>
        </w:tc>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24"/>
                <w:szCs w:val="24"/>
                <w:u w:color="000000"/>
                <w:shd w:val="nil" w:color="auto" w:fill="auto"/>
                <w:rtl w:val="0"/>
                <w:lang w:val="it-IT"/>
              </w:rPr>
              <w:t>21.19 m (834.4 in)</w:t>
            </w:r>
          </w:p>
        </w:tc>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24"/>
                <w:szCs w:val="24"/>
                <w:u w:color="000000"/>
                <w:shd w:val="nil" w:color="auto" w:fill="auto"/>
                <w:rtl w:val="0"/>
                <w:lang w:val="fr-FR"/>
              </w:rPr>
              <w:t>Petrie 1883, Section 38</w:t>
            </w:r>
          </w:p>
        </w:tc>
      </w:tr>
      <w:tr>
        <w:tblPrEx>
          <w:shd w:val="clear" w:color="auto" w:fill="ced7e7"/>
        </w:tblPrEx>
        <w:trPr>
          <w:trHeight w:val="650" w:hRule="atLeast"/>
        </w:trPr>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24"/>
                <w:szCs w:val="24"/>
                <w:u w:color="000000"/>
                <w:shd w:val="nil" w:color="auto" w:fill="auto"/>
                <w:rtl w:val="0"/>
                <w:lang w:val="en-US"/>
              </w:rPr>
              <w:t>Shaft opening elevation above base</w:t>
            </w:r>
          </w:p>
        </w:tc>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24"/>
                <w:szCs w:val="24"/>
                <w:u w:color="000000"/>
                <w:shd w:val="nil" w:color="auto" w:fill="auto"/>
                <w:rtl w:val="0"/>
                <w:lang w:val="en-US"/>
              </w:rPr>
              <w:t>~22.1 m</w:t>
            </w:r>
          </w:p>
        </w:tc>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24"/>
                <w:szCs w:val="24"/>
                <w:u w:color="000000"/>
                <w:shd w:val="nil" w:color="auto" w:fill="auto"/>
                <w:rtl w:val="0"/>
                <w:lang w:val="de-DE"/>
              </w:rPr>
              <w:t>Petrie 1883; Gantenbrink 1993</w:t>
            </w:r>
          </w:p>
        </w:tc>
      </w:tr>
      <w:tr>
        <w:tblPrEx>
          <w:shd w:val="clear" w:color="auto" w:fill="ced7e7"/>
        </w:tblPrEx>
        <w:trPr>
          <w:trHeight w:val="650" w:hRule="atLeast"/>
        </w:trPr>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24"/>
                <w:szCs w:val="24"/>
                <w:u w:color="000000"/>
                <w:shd w:val="nil" w:color="auto" w:fill="auto"/>
                <w:rtl w:val="0"/>
                <w:lang w:val="en-US"/>
              </w:rPr>
              <w:t>Shaft start south of QC south wall</w:t>
            </w:r>
          </w:p>
        </w:tc>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24"/>
                <w:szCs w:val="24"/>
                <w:u w:color="000000"/>
                <w:shd w:val="nil" w:color="auto" w:fill="auto"/>
                <w:rtl w:val="0"/>
              </w:rPr>
              <w:t>1.96 m</w:t>
            </w:r>
          </w:p>
        </w:tc>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24"/>
                <w:szCs w:val="24"/>
                <w:u w:color="000000"/>
                <w:shd w:val="nil" w:color="auto" w:fill="auto"/>
                <w:rtl w:val="0"/>
              </w:rPr>
              <w:t>Gantenbrink 1993</w:t>
            </w:r>
          </w:p>
        </w:tc>
      </w:tr>
      <w:tr>
        <w:tblPrEx>
          <w:shd w:val="clear" w:color="auto" w:fill="ced7e7"/>
        </w:tblPrEx>
        <w:trPr>
          <w:trHeight w:val="650" w:hRule="atLeast"/>
        </w:trPr>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24"/>
                <w:szCs w:val="24"/>
                <w:u w:color="000000"/>
                <w:shd w:val="nil" w:color="auto" w:fill="auto"/>
                <w:rtl w:val="0"/>
                <w:lang w:val="en-US"/>
              </w:rPr>
              <w:t>Shaft angle of ascent (mean)</w:t>
            </w:r>
          </w:p>
        </w:tc>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24"/>
                <w:szCs w:val="24"/>
                <w:u w:color="000000"/>
                <w:shd w:val="nil" w:color="auto" w:fill="auto"/>
                <w:rtl w:val="0"/>
                <w:lang w:val="en-US"/>
              </w:rPr>
              <w:t>39.6 degrees</w:t>
            </w:r>
          </w:p>
        </w:tc>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24"/>
                <w:szCs w:val="24"/>
                <w:u w:color="000000"/>
                <w:shd w:val="nil" w:color="auto" w:fill="auto"/>
                <w:rtl w:val="0"/>
                <w:lang w:val="en-US"/>
              </w:rPr>
              <w:t>Gantenbrink 1993, 24 measurements</w:t>
            </w:r>
          </w:p>
        </w:tc>
      </w:tr>
      <w:tr>
        <w:tblPrEx>
          <w:shd w:val="clear" w:color="auto" w:fill="ced7e7"/>
        </w:tblPrEx>
        <w:trPr>
          <w:trHeight w:val="650" w:hRule="atLeast"/>
        </w:trPr>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24"/>
                <w:szCs w:val="24"/>
                <w:u w:color="000000"/>
                <w:shd w:val="nil" w:color="auto" w:fill="auto"/>
                <w:rtl w:val="0"/>
                <w:lang w:val="en-US"/>
              </w:rPr>
              <w:t>Total shaft length to blocking slab</w:t>
            </w:r>
          </w:p>
        </w:tc>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24"/>
                <w:szCs w:val="24"/>
                <w:u w:color="000000"/>
                <w:shd w:val="nil" w:color="auto" w:fill="auto"/>
                <w:rtl w:val="0"/>
                <w:lang w:val="en-US"/>
              </w:rPr>
              <w:t>~65.0 m</w:t>
            </w:r>
          </w:p>
        </w:tc>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24"/>
                <w:szCs w:val="24"/>
                <w:u w:color="000000"/>
                <w:shd w:val="nil" w:color="auto" w:fill="auto"/>
                <w:rtl w:val="0"/>
                <w:lang w:val="en-US"/>
              </w:rPr>
              <w:t>Hawass, cited in Dormion 2004</w:t>
            </w:r>
          </w:p>
        </w:tc>
      </w:tr>
    </w:tbl>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sz w:val="24"/>
          <w:szCs w:val="24"/>
          <w:rtl w:val="0"/>
        </w:rPr>
        <w:t xml:space="preserve"> </w:t>
      </w:r>
      <w:r>
        <w:rPr>
          <w:rFonts w:ascii="Verdana" w:cs="Verdana" w:hAnsi="Verdana" w:eastAsia="Verdana"/>
          <w:vertAlign w:val="superscript"/>
        </w:rPr>
        <w:footnoteReference w:id="14"/>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r>
        <w:rPr>
          <w:rFonts w:ascii="Verdana" w:hAnsi="Verdana"/>
          <w:i w:val="1"/>
          <w:iCs w:val="1"/>
          <w:rtl w:val="0"/>
          <w:lang w:val="en-US"/>
        </w:rPr>
        <w:t>Table 3. Calculated termination position of southern Queen's Chamber shaft.</w:t>
      </w:r>
    </w:p>
    <w:tbl>
      <w:tblPr>
        <w:tblW w:w="902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513"/>
        <w:gridCol w:w="4513"/>
      </w:tblGrid>
      <w:tr>
        <w:tblPrEx>
          <w:shd w:val="clear" w:color="auto" w:fill="ced7e7"/>
        </w:tblPrEx>
        <w:trPr>
          <w:trHeight w:val="292" w:hRule="atLeast"/>
        </w:trPr>
        <w:tc>
          <w:tcPr>
            <w:tcW w:type="dxa" w:w="4513"/>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b w:val="1"/>
                <w:bCs w:val="1"/>
                <w:sz w:val="24"/>
                <w:szCs w:val="24"/>
                <w:u w:color="000000"/>
                <w:shd w:val="nil" w:color="auto" w:fill="auto"/>
                <w:rtl w:val="0"/>
                <w:lang w:val="pt-PT"/>
              </w:rPr>
              <w:t>Parameter</w:t>
            </w:r>
          </w:p>
        </w:tc>
        <w:tc>
          <w:tcPr>
            <w:tcW w:type="dxa" w:w="4513"/>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b w:val="1"/>
                <w:bCs w:val="1"/>
                <w:sz w:val="24"/>
                <w:szCs w:val="24"/>
                <w:u w:color="000000"/>
                <w:shd w:val="nil" w:color="auto" w:fill="auto"/>
                <w:rtl w:val="0"/>
              </w:rPr>
              <w:t>Value</w:t>
            </w:r>
          </w:p>
        </w:tc>
      </w:tr>
      <w:tr>
        <w:tblPrEx>
          <w:shd w:val="clear" w:color="auto" w:fill="ced7e7"/>
        </w:tblPrEx>
        <w:trPr>
          <w:trHeight w:val="292" w:hRule="atLeast"/>
        </w:trPr>
        <w:tc>
          <w:tcPr>
            <w:tcW w:type="dxa" w:w="4513"/>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sz w:val="24"/>
                <w:szCs w:val="24"/>
                <w:u w:color="000000"/>
                <w:shd w:val="nil" w:color="auto" w:fill="auto"/>
                <w:rtl w:val="0"/>
                <w:lang w:val="en-US"/>
              </w:rPr>
              <w:t>Termination elevation above base</w:t>
            </w:r>
          </w:p>
        </w:tc>
        <w:tc>
          <w:tcPr>
            <w:tcW w:type="dxa" w:w="4513"/>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sz w:val="24"/>
                <w:szCs w:val="24"/>
                <w:u w:color="000000"/>
                <w:shd w:val="nil" w:color="auto" w:fill="auto"/>
                <w:rtl w:val="0"/>
              </w:rPr>
              <w:t>63.53 m</w:t>
            </w:r>
          </w:p>
        </w:tc>
      </w:tr>
      <w:tr>
        <w:tblPrEx>
          <w:shd w:val="clear" w:color="auto" w:fill="ced7e7"/>
        </w:tblPrEx>
        <w:trPr>
          <w:trHeight w:val="292" w:hRule="atLeast"/>
        </w:trPr>
        <w:tc>
          <w:tcPr>
            <w:tcW w:type="dxa" w:w="4513"/>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sz w:val="24"/>
                <w:szCs w:val="24"/>
                <w:u w:color="000000"/>
                <w:shd w:val="nil" w:color="auto" w:fill="auto"/>
                <w:rtl w:val="0"/>
                <w:lang w:val="en-US"/>
              </w:rPr>
              <w:t>Termination horizontal distance from centre</w:t>
            </w:r>
          </w:p>
        </w:tc>
        <w:tc>
          <w:tcPr>
            <w:tcW w:type="dxa" w:w="4513"/>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sz w:val="24"/>
                <w:szCs w:val="24"/>
                <w:u w:color="000000"/>
                <w:shd w:val="nil" w:color="auto" w:fill="auto"/>
                <w:rtl w:val="0"/>
              </w:rPr>
              <w:t>52.04 m</w:t>
            </w:r>
          </w:p>
        </w:tc>
      </w:tr>
      <w:tr>
        <w:tblPrEx>
          <w:shd w:val="clear" w:color="auto" w:fill="ced7e7"/>
        </w:tblPrEx>
        <w:trPr>
          <w:trHeight w:val="292" w:hRule="atLeast"/>
        </w:trPr>
        <w:tc>
          <w:tcPr>
            <w:tcW w:type="dxa" w:w="4513"/>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sz w:val="24"/>
                <w:szCs w:val="24"/>
                <w:u w:color="000000"/>
                <w:shd w:val="nil" w:color="auto" w:fill="auto"/>
                <w:rtl w:val="0"/>
                <w:lang w:val="en-US"/>
              </w:rPr>
              <w:t>Termination distance from south face</w:t>
            </w:r>
          </w:p>
        </w:tc>
        <w:tc>
          <w:tcPr>
            <w:tcW w:type="dxa" w:w="4513"/>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sz w:val="24"/>
                <w:szCs w:val="24"/>
                <w:u w:color="000000"/>
                <w:shd w:val="nil" w:color="auto" w:fill="auto"/>
                <w:rtl w:val="0"/>
                <w:lang w:val="pt-PT"/>
              </w:rPr>
              <w:t>63.14 m</w:t>
            </w:r>
          </w:p>
        </w:tc>
      </w:tr>
      <w:tr>
        <w:tblPrEx>
          <w:shd w:val="clear" w:color="auto" w:fill="ced7e7"/>
        </w:tblPrEx>
        <w:trPr>
          <w:trHeight w:val="292" w:hRule="atLeast"/>
        </w:trPr>
        <w:tc>
          <w:tcPr>
            <w:tcW w:type="dxa" w:w="4513"/>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sz w:val="24"/>
                <w:szCs w:val="24"/>
                <w:u w:color="000000"/>
                <w:shd w:val="nil" w:color="auto" w:fill="auto"/>
                <w:rtl w:val="0"/>
                <w:lang w:val="en-US"/>
              </w:rPr>
              <w:t>Elevation as fraction of pyramid height</w:t>
            </w:r>
          </w:p>
        </w:tc>
        <w:tc>
          <w:tcPr>
            <w:tcW w:type="dxa" w:w="4513"/>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sz w:val="24"/>
                <w:szCs w:val="24"/>
                <w:u w:color="000000"/>
                <w:shd w:val="nil" w:color="auto" w:fill="auto"/>
                <w:rtl w:val="0"/>
              </w:rPr>
              <w:t>43.3%</w:t>
            </w:r>
          </w:p>
        </w:tc>
      </w:tr>
      <w:tr>
        <w:tblPrEx>
          <w:shd w:val="clear" w:color="auto" w:fill="ced7e7"/>
        </w:tblPrEx>
        <w:trPr>
          <w:trHeight w:val="292" w:hRule="atLeast"/>
        </w:trPr>
        <w:tc>
          <w:tcPr>
            <w:tcW w:type="dxa" w:w="4513"/>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sz w:val="24"/>
                <w:szCs w:val="24"/>
                <w:u w:color="000000"/>
                <w:shd w:val="nil" w:color="auto" w:fill="auto"/>
                <w:rtl w:val="0"/>
                <w:lang w:val="en-US"/>
              </w:rPr>
              <w:t>Horizontal distance as fraction of half-base</w:t>
            </w:r>
          </w:p>
        </w:tc>
        <w:tc>
          <w:tcPr>
            <w:tcW w:type="dxa" w:w="4513"/>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sz w:val="24"/>
                <w:szCs w:val="24"/>
                <w:u w:color="000000"/>
                <w:shd w:val="nil" w:color="auto" w:fill="auto"/>
                <w:rtl w:val="0"/>
              </w:rPr>
              <w:t>45.2%</w:t>
            </w:r>
          </w:p>
        </w:tc>
      </w:tr>
    </w:tbl>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b w:val="1"/>
          <w:bCs w:val="1"/>
          <w:sz w:val="24"/>
          <w:szCs w:val="24"/>
        </w:rPr>
      </w:pPr>
      <w:r>
        <w:rPr>
          <w:rFonts w:ascii="Verdana" w:hAnsi="Verdana"/>
          <w:b w:val="1"/>
          <w:bCs w:val="1"/>
          <w:sz w:val="24"/>
          <w:szCs w:val="24"/>
          <w:rtl w:val="0"/>
          <w:lang w:val="en-US"/>
        </w:rPr>
        <w:t>4.2. The Meidum Proportional Model Applied to Khufu</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sz w:val="24"/>
          <w:szCs w:val="24"/>
          <w:rtl w:val="0"/>
          <w:lang w:val="en-US"/>
        </w:rPr>
        <w:t>The Meidum Pyramid provides the only directly observable case of a stepped core with smooth exterior infill within the immediate builder dynasty of Khufu. Borchardt (1928) identified three distinct construction phases designated E1, E2, and E3. Phase E1 produced an initial step pyramid of seven steps. Phase E2 extended the structure outward, raising the step count to eight. Phase E3 attempted conversion to a smooth-sided true pyramid by filling the step intervals with limestone and casing the exterior, subsequently collapsing to expose the Phase E2 stepped core that remains visible today. The step pyramid volume at Meidum represents approximately 69 per cent of the completed true pyramid volume.</w:t>
      </w:r>
      <w:r>
        <w:rPr>
          <w:rFonts w:ascii="Verdana" w:cs="Verdana" w:hAnsi="Verdana" w:eastAsia="Verdana"/>
          <w:vertAlign w:val="superscript"/>
        </w:rPr>
        <w:footnoteReference w:id="15"/>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sz w:val="24"/>
          <w:szCs w:val="24"/>
          <w:rtl w:val="0"/>
          <w:lang w:val="en-US"/>
        </w:rPr>
        <w:t>Applying the Meidum volumetric proportion to Khufu: the linear scale of the stepped core is 69%^(1/3) = 0.884 of the full pyramid dimensions. This yields the following projected stepped core parameters:</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r>
        <w:rPr>
          <w:rFonts w:ascii="Verdana" w:hAnsi="Verdana"/>
          <w:i w:val="1"/>
          <w:iCs w:val="1"/>
          <w:rtl w:val="0"/>
          <w:lang w:val="en-US"/>
        </w:rPr>
        <w:t>Table 4. Projected stepped core dimensions for Khufu (Meidum proportions).</w:t>
      </w:r>
    </w:p>
    <w:tbl>
      <w:tblPr>
        <w:tblW w:w="9024"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008"/>
        <w:gridCol w:w="3008"/>
        <w:gridCol w:w="3008"/>
      </w:tblGrid>
      <w:tr>
        <w:tblPrEx>
          <w:shd w:val="clear" w:color="auto" w:fill="ced7e7"/>
        </w:tblPrEx>
        <w:trPr>
          <w:trHeight w:val="292" w:hRule="atLeast"/>
        </w:trPr>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b w:val="1"/>
                <w:bCs w:val="1"/>
                <w:sz w:val="24"/>
                <w:szCs w:val="24"/>
                <w:u w:color="000000"/>
                <w:shd w:val="nil" w:color="auto" w:fill="auto"/>
                <w:rtl w:val="0"/>
                <w:lang w:val="pt-PT"/>
              </w:rPr>
              <w:t>Parameter</w:t>
            </w:r>
          </w:p>
        </w:tc>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b w:val="1"/>
                <w:bCs w:val="1"/>
                <w:sz w:val="24"/>
                <w:szCs w:val="24"/>
                <w:u w:color="000000"/>
                <w:shd w:val="nil" w:color="auto" w:fill="auto"/>
                <w:rtl w:val="0"/>
              </w:rPr>
              <w:t>Full Pyramid</w:t>
            </w:r>
          </w:p>
        </w:tc>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b w:val="1"/>
                <w:bCs w:val="1"/>
                <w:sz w:val="24"/>
                <w:szCs w:val="24"/>
                <w:u w:color="000000"/>
                <w:shd w:val="nil" w:color="auto" w:fill="auto"/>
                <w:rtl w:val="0"/>
                <w:lang w:val="en-US"/>
              </w:rPr>
              <w:t>Projected Step Core</w:t>
            </w:r>
          </w:p>
        </w:tc>
      </w:tr>
      <w:tr>
        <w:tblPrEx>
          <w:shd w:val="clear" w:color="auto" w:fill="ced7e7"/>
        </w:tblPrEx>
        <w:trPr>
          <w:trHeight w:val="292" w:hRule="atLeast"/>
        </w:trPr>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24"/>
                <w:szCs w:val="24"/>
                <w:u w:color="000000"/>
                <w:shd w:val="nil" w:color="auto" w:fill="auto"/>
                <w:rtl w:val="0"/>
                <w:lang w:val="en-US"/>
              </w:rPr>
              <w:t>Height</w:t>
            </w:r>
          </w:p>
        </w:tc>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24"/>
                <w:szCs w:val="24"/>
                <w:u w:color="000000"/>
                <w:shd w:val="nil" w:color="auto" w:fill="auto"/>
                <w:rtl w:val="0"/>
              </w:rPr>
              <w:t>146.59 m</w:t>
            </w:r>
          </w:p>
        </w:tc>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24"/>
                <w:szCs w:val="24"/>
                <w:u w:color="000000"/>
                <w:shd w:val="nil" w:color="auto" w:fill="auto"/>
                <w:rtl w:val="0"/>
              </w:rPr>
              <w:t>129.5 m</w:t>
            </w:r>
          </w:p>
        </w:tc>
      </w:tr>
      <w:tr>
        <w:tblPrEx>
          <w:shd w:val="clear" w:color="auto" w:fill="ced7e7"/>
        </w:tblPrEx>
        <w:trPr>
          <w:trHeight w:val="292" w:hRule="atLeast"/>
        </w:trPr>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24"/>
                <w:szCs w:val="24"/>
                <w:u w:color="000000"/>
                <w:shd w:val="nil" w:color="auto" w:fill="auto"/>
                <w:rtl w:val="0"/>
                <w:lang w:val="en-US"/>
              </w:rPr>
              <w:t>Half-base</w:t>
            </w:r>
          </w:p>
        </w:tc>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24"/>
                <w:szCs w:val="24"/>
                <w:u w:color="000000"/>
                <w:shd w:val="nil" w:color="auto" w:fill="auto"/>
                <w:rtl w:val="0"/>
              </w:rPr>
              <w:t>115.18 m</w:t>
            </w:r>
          </w:p>
        </w:tc>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24"/>
                <w:szCs w:val="24"/>
                <w:u w:color="000000"/>
                <w:shd w:val="nil" w:color="auto" w:fill="auto"/>
                <w:rtl w:val="0"/>
              </w:rPr>
              <w:t>101.8 m</w:t>
            </w:r>
          </w:p>
        </w:tc>
      </w:tr>
      <w:tr>
        <w:tblPrEx>
          <w:shd w:val="clear" w:color="auto" w:fill="ced7e7"/>
        </w:tblPrEx>
        <w:trPr>
          <w:trHeight w:val="292" w:hRule="atLeast"/>
        </w:trPr>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24"/>
                <w:szCs w:val="24"/>
                <w:u w:color="000000"/>
                <w:shd w:val="nil" w:color="auto" w:fill="auto"/>
                <w:rtl w:val="0"/>
                <w:lang w:val="en-US"/>
              </w:rPr>
              <w:t>Face angle</w:t>
            </w:r>
          </w:p>
        </w:tc>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24"/>
                <w:szCs w:val="24"/>
                <w:u w:color="000000"/>
                <w:shd w:val="nil" w:color="auto" w:fill="auto"/>
                <w:rtl w:val="0"/>
                <w:lang w:val="en-US"/>
              </w:rPr>
              <w:t>51.84 degrees</w:t>
            </w:r>
          </w:p>
        </w:tc>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24"/>
                <w:szCs w:val="24"/>
                <w:u w:color="000000"/>
                <w:shd w:val="nil" w:color="auto" w:fill="auto"/>
                <w:rtl w:val="0"/>
                <w:lang w:val="en-US"/>
              </w:rPr>
              <w:t>51.8 degrees</w:t>
            </w:r>
          </w:p>
        </w:tc>
      </w:tr>
      <w:tr>
        <w:tblPrEx>
          <w:shd w:val="clear" w:color="auto" w:fill="ced7e7"/>
        </w:tblPrEx>
        <w:trPr>
          <w:trHeight w:val="292" w:hRule="atLeast"/>
        </w:trPr>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24"/>
                <w:szCs w:val="24"/>
                <w:u w:color="000000"/>
                <w:shd w:val="nil" w:color="auto" w:fill="auto"/>
                <w:rtl w:val="0"/>
                <w:lang w:val="en-US"/>
              </w:rPr>
              <w:t>Step height (7-step model)</w:t>
            </w:r>
          </w:p>
        </w:tc>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24"/>
                <w:szCs w:val="24"/>
                <w:u w:color="000000"/>
                <w:shd w:val="nil" w:color="auto" w:fill="auto"/>
                <w:rtl w:val="0"/>
              </w:rPr>
              <w:t>-</w:t>
            </w:r>
          </w:p>
        </w:tc>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24"/>
                <w:szCs w:val="24"/>
                <w:u w:color="000000"/>
                <w:shd w:val="nil" w:color="auto" w:fill="auto"/>
                <w:rtl w:val="0"/>
                <w:lang w:val="it-IT"/>
              </w:rPr>
              <w:t>18.51 m per step</w:t>
            </w:r>
          </w:p>
        </w:tc>
      </w:tr>
      <w:tr>
        <w:tblPrEx>
          <w:shd w:val="clear" w:color="auto" w:fill="ced7e7"/>
        </w:tblPrEx>
        <w:trPr>
          <w:trHeight w:val="292" w:hRule="atLeast"/>
        </w:trPr>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24"/>
                <w:szCs w:val="24"/>
                <w:u w:color="000000"/>
                <w:shd w:val="nil" w:color="auto" w:fill="auto"/>
                <w:rtl w:val="0"/>
                <w:lang w:val="en-US"/>
              </w:rPr>
              <w:t>Step inset (7-step model)</w:t>
            </w:r>
          </w:p>
        </w:tc>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24"/>
                <w:szCs w:val="24"/>
                <w:u w:color="000000"/>
                <w:shd w:val="nil" w:color="auto" w:fill="auto"/>
                <w:rtl w:val="0"/>
              </w:rPr>
              <w:t>-</w:t>
            </w:r>
          </w:p>
        </w:tc>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24"/>
                <w:szCs w:val="24"/>
                <w:u w:color="000000"/>
                <w:shd w:val="nil" w:color="auto" w:fill="auto"/>
                <w:rtl w:val="0"/>
                <w:lang w:val="it-IT"/>
              </w:rPr>
              <w:t>14.54 m per step</w:t>
            </w:r>
          </w:p>
        </w:tc>
      </w:tr>
    </w:tbl>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sz w:val="24"/>
          <w:szCs w:val="24"/>
          <w:rtl w:val="0"/>
          <w:lang w:val="en-US"/>
        </w:rPr>
        <w:t>The near-identical face angle between the projected stepped core (51.8 degrees) and the full pyramid exterior (51.84 degrees) is a mathematical consequence of the proportional projection, not an independent confirmation, and is noted as such.</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r>
        <w:rPr>
          <w:rFonts w:ascii="Verdana" w:hAnsi="Verdana"/>
          <w:i w:val="1"/>
          <w:iCs w:val="1"/>
          <w:rtl w:val="0"/>
          <w:lang w:val="en-US"/>
        </w:rPr>
        <w:t>Table 5. Seven-step tier elevations and half-widths under projected Meidum model for Khufu.</w:t>
      </w:r>
    </w:p>
    <w:tbl>
      <w:tblPr>
        <w:tblW w:w="9024"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008"/>
        <w:gridCol w:w="3008"/>
        <w:gridCol w:w="3008"/>
      </w:tblGrid>
      <w:tr>
        <w:tblPrEx>
          <w:shd w:val="clear" w:color="auto" w:fill="ced7e7"/>
        </w:tblPrEx>
        <w:trPr>
          <w:trHeight w:val="292" w:hRule="atLeast"/>
        </w:trPr>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b w:val="1"/>
                <w:bCs w:val="1"/>
                <w:sz w:val="24"/>
                <w:szCs w:val="24"/>
                <w:u w:color="000000"/>
                <w:shd w:val="nil" w:color="auto" w:fill="auto"/>
                <w:rtl w:val="0"/>
              </w:rPr>
              <w:t>Step</w:t>
            </w:r>
          </w:p>
        </w:tc>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b w:val="1"/>
                <w:bCs w:val="1"/>
                <w:sz w:val="24"/>
                <w:szCs w:val="24"/>
                <w:u w:color="000000"/>
                <w:shd w:val="nil" w:color="auto" w:fill="auto"/>
                <w:rtl w:val="0"/>
                <w:lang w:val="en-US"/>
              </w:rPr>
              <w:t>Top elevation (m)</w:t>
            </w:r>
          </w:p>
        </w:tc>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b w:val="1"/>
                <w:bCs w:val="1"/>
                <w:sz w:val="24"/>
                <w:szCs w:val="24"/>
                <w:u w:color="000000"/>
                <w:shd w:val="nil" w:color="auto" w:fill="auto"/>
                <w:rtl w:val="0"/>
                <w:lang w:val="en-US"/>
              </w:rPr>
              <w:t>Outer face half-width (m)</w:t>
            </w:r>
          </w:p>
        </w:tc>
      </w:tr>
      <w:tr>
        <w:tblPrEx>
          <w:shd w:val="clear" w:color="auto" w:fill="ced7e7"/>
        </w:tblPrEx>
        <w:trPr>
          <w:trHeight w:val="292" w:hRule="atLeast"/>
        </w:trPr>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24"/>
                <w:szCs w:val="24"/>
                <w:u w:color="000000"/>
                <w:shd w:val="nil" w:color="auto" w:fill="auto"/>
                <w:rtl w:val="0"/>
                <w:lang w:val="en-US"/>
              </w:rPr>
              <w:t>Step 1</w:t>
            </w:r>
          </w:p>
        </w:tc>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24"/>
                <w:szCs w:val="24"/>
                <w:u w:color="000000"/>
                <w:shd w:val="nil" w:color="auto" w:fill="auto"/>
                <w:rtl w:val="0"/>
              </w:rPr>
              <w:t>18.5</w:t>
            </w:r>
          </w:p>
        </w:tc>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24"/>
                <w:szCs w:val="24"/>
                <w:u w:color="000000"/>
                <w:shd w:val="nil" w:color="auto" w:fill="auto"/>
                <w:rtl w:val="0"/>
              </w:rPr>
              <w:t>101.8</w:t>
            </w:r>
          </w:p>
        </w:tc>
      </w:tr>
      <w:tr>
        <w:tblPrEx>
          <w:shd w:val="clear" w:color="auto" w:fill="ced7e7"/>
        </w:tblPrEx>
        <w:trPr>
          <w:trHeight w:val="292" w:hRule="atLeast"/>
        </w:trPr>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24"/>
                <w:szCs w:val="24"/>
                <w:u w:color="000000"/>
                <w:shd w:val="nil" w:color="auto" w:fill="auto"/>
                <w:rtl w:val="0"/>
                <w:lang w:val="en-US"/>
              </w:rPr>
              <w:t>Step 2</w:t>
            </w:r>
          </w:p>
        </w:tc>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24"/>
                <w:szCs w:val="24"/>
                <w:u w:color="000000"/>
                <w:shd w:val="nil" w:color="auto" w:fill="auto"/>
                <w:rtl w:val="0"/>
              </w:rPr>
              <w:t>37.0</w:t>
            </w:r>
          </w:p>
        </w:tc>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24"/>
                <w:szCs w:val="24"/>
                <w:u w:color="000000"/>
                <w:shd w:val="nil" w:color="auto" w:fill="auto"/>
                <w:rtl w:val="0"/>
              </w:rPr>
              <w:t>87.2</w:t>
            </w:r>
          </w:p>
        </w:tc>
      </w:tr>
      <w:tr>
        <w:tblPrEx>
          <w:shd w:val="clear" w:color="auto" w:fill="ced7e7"/>
        </w:tblPrEx>
        <w:trPr>
          <w:trHeight w:val="292" w:hRule="atLeast"/>
        </w:trPr>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24"/>
                <w:szCs w:val="24"/>
                <w:u w:color="000000"/>
                <w:shd w:val="nil" w:color="auto" w:fill="auto"/>
                <w:rtl w:val="0"/>
                <w:lang w:val="en-US"/>
              </w:rPr>
              <w:t>Step 3</w:t>
            </w:r>
          </w:p>
        </w:tc>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24"/>
                <w:szCs w:val="24"/>
                <w:u w:color="000000"/>
                <w:shd w:val="nil" w:color="auto" w:fill="auto"/>
                <w:rtl w:val="0"/>
              </w:rPr>
              <w:t>55.5</w:t>
            </w:r>
          </w:p>
        </w:tc>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24"/>
                <w:szCs w:val="24"/>
                <w:u w:color="000000"/>
                <w:shd w:val="nil" w:color="auto" w:fill="auto"/>
                <w:rtl w:val="0"/>
              </w:rPr>
              <w:t>72.7</w:t>
            </w:r>
          </w:p>
        </w:tc>
      </w:tr>
      <w:tr>
        <w:tblPrEx>
          <w:shd w:val="clear" w:color="auto" w:fill="ced7e7"/>
        </w:tblPrEx>
        <w:trPr>
          <w:trHeight w:val="292" w:hRule="atLeast"/>
        </w:trPr>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24"/>
                <w:szCs w:val="24"/>
                <w:u w:color="000000"/>
                <w:shd w:val="nil" w:color="auto" w:fill="auto"/>
                <w:rtl w:val="0"/>
                <w:lang w:val="en-US"/>
              </w:rPr>
              <w:t>Step 4</w:t>
            </w:r>
          </w:p>
        </w:tc>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24"/>
                <w:szCs w:val="24"/>
                <w:u w:color="000000"/>
                <w:shd w:val="nil" w:color="auto" w:fill="auto"/>
                <w:rtl w:val="0"/>
              </w:rPr>
              <w:t>74.0</w:t>
            </w:r>
          </w:p>
        </w:tc>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24"/>
                <w:szCs w:val="24"/>
                <w:u w:color="000000"/>
                <w:shd w:val="nil" w:color="auto" w:fill="auto"/>
                <w:rtl w:val="0"/>
              </w:rPr>
              <w:t>58.2</w:t>
            </w:r>
          </w:p>
        </w:tc>
      </w:tr>
      <w:tr>
        <w:tblPrEx>
          <w:shd w:val="clear" w:color="auto" w:fill="ced7e7"/>
        </w:tblPrEx>
        <w:trPr>
          <w:trHeight w:val="292" w:hRule="atLeast"/>
        </w:trPr>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24"/>
                <w:szCs w:val="24"/>
                <w:u w:color="000000"/>
                <w:shd w:val="nil" w:color="auto" w:fill="auto"/>
                <w:rtl w:val="0"/>
                <w:lang w:val="en-US"/>
              </w:rPr>
              <w:t>Step 5</w:t>
            </w:r>
          </w:p>
        </w:tc>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24"/>
                <w:szCs w:val="24"/>
                <w:u w:color="000000"/>
                <w:shd w:val="nil" w:color="auto" w:fill="auto"/>
                <w:rtl w:val="0"/>
              </w:rPr>
              <w:t>92.5</w:t>
            </w:r>
          </w:p>
        </w:tc>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24"/>
                <w:szCs w:val="24"/>
                <w:u w:color="000000"/>
                <w:shd w:val="nil" w:color="auto" w:fill="auto"/>
                <w:rtl w:val="0"/>
              </w:rPr>
              <w:t>43.6</w:t>
            </w:r>
          </w:p>
        </w:tc>
      </w:tr>
      <w:tr>
        <w:tblPrEx>
          <w:shd w:val="clear" w:color="auto" w:fill="ced7e7"/>
        </w:tblPrEx>
        <w:trPr>
          <w:trHeight w:val="292" w:hRule="atLeast"/>
        </w:trPr>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24"/>
                <w:szCs w:val="24"/>
                <w:u w:color="000000"/>
                <w:shd w:val="nil" w:color="auto" w:fill="auto"/>
                <w:rtl w:val="0"/>
                <w:lang w:val="en-US"/>
              </w:rPr>
              <w:t>Step 6</w:t>
            </w:r>
          </w:p>
        </w:tc>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24"/>
                <w:szCs w:val="24"/>
                <w:u w:color="000000"/>
                <w:shd w:val="nil" w:color="auto" w:fill="auto"/>
                <w:rtl w:val="0"/>
              </w:rPr>
              <w:t>111.0</w:t>
            </w:r>
          </w:p>
        </w:tc>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24"/>
                <w:szCs w:val="24"/>
                <w:u w:color="000000"/>
                <w:shd w:val="nil" w:color="auto" w:fill="auto"/>
                <w:rtl w:val="0"/>
              </w:rPr>
              <w:t>29.1</w:t>
            </w:r>
          </w:p>
        </w:tc>
      </w:tr>
      <w:tr>
        <w:tblPrEx>
          <w:shd w:val="clear" w:color="auto" w:fill="ced7e7"/>
        </w:tblPrEx>
        <w:trPr>
          <w:trHeight w:val="292" w:hRule="atLeast"/>
        </w:trPr>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24"/>
                <w:szCs w:val="24"/>
                <w:u w:color="000000"/>
                <w:shd w:val="nil" w:color="auto" w:fill="auto"/>
                <w:rtl w:val="0"/>
                <w:lang w:val="en-US"/>
              </w:rPr>
              <w:t>Step 7 (apex)</w:t>
            </w:r>
          </w:p>
        </w:tc>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24"/>
                <w:szCs w:val="24"/>
                <w:u w:color="000000"/>
                <w:shd w:val="nil" w:color="auto" w:fill="auto"/>
                <w:rtl w:val="0"/>
              </w:rPr>
              <w:t>129.5</w:t>
            </w:r>
          </w:p>
        </w:tc>
        <w:tc>
          <w:tcPr>
            <w:tcW w:type="dxa" w:w="3008"/>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24"/>
                <w:szCs w:val="24"/>
                <w:u w:color="000000"/>
                <w:shd w:val="nil" w:color="auto" w:fill="auto"/>
                <w:rtl w:val="0"/>
              </w:rPr>
              <w:t>14.5</w:t>
            </w:r>
          </w:p>
        </w:tc>
      </w:tr>
    </w:tbl>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b w:val="1"/>
          <w:bCs w:val="1"/>
          <w:sz w:val="24"/>
          <w:szCs w:val="24"/>
        </w:rPr>
      </w:pPr>
      <w:r>
        <w:rPr>
          <w:rFonts w:ascii="Verdana" w:hAnsi="Verdana"/>
          <w:b w:val="1"/>
          <w:bCs w:val="1"/>
          <w:sz w:val="24"/>
          <w:szCs w:val="24"/>
          <w:rtl w:val="0"/>
          <w:lang w:val="en-US"/>
        </w:rPr>
        <w:t>4.3. Comparison of Shaft Termination Against Projected Step Core Face</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sz w:val="24"/>
          <w:szCs w:val="24"/>
          <w:rtl w:val="0"/>
          <w:lang w:val="en-US"/>
        </w:rPr>
        <w:t>The step core face equation: face elevation at horizontal distance d from centre = 129.5 - (d x 129.5 / 101.8) = 129.5 - 1.272d.</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sz w:val="24"/>
          <w:szCs w:val="24"/>
          <w:rtl w:val="0"/>
          <w:lang w:val="en-US"/>
        </w:rPr>
        <w:t>At the shaft termination horizontal distance of 52.04 m: face elevation = 129.5 - (1.272 x 52.04) = 63.3 m.</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r>
        <w:rPr>
          <w:rFonts w:ascii="Verdana" w:hAnsi="Verdana"/>
          <w:i w:val="1"/>
          <w:iCs w:val="1"/>
          <w:rtl w:val="0"/>
          <w:lang w:val="en-US"/>
        </w:rPr>
        <w:t>Table 6. Shaft termination vs. projected step core face.</w:t>
      </w:r>
    </w:p>
    <w:tbl>
      <w:tblPr>
        <w:tblW w:w="902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513"/>
        <w:gridCol w:w="4513"/>
      </w:tblGrid>
      <w:tr>
        <w:tblPrEx>
          <w:shd w:val="clear" w:color="auto" w:fill="ced7e7"/>
        </w:tblPrEx>
        <w:trPr>
          <w:trHeight w:val="292" w:hRule="atLeast"/>
        </w:trPr>
        <w:tc>
          <w:tcPr>
            <w:tcW w:type="dxa" w:w="4513"/>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b w:val="1"/>
                <w:bCs w:val="1"/>
                <w:sz w:val="24"/>
                <w:szCs w:val="24"/>
                <w:u w:color="000000"/>
                <w:shd w:val="nil" w:color="auto" w:fill="auto"/>
                <w:rtl w:val="0"/>
                <w:lang w:val="pt-PT"/>
              </w:rPr>
              <w:t>Parameter</w:t>
            </w:r>
          </w:p>
        </w:tc>
        <w:tc>
          <w:tcPr>
            <w:tcW w:type="dxa" w:w="4513"/>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b w:val="1"/>
                <w:bCs w:val="1"/>
                <w:sz w:val="24"/>
                <w:szCs w:val="24"/>
                <w:u w:color="000000"/>
                <w:shd w:val="nil" w:color="auto" w:fill="auto"/>
                <w:rtl w:val="0"/>
              </w:rPr>
              <w:t>Value</w:t>
            </w:r>
          </w:p>
        </w:tc>
      </w:tr>
      <w:tr>
        <w:tblPrEx>
          <w:shd w:val="clear" w:color="auto" w:fill="ced7e7"/>
        </w:tblPrEx>
        <w:trPr>
          <w:trHeight w:val="292" w:hRule="atLeast"/>
        </w:trPr>
        <w:tc>
          <w:tcPr>
            <w:tcW w:type="dxa" w:w="4513"/>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sz w:val="24"/>
                <w:szCs w:val="24"/>
                <w:u w:color="000000"/>
                <w:shd w:val="nil" w:color="auto" w:fill="auto"/>
                <w:rtl w:val="0"/>
                <w:lang w:val="en-US"/>
              </w:rPr>
              <w:t>Shaft termination elevation</w:t>
            </w:r>
          </w:p>
        </w:tc>
        <w:tc>
          <w:tcPr>
            <w:tcW w:type="dxa" w:w="4513"/>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sz w:val="24"/>
                <w:szCs w:val="24"/>
                <w:u w:color="000000"/>
                <w:shd w:val="nil" w:color="auto" w:fill="auto"/>
                <w:rtl w:val="0"/>
              </w:rPr>
              <w:t>63.53 m</w:t>
            </w:r>
          </w:p>
        </w:tc>
      </w:tr>
      <w:tr>
        <w:tblPrEx>
          <w:shd w:val="clear" w:color="auto" w:fill="ced7e7"/>
        </w:tblPrEx>
        <w:trPr>
          <w:trHeight w:val="650" w:hRule="atLeast"/>
        </w:trPr>
        <w:tc>
          <w:tcPr>
            <w:tcW w:type="dxa" w:w="4513"/>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sz w:val="24"/>
                <w:szCs w:val="24"/>
                <w:u w:color="000000"/>
                <w:shd w:val="nil" w:color="auto" w:fill="auto"/>
                <w:rtl w:val="0"/>
                <w:lang w:val="en-US"/>
              </w:rPr>
              <w:t>Step core face elevation at that horizontal distance</w:t>
            </w:r>
          </w:p>
        </w:tc>
        <w:tc>
          <w:tcPr>
            <w:tcW w:type="dxa" w:w="4513"/>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sz w:val="24"/>
                <w:szCs w:val="24"/>
                <w:u w:color="000000"/>
                <w:shd w:val="nil" w:color="auto" w:fill="auto"/>
                <w:rtl w:val="0"/>
              </w:rPr>
              <w:t>63.30 m</w:t>
            </w:r>
          </w:p>
        </w:tc>
      </w:tr>
      <w:tr>
        <w:tblPrEx>
          <w:shd w:val="clear" w:color="auto" w:fill="ced7e7"/>
        </w:tblPrEx>
        <w:trPr>
          <w:trHeight w:val="292" w:hRule="atLeast"/>
        </w:trPr>
        <w:tc>
          <w:tcPr>
            <w:tcW w:type="dxa" w:w="4513"/>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sz w:val="24"/>
                <w:szCs w:val="24"/>
                <w:u w:color="000000"/>
                <w:shd w:val="nil" w:color="auto" w:fill="auto"/>
                <w:rtl w:val="0"/>
                <w:lang w:val="en-US"/>
              </w:rPr>
              <w:t>Difference</w:t>
            </w:r>
          </w:p>
        </w:tc>
        <w:tc>
          <w:tcPr>
            <w:tcW w:type="dxa" w:w="4513"/>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sz w:val="24"/>
                <w:szCs w:val="24"/>
                <w:u w:color="000000"/>
                <w:shd w:val="nil" w:color="auto" w:fill="auto"/>
                <w:rtl w:val="0"/>
              </w:rPr>
              <w:t>0.23 m</w:t>
            </w:r>
          </w:p>
        </w:tc>
      </w:tr>
      <w:tr>
        <w:tblPrEx>
          <w:shd w:val="clear" w:color="auto" w:fill="ced7e7"/>
        </w:tblPrEx>
        <w:trPr>
          <w:trHeight w:val="292" w:hRule="atLeast"/>
        </w:trPr>
        <w:tc>
          <w:tcPr>
            <w:tcW w:type="dxa" w:w="4513"/>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sz w:val="24"/>
                <w:szCs w:val="24"/>
                <w:u w:color="000000"/>
                <w:shd w:val="nil" w:color="auto" w:fill="auto"/>
                <w:rtl w:val="0"/>
                <w:lang w:val="en-US"/>
              </w:rPr>
              <w:t>Nearest step tier</w:t>
            </w:r>
          </w:p>
        </w:tc>
        <w:tc>
          <w:tcPr>
            <w:tcW w:type="dxa" w:w="4513"/>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sz w:val="24"/>
                <w:szCs w:val="24"/>
                <w:u w:color="000000"/>
                <w:shd w:val="nil" w:color="auto" w:fill="auto"/>
                <w:rtl w:val="0"/>
                <w:lang w:val="en-US"/>
              </w:rPr>
              <w:t>Step 3/4 boundary zone</w:t>
            </w:r>
          </w:p>
        </w:tc>
      </w:tr>
      <w:tr>
        <w:tblPrEx>
          <w:shd w:val="clear" w:color="auto" w:fill="ced7e7"/>
        </w:tblPrEx>
        <w:trPr>
          <w:trHeight w:val="292" w:hRule="atLeast"/>
        </w:trPr>
        <w:tc>
          <w:tcPr>
            <w:tcW w:type="dxa" w:w="4513"/>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sz w:val="24"/>
                <w:szCs w:val="24"/>
                <w:u w:color="000000"/>
                <w:shd w:val="nil" w:color="auto" w:fill="auto"/>
                <w:rtl w:val="0"/>
                <w:lang w:val="en-US"/>
              </w:rPr>
              <w:t>Horizontal proximity to Step 4 outer edge</w:t>
            </w:r>
          </w:p>
        </w:tc>
        <w:tc>
          <w:tcPr>
            <w:tcW w:type="dxa" w:w="4513"/>
            <w:tcBorders>
              <w:top w:val="single" w:color="000000" w:sz="1" w:space="0" w:shadow="0" w:frame="0"/>
              <w:left w:val="single" w:color="000000" w:sz="1" w:space="0" w:shadow="0" w:frame="0"/>
              <w:bottom w:val="single" w:color="000000" w:sz="1" w:space="0" w:shadow="0" w:frame="0"/>
              <w:right w:val="single" w:color="000000"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sz w:val="24"/>
                <w:szCs w:val="24"/>
                <w:u w:color="000000"/>
                <w:shd w:val="nil" w:color="auto" w:fill="auto"/>
                <w:rtl w:val="0"/>
              </w:rPr>
              <w:t>6.2 m</w:t>
            </w:r>
          </w:p>
        </w:tc>
      </w:tr>
    </w:tbl>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sz w:val="24"/>
          <w:szCs w:val="24"/>
          <w:rtl w:val="0"/>
          <w:lang w:val="en-US"/>
        </w:rPr>
        <w:t>The difference of 0.23 metres between the shaft termination elevation and the projected step core face elevation is within any reasonable measurement uncertainty and constitutes a close geometric match. This result is presented as suggestive convergence rather than confirmation, for the reasons stated in Section 7.</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b w:val="1"/>
          <w:bCs w:val="1"/>
          <w:sz w:val="28"/>
          <w:szCs w:val="28"/>
        </w:rPr>
      </w:pPr>
      <w:r>
        <w:rPr>
          <w:rFonts w:ascii="Verdana" w:hAnsi="Verdana"/>
          <w:b w:val="1"/>
          <w:bCs w:val="1"/>
          <w:sz w:val="28"/>
          <w:szCs w:val="28"/>
          <w:rtl w:val="0"/>
          <w:lang w:val="en-US"/>
        </w:rPr>
        <w:t>5. Geophysical Convergence: Bui et al. (1987)</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sz w:val="24"/>
          <w:szCs w:val="24"/>
          <w:rtl w:val="0"/>
          <w:lang w:val="en-US"/>
        </w:rPr>
        <w:t>The microgravimetric survey conducted by Bui, Lakshmanan, Montlucon, and Nakhla (1987) across four field campaigns in 1986 and 1987 recorded 754 gravity measurements and analysed the pyramid's density structure at three scales: macrostructure, mesostructure, and microstructure.</w:t>
      </w:r>
      <w:r>
        <w:rPr>
          <w:rFonts w:ascii="Verdana" w:cs="Verdana" w:hAnsi="Verdana" w:eastAsia="Verdana"/>
          <w:vertAlign w:val="superscript"/>
        </w:rPr>
        <w:footnoteReference w:id="16"/>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sz w:val="24"/>
          <w:szCs w:val="24"/>
          <w:rtl w:val="0"/>
          <w:lang w:val="en-US"/>
        </w:rPr>
        <w:t>The survey established an average pyramid bulk density of 2.05 gm/cc against a local limestone density of approximately 2.3-2.5 gm/cc - a deficit of approximately 11 per cent, corresponding to roughly 280,000 cubic metres of the pyramid's volume occupied by material of lower density than solid limestone.</w:t>
      </w:r>
      <w:r>
        <w:rPr>
          <w:rFonts w:ascii="Verdana" w:cs="Verdana" w:hAnsi="Verdana" w:eastAsia="Verdana"/>
          <w:vertAlign w:val="superscript"/>
        </w:rPr>
        <w:footnoteReference w:id="17"/>
      </w:r>
      <w:r>
        <w:rPr>
          <w:rFonts w:ascii="Verdana" w:hAnsi="Verdana"/>
          <w:sz w:val="24"/>
          <w:szCs w:val="24"/>
          <w:rtl w:val="0"/>
          <w:lang w:val="en-US"/>
        </w:rPr>
        <w:t xml:space="preserve"> This is consistent with fill material occupying spaces between the stone courses of a stepped core.</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sz w:val="24"/>
          <w:szCs w:val="24"/>
          <w:rtl w:val="0"/>
          <w:lang w:val="en-US"/>
        </w:rPr>
        <w:t>Most directly relevant, Bui et al. (1987) state explicitly that the light and heavy density zones revealed by the macrostructural analysis do not correlate horizontally.</w:t>
      </w:r>
      <w:r>
        <w:rPr>
          <w:rFonts w:ascii="Verdana" w:cs="Verdana" w:hAnsi="Verdana" w:eastAsia="Verdana"/>
          <w:vertAlign w:val="superscript"/>
        </w:rPr>
        <w:footnoteReference w:id="18"/>
      </w:r>
      <w:r>
        <w:rPr>
          <w:rFonts w:ascii="Verdana" w:hAnsi="Verdana"/>
          <w:sz w:val="24"/>
          <w:szCs w:val="24"/>
          <w:rtl w:val="0"/>
          <w:lang w:val="en-US"/>
        </w:rPr>
        <w:t xml:space="preserve"> Non-horizontal density boundaries require non-horizontal material interfaces - inclined, vertical, or stepped faces between materials of different density. Bui et al. (1987) identify a semi-vertical structure with alternating heavy and low density walls as one of the two most consistent explanations for their data.</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sz w:val="24"/>
          <w:szCs w:val="24"/>
          <w:rtl w:val="0"/>
          <w:lang w:val="en-US"/>
        </w:rPr>
        <w:t>The mesostructure analysis detected a density anomaly subsequently confirmed by drill holes to be a sand-filled cavity to the west and below the Queen's Chamber access tunnel.</w:t>
      </w:r>
      <w:r>
        <w:rPr>
          <w:rFonts w:ascii="Verdana" w:cs="Verdana" w:hAnsi="Verdana" w:eastAsia="Verdana"/>
          <w:vertAlign w:val="superscript"/>
        </w:rPr>
        <w:footnoteReference w:id="19"/>
      </w:r>
      <w:r>
        <w:rPr>
          <w:rFonts w:ascii="Verdana" w:hAnsi="Verdana"/>
          <w:sz w:val="24"/>
          <w:szCs w:val="24"/>
          <w:rtl w:val="0"/>
          <w:lang w:val="en-US"/>
        </w:rPr>
        <w:t xml:space="preserve"> This confirms the method's sensitivity to non-stone fill material and establishes that the interior contains fill material beyond the known chamber system.</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b w:val="1"/>
          <w:bCs w:val="1"/>
          <w:sz w:val="28"/>
          <w:szCs w:val="28"/>
        </w:rPr>
      </w:pPr>
      <w:r>
        <w:rPr>
          <w:rFonts w:ascii="Verdana" w:hAnsi="Verdana"/>
          <w:b w:val="1"/>
          <w:bCs w:val="1"/>
          <w:sz w:val="28"/>
          <w:szCs w:val="28"/>
          <w:rtl w:val="0"/>
          <w:lang w:val="en-US"/>
        </w:rPr>
        <w:t>6. Results and Discussion: Four Independent Streams</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sz w:val="24"/>
          <w:szCs w:val="24"/>
          <w:rtl w:val="0"/>
          <w:lang w:val="en-US"/>
        </w:rPr>
        <w:t>The argument of this paper rests on four independent data sources spanning 140 years of investigation. Petrie (1883) established the precise dimensions of the Queen's Chamber and the shaft openings, providing the baseline measurements without which the geometric calculation is impossible. Rigano (2003, 2014) established through systematic observational survey that 22 of 30 Old Kingdom pyramids contain confirmed stepped interiors, that the stepped core precedes the smooth exterior in construction sequence, and that the Queen's Chamber shaft terminations may identify a step core surface. Gantenbrink (1993) provided precise shaft angle measurements and documented a material change at the shaft terminus consistent with approach to a dressed masonry face. Bui et al. (1987) established that the pyramid's internal density structure is inconsistent with uniform horizontal construction, with non-horizontal density zone boundaries and a bulk density deficit of approximately 11 per cent.</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sz w:val="24"/>
          <w:szCs w:val="24"/>
          <w:rtl w:val="0"/>
          <w:lang w:val="en-US"/>
        </w:rPr>
        <w:t>The geometric calculation of the present paper connects these streams: applying Rigano's Meidum proportional model to Khufu's dimensions and testing it against Gantenbrink's (1993) termination data produces a 0.23-metre match between the predicted step core face elevation and the shaft termination elevation. This match was not forced; it was calculated from independent measurements and a proportional model derived from a different pyramid.</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sz w:val="24"/>
          <w:szCs w:val="24"/>
          <w:rtl w:val="0"/>
          <w:lang w:val="en-US"/>
        </w:rPr>
        <w:t>The ScanPyramids muon tomography programme confirmed the existence of a large void above the Grand Gallery in 2017 and characterised the North Face Corridor in 2023. Neither study has yet achieved the density resolution required to map internal structure at the tier scale. The existing muon data has not falsified the stepped construction model.</w:t>
      </w:r>
      <w:r>
        <w:rPr>
          <w:rFonts w:ascii="Verdana" w:cs="Verdana" w:hAnsi="Verdana" w:eastAsia="Verdana"/>
          <w:vertAlign w:val="superscript"/>
        </w:rPr>
        <w:footnoteReference w:id="20"/>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b w:val="1"/>
          <w:bCs w:val="1"/>
          <w:sz w:val="28"/>
          <w:szCs w:val="28"/>
        </w:rPr>
      </w:pPr>
      <w:r>
        <w:rPr>
          <w:rFonts w:ascii="Verdana" w:hAnsi="Verdana"/>
          <w:b w:val="1"/>
          <w:bCs w:val="1"/>
          <w:sz w:val="28"/>
          <w:szCs w:val="28"/>
          <w:rtl w:val="0"/>
          <w:lang w:val="fr-FR"/>
        </w:rPr>
        <w:t>7. Limitations</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sz w:val="24"/>
          <w:szCs w:val="24"/>
          <w:rtl w:val="0"/>
          <w:lang w:val="en-US"/>
        </w:rPr>
        <w:t>Three significant limitations require explicit statement. First, the Meidum proportional model is analogical. The stepped core at Meidum has known dimensions because its Phase E3 exterior collapsed. Khufu's stepped core, if it exists, has not been directly observed. The proportional relationship between the Meidum step core and its true pyramid exterior may not hold exactly for Khufu, whose construction was on a substantially larger scale and by a later generation of builders with potentially modified practices.</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sz w:val="24"/>
          <w:szCs w:val="24"/>
          <w:rtl w:val="0"/>
          <w:lang w:val="en-US"/>
        </w:rPr>
        <w:t>Second, Gantenbrink's (1993) shaft angle measurement of 39.6 degrees was derived from 24 measurements over 28 metres - less than half the total shaft length of 65 metres. The shaft angle may change over the unmeasured portion, which would alter the termination position calculation. Subsequent robotic expeditions suggest a broadly consistent angle, but this has not been measured with the precision of the Gantenbrink survey.</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sz w:val="24"/>
          <w:szCs w:val="24"/>
          <w:rtl w:val="0"/>
          <w:lang w:val="en-US"/>
        </w:rPr>
        <w:t>Third, the shaft start elevation figure of 22.1 metres used in this paper is derived from Petrie's (1883) floor elevation plus a reported shaft opening height of approximately 0.9 metres above the chamber floor. This figure requires verification against Petrie's original survey notes. The close match reported in Section 4.3 (0.23 m) should be understood as dependent on this input value being correct. The 0.23-metre match constitutes geometric consistency, not geometric confirmation.</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b w:val="1"/>
          <w:bCs w:val="1"/>
          <w:sz w:val="28"/>
          <w:szCs w:val="28"/>
        </w:rPr>
      </w:pPr>
      <w:r>
        <w:rPr>
          <w:rFonts w:ascii="Verdana" w:hAnsi="Verdana"/>
          <w:b w:val="1"/>
          <w:bCs w:val="1"/>
          <w:sz w:val="28"/>
          <w:szCs w:val="28"/>
          <w:rtl w:val="0"/>
          <w:lang w:val="en-US"/>
        </w:rPr>
        <w:t>8. Conclusions and Falsifiable Prediction</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sz w:val="24"/>
          <w:szCs w:val="24"/>
          <w:rtl w:val="0"/>
          <w:lang w:val="en-US"/>
        </w:rPr>
        <w:t>This paper has assembled four independent lines of evidence bearing on whether the Great Pyramid of Khufu was constructed around a stepped internal core: the systematic observational survey of Rigano (2003, 2014), the robotic shaft survey of Gantenbrink (1993), the geometric projection of the present paper, and the geophysical density survey of Bui et al. (1987). Together they constitute a convergent evidential case in which the stepped internal construction model is the most parsimonious available explanation for all four streams simultaneously.</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sz w:val="24"/>
          <w:szCs w:val="24"/>
          <w:rtl w:val="0"/>
          <w:lang w:val="en-US"/>
        </w:rPr>
        <w:t>A falsifiable prediction follows from the shaft geometry analysis. If the Queen's Chamber southern shaft terminates at the outer face of the fourth tier of a Meidum-proportioned seven-step core, then a muon tomographic density map at sufficient resolution should reveal a material density boundary at approximately 63-65 metres elevation and approximately 50-55 metres horizontal distance from the pyramid centre, running at the projected step face angle of approximately 51.8 degrees. The density contrast between a dressed limestone step face (approximately 2.3-2.5 gm/cc) and the looser fill material of the inter-tier zone (approximately 1.8-2.0 gm/cc, consistent with the Bui et al. (1987) density deficit) falls within the detection capability of the proposed Exploring the Great Pyramid Mission muon instrumentation.</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sz w:val="24"/>
          <w:szCs w:val="24"/>
          <w:rtl w:val="0"/>
          <w:lang w:val="en-US"/>
        </w:rPr>
        <w:t>Three results would falsify this prediction: absence of any density boundary in this zone; a boundary consistent with uniform horizontal coursing; or a helical boundary pattern consistent with Houdin's (2006) internal ramp model.</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sz w:val="24"/>
          <w:szCs w:val="24"/>
          <w:rtl w:val="0"/>
          <w:lang w:val="en-US"/>
        </w:rPr>
        <w:t>The Great Pyramid has been studied continuously since Petrie's survey of 1880. Each generation of investigators - surveyors, explorers, roboticists, geophysicists, and tomographers - has added a new stream of data. The Egyptian state's own archaeologists, excavating at Gebel El-Teir in June 2026, independently articulated the developmental sequence from tapered-wall tomb to step pyramid to true pyramid that this entire research programme depends on. This paper argues that when all these streams are read together rather than in isolation, they have been telling the same story for over a century.</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b w:val="1"/>
          <w:bCs w:val="1"/>
          <w:sz w:val="28"/>
          <w:szCs w:val="28"/>
        </w:rPr>
      </w:pPr>
      <w:r>
        <w:rPr>
          <w:rFonts w:ascii="Verdana" w:hAnsi="Verdana"/>
          <w:b w:val="1"/>
          <w:bCs w:val="1"/>
          <w:sz w:val="28"/>
          <w:szCs w:val="28"/>
          <w:rtl w:val="0"/>
          <w:lang w:val="en-US"/>
        </w:rPr>
        <w:t>9. Theoretical Context: The Deep Symbolic Systems Model</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sz w:val="24"/>
          <w:szCs w:val="24"/>
          <w:rtl w:val="0"/>
          <w:lang w:val="en-US"/>
        </w:rPr>
        <w:t>The physical evidence examined in this paper is situated within the broader theoretical framework of the Deep Symbolic Systems Model (DSSM), which holds that civilisational capacity develops through the recursive stabilisation of embodied practices into durable institutional systems. The Djoser-to-Sneferu-to-Khufu pyramid sequence represents the Stage 3 amplification arc of the DSSM: each generation of construction takes the established stepped-core technique to a larger scale, error-corrects at observable junctures, and passes the refined technique forward. The near-universal presence of stepped cores across 22 of 30 Old Kingdom pyramids documented by Rigano (2003) is precisely what the DSSM framework predicts: material amplification of a thoroughly stabilised institutional technique rather than technological invention. The Gebel El-Teir discovery provides the earliest currently known field confirmation of this developmental sequence, extending the documented institutional learning curve back into the Early Dynastic period.</w:t>
      </w:r>
      <w:r>
        <w:rPr>
          <w:rFonts w:ascii="Verdana" w:cs="Verdana" w:hAnsi="Verdana" w:eastAsia="Verdana"/>
          <w:vertAlign w:val="superscript"/>
        </w:rPr>
        <w:footnoteReference w:id="21"/>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b w:val="1"/>
          <w:bCs w:val="1"/>
          <w:sz w:val="28"/>
          <w:szCs w:val="28"/>
        </w:rPr>
      </w:pPr>
      <w:r>
        <w:rPr>
          <w:rFonts w:ascii="Verdana" w:hAnsi="Verdana"/>
          <w:b w:val="1"/>
          <w:bCs w:val="1"/>
          <w:sz w:val="28"/>
          <w:szCs w:val="28"/>
          <w:rtl w:val="0"/>
          <w:lang w:val="en-US"/>
        </w:rPr>
        <w:t>10. UN Sustainable Development Goals Alignment</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sz w:val="24"/>
          <w:szCs w:val="24"/>
          <w:rtl w:val="0"/>
          <w:lang w:val="en-US"/>
        </w:rPr>
        <w:t>This paper contributes to SDG 4 (Quality Education) by maintaining strict distinction between geometric projection, material observation, and confirmed finding. SDG 10 (Reduced Inequalities): centring the documented institutional sophistication and technical mastery of the Fourth Dynasty Egyptian state directly contests narratives attributing Egyptian achievement to external agency - narratives contradicted by the Merer papyri, the workers' village at Giza, the Ahramat Branch paleochannel, and the Gebel El-Teir developmental evidence. SDG 17 (Partnerships for the Goals): this paper explicitly builds on and integrates the work of Rigano (2003, 2014), Gantenbrink (1993), Bui et al. (1987), and Petrie (1883), demonstrating the analytical value of synthesising independent research streams across disciplines and across time.</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b w:val="1"/>
          <w:bCs w:val="1"/>
          <w:sz w:val="28"/>
          <w:szCs w:val="28"/>
        </w:rPr>
      </w:pPr>
      <w:r>
        <w:rPr>
          <w:rFonts w:ascii="Verdana" w:hAnsi="Verdana"/>
          <w:b w:val="1"/>
          <w:bCs w:val="1"/>
          <w:sz w:val="28"/>
          <w:szCs w:val="28"/>
          <w:rtl w:val="0"/>
          <w:lang w:val="en-US"/>
        </w:rPr>
        <w:t>Acknowledgments</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sz w:val="24"/>
          <w:szCs w:val="24"/>
          <w:rtl w:val="0"/>
          <w:lang w:val="en-US"/>
        </w:rPr>
        <w:t xml:space="preserve">The author wishes to acknowledge Charles Rigano (author of Pyramids of the Giza Plateau and Pyramids of Snefru, Ohio), </w:t>
      </w:r>
      <w:r>
        <w:rPr>
          <w:rFonts w:ascii="Verdana" w:hAnsi="Verdana"/>
          <w:sz w:val="24"/>
          <w:szCs w:val="24"/>
          <w:rtl w:val="0"/>
          <w:lang w:val="it-IT"/>
        </w:rPr>
        <w:t>for</w:t>
      </w:r>
      <w:r>
        <w:rPr>
          <w:rFonts w:ascii="Verdana" w:hAnsi="Verdana"/>
          <w:sz w:val="24"/>
          <w:szCs w:val="24"/>
          <w:rtl w:val="0"/>
          <w:lang w:val="en-US"/>
        </w:rPr>
        <w:t xml:space="preserve"> his original hypothesis regarding the Queen's Chamber shafts. The author also wishes to acknowledge Prof. Dr. Alexandru A. Popovici (Romanian-American University, Bucharest) for ongoing scholarly support.</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b w:val="1"/>
          <w:bCs w:val="1"/>
          <w:sz w:val="28"/>
          <w:szCs w:val="28"/>
        </w:rPr>
      </w:pPr>
      <w:r>
        <w:rPr>
          <w:rFonts w:ascii="Verdana" w:hAnsi="Verdana"/>
          <w:b w:val="1"/>
          <w:bCs w:val="1"/>
          <w:sz w:val="28"/>
          <w:szCs w:val="28"/>
          <w:rtl w:val="0"/>
          <w:lang w:val="en-US"/>
        </w:rPr>
        <w:t>AI Disclosure</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sz w:val="24"/>
          <w:szCs w:val="24"/>
          <w:rtl w:val="0"/>
          <w:lang w:val="en-US"/>
        </w:rPr>
        <w:t>The author utilised Claude Sonnet by Anthropic (claude.ai) as an AI research assistant during the preparation of this work, including geometric calculation verification, literature cross-checking, reference formatting, and document file generation. All interpretations, the evidential argument, and the geometric analysis are the sole intellectual responsibility of the author. This disclosure follows the COPE and Anthropic guidelines for transparent AI collaboration in academic publishing.</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b w:val="1"/>
          <w:bCs w:val="1"/>
          <w:sz w:val="28"/>
          <w:szCs w:val="28"/>
        </w:rPr>
      </w:pPr>
      <w:r>
        <w:rPr>
          <w:rFonts w:ascii="Verdana" w:hAnsi="Verdana"/>
          <w:b w:val="1"/>
          <w:bCs w:val="1"/>
          <w:sz w:val="28"/>
          <w:szCs w:val="28"/>
          <w:rtl w:val="0"/>
          <w:lang w:val="fr-FR"/>
        </w:rPr>
        <w:t>Bibliography</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widowControl w:val="0"/>
        <w:numPr>
          <w:ilvl w:val="0"/>
          <w:numId w:val="4"/>
        </w:numPr>
        <w:jc w:val="both"/>
        <w:rPr>
          <w:rFonts w:ascii="Verdana" w:hAnsi="Verdana"/>
          <w:sz w:val="24"/>
          <w:szCs w:val="24"/>
          <w:lang w:val="de-DE"/>
        </w:rPr>
      </w:pPr>
      <w:r>
        <w:rPr>
          <w:rFonts w:ascii="Verdana" w:hAnsi="Verdana"/>
          <w:sz w:val="24"/>
          <w:szCs w:val="24"/>
          <w:rtl w:val="0"/>
          <w:lang w:val="de-DE"/>
        </w:rPr>
        <w:t>Borchardt, L. 1928: Die Entstehung der Pyramide an der Baugeschichte der Pyramide von Mejdum nachgewiesen. Berlin: Julius Springer.</w:t>
      </w:r>
    </w:p>
    <w:p>
      <w:pPr>
        <w:pStyle w:val="Body"/>
        <w:widowControl w:val="0"/>
        <w:numPr>
          <w:ilvl w:val="0"/>
          <w:numId w:val="4"/>
        </w:numPr>
        <w:jc w:val="both"/>
        <w:rPr>
          <w:rFonts w:ascii="Verdana" w:hAnsi="Verdana"/>
          <w:sz w:val="24"/>
          <w:szCs w:val="24"/>
          <w:lang w:val="en-US"/>
        </w:rPr>
      </w:pPr>
      <w:r>
        <w:rPr>
          <w:rFonts w:ascii="Verdana" w:hAnsi="Verdana"/>
          <w:sz w:val="24"/>
          <w:szCs w:val="24"/>
          <w:rtl w:val="0"/>
          <w:lang w:val="en-US"/>
        </w:rPr>
        <w:t>Bui, H.D., Lakshmanan, J., Montlucon, J. and Nakhla, C. 1987: First Results of Structural Analysis of the Cheops Pyramid by Microgravity. Egyptian Antiquities Organization International Symposium: Application of Modern Technology to Archaeological Exploration at the Giza Necropolis, Cairo, 14-17 December 1987.</w:t>
      </w:r>
    </w:p>
    <w:p>
      <w:pPr>
        <w:pStyle w:val="Body"/>
        <w:widowControl w:val="0"/>
        <w:numPr>
          <w:ilvl w:val="0"/>
          <w:numId w:val="4"/>
        </w:numPr>
        <w:jc w:val="both"/>
        <w:rPr>
          <w:rFonts w:ascii="Verdana" w:hAnsi="Verdana"/>
          <w:sz w:val="24"/>
          <w:szCs w:val="24"/>
          <w:lang w:val="en-US"/>
        </w:rPr>
      </w:pPr>
      <w:r>
        <w:rPr>
          <w:rFonts w:ascii="Verdana" w:hAnsi="Verdana"/>
          <w:sz w:val="24"/>
          <w:szCs w:val="24"/>
          <w:rtl w:val="0"/>
          <w:lang w:val="en-US"/>
        </w:rPr>
        <w:t>Cole, J.H. 1925: Determination of the Exact Size and Orientation of the Great Pyramid of Giza. Survey of Egypt Paper No. 39. Cairo: Government Press.</w:t>
      </w:r>
    </w:p>
    <w:p>
      <w:pPr>
        <w:pStyle w:val="Body"/>
        <w:widowControl w:val="0"/>
        <w:numPr>
          <w:ilvl w:val="0"/>
          <w:numId w:val="4"/>
        </w:numPr>
        <w:jc w:val="both"/>
        <w:rPr>
          <w:rFonts w:ascii="Verdana" w:hAnsi="Verdana"/>
          <w:sz w:val="24"/>
          <w:szCs w:val="24"/>
          <w:lang w:val="es-ES_tradnl"/>
        </w:rPr>
      </w:pPr>
      <w:r>
        <w:rPr>
          <w:rFonts w:ascii="Verdana" w:hAnsi="Verdana"/>
          <w:sz w:val="24"/>
          <w:szCs w:val="24"/>
          <w:rtl w:val="0"/>
          <w:lang w:val="es-ES_tradnl"/>
        </w:rPr>
        <w:t>Dormion, G. 2004: La Chambre de la Reine. Paris: Fayard.</w:t>
      </w:r>
    </w:p>
    <w:p>
      <w:pPr>
        <w:pStyle w:val="Body"/>
        <w:widowControl w:val="0"/>
        <w:numPr>
          <w:ilvl w:val="0"/>
          <w:numId w:val="4"/>
        </w:numPr>
        <w:jc w:val="both"/>
        <w:rPr>
          <w:rFonts w:ascii="Verdana" w:hAnsi="Verdana"/>
          <w:sz w:val="24"/>
          <w:szCs w:val="24"/>
          <w:lang w:val="en-US"/>
        </w:rPr>
      </w:pPr>
      <w:r>
        <w:rPr>
          <w:rFonts w:ascii="Verdana" w:hAnsi="Verdana"/>
          <w:sz w:val="24"/>
          <w:szCs w:val="24"/>
          <w:rtl w:val="0"/>
          <w:lang w:val="en-US"/>
        </w:rPr>
        <w:t xml:space="preserve">Egyptian Ministry of Tourism and Antiquities 2026: Discovery of Two Early Dynastic Tombs at Gebel El-Teir, Minya Governorate. Official Press Release, June 2026. </w:t>
      </w:r>
      <w:r>
        <w:rPr>
          <w:rStyle w:val="Hyperlink.0"/>
          <w:rFonts w:ascii="Verdana" w:cs="Verdana" w:hAnsi="Verdana" w:eastAsia="Verdana"/>
        </w:rPr>
        <w:fldChar w:fldCharType="begin" w:fldLock="0"/>
      </w:r>
      <w:r>
        <w:rPr>
          <w:rStyle w:val="Hyperlink.0"/>
          <w:rFonts w:ascii="Verdana" w:cs="Verdana" w:hAnsi="Verdana" w:eastAsia="Verdana"/>
        </w:rPr>
        <w:instrText xml:space="preserve"> HYPERLINK "https://www.archaeology.wiki/blog/2026/06/22/two-early-dynastic-tombs-found-in-at-gebel-el-teir-in-minya/"</w:instrText>
      </w:r>
      <w:r>
        <w:rPr>
          <w:rStyle w:val="Hyperlink.0"/>
          <w:rFonts w:ascii="Verdana" w:cs="Verdana" w:hAnsi="Verdana" w:eastAsia="Verdana"/>
        </w:rPr>
        <w:fldChar w:fldCharType="separate" w:fldLock="0"/>
      </w:r>
      <w:r>
        <w:rPr>
          <w:rStyle w:val="Hyperlink.0"/>
          <w:rFonts w:ascii="Verdana" w:hAnsi="Verdana"/>
          <w:rtl w:val="0"/>
          <w:lang w:val="en-US"/>
        </w:rPr>
        <w:t>https://www.archaeology.wiki/blog/2026/06/22/two-early-dynastic-tombs-found-in-at-gebel-el-teir-in-minya/</w:t>
      </w:r>
      <w:r>
        <w:rPr>
          <w:rFonts w:ascii="Verdana" w:cs="Verdana" w:hAnsi="Verdana" w:eastAsia="Verdana"/>
        </w:rPr>
        <w:fldChar w:fldCharType="end" w:fldLock="0"/>
      </w:r>
      <w:r>
        <w:rPr>
          <w:rFonts w:ascii="Verdana" w:hAnsi="Verdana"/>
          <w:sz w:val="24"/>
          <w:szCs w:val="24"/>
          <w:rtl w:val="0"/>
          <w:lang w:val="it-IT"/>
        </w:rPr>
        <w:t xml:space="preserve"> </w:t>
      </w:r>
    </w:p>
    <w:p>
      <w:pPr>
        <w:pStyle w:val="Body"/>
        <w:widowControl w:val="0"/>
        <w:numPr>
          <w:ilvl w:val="0"/>
          <w:numId w:val="4"/>
        </w:numPr>
        <w:jc w:val="both"/>
        <w:rPr>
          <w:rFonts w:ascii="Verdana" w:hAnsi="Verdana"/>
          <w:sz w:val="24"/>
          <w:szCs w:val="24"/>
          <w:lang w:val="en-US"/>
        </w:rPr>
      </w:pPr>
      <w:r>
        <w:rPr>
          <w:rFonts w:ascii="Verdana" w:hAnsi="Verdana"/>
          <w:sz w:val="24"/>
          <w:szCs w:val="24"/>
          <w:rtl w:val="0"/>
          <w:lang w:val="en-US"/>
        </w:rPr>
        <w:t>Gantenbrink, R. 1993: The Upuaut Project: Robotic Exploration of the Shafts in the Great Pyramid. German Archaeological Institute, Cairo. www.cheops.org</w:t>
      </w:r>
      <w:r>
        <w:rPr>
          <w:rFonts w:ascii="Verdana" w:hAnsi="Verdana"/>
          <w:sz w:val="24"/>
          <w:szCs w:val="24"/>
          <w:rtl w:val="0"/>
          <w:lang w:val="it-IT"/>
        </w:rPr>
        <w:t xml:space="preserve"> </w:t>
      </w:r>
    </w:p>
    <w:p>
      <w:pPr>
        <w:pStyle w:val="Body"/>
        <w:widowControl w:val="0"/>
        <w:numPr>
          <w:ilvl w:val="0"/>
          <w:numId w:val="4"/>
        </w:numPr>
        <w:jc w:val="both"/>
        <w:rPr>
          <w:rFonts w:ascii="Verdana" w:hAnsi="Verdana"/>
          <w:sz w:val="24"/>
          <w:szCs w:val="24"/>
          <w:lang w:val="en-US"/>
        </w:rPr>
      </w:pPr>
      <w:r>
        <w:rPr>
          <w:rFonts w:ascii="Verdana" w:hAnsi="Verdana"/>
          <w:sz w:val="24"/>
          <w:szCs w:val="24"/>
          <w:rtl w:val="0"/>
          <w:lang w:val="en-US"/>
        </w:rPr>
        <w:t>Houdin, J-P. 2006: Khufu: The Secrets Behind the Building of the Great Pyramid. Farid Atiya Press.</w:t>
      </w:r>
    </w:p>
    <w:p>
      <w:pPr>
        <w:pStyle w:val="Body"/>
        <w:widowControl w:val="0"/>
        <w:numPr>
          <w:ilvl w:val="0"/>
          <w:numId w:val="4"/>
        </w:numPr>
        <w:jc w:val="both"/>
        <w:rPr>
          <w:rFonts w:ascii="Verdana" w:hAnsi="Verdana"/>
          <w:sz w:val="24"/>
          <w:szCs w:val="24"/>
          <w:lang w:val="it-IT"/>
        </w:rPr>
      </w:pPr>
      <w:r>
        <w:rPr>
          <w:rFonts w:ascii="Verdana" w:hAnsi="Verdana"/>
          <w:sz w:val="24"/>
          <w:szCs w:val="24"/>
          <w:rtl w:val="0"/>
          <w:lang w:val="it-IT"/>
        </w:rPr>
        <w:t>Maragioglio, V. and Rinaldi, C. 1967: L'Architettura Delle Piramidi Menfite, Parte VI.</w:t>
      </w:r>
    </w:p>
    <w:p>
      <w:pPr>
        <w:pStyle w:val="Body"/>
        <w:widowControl w:val="0"/>
        <w:numPr>
          <w:ilvl w:val="0"/>
          <w:numId w:val="4"/>
        </w:numPr>
        <w:jc w:val="both"/>
        <w:rPr>
          <w:rFonts w:ascii="Verdana" w:hAnsi="Verdana"/>
          <w:sz w:val="24"/>
          <w:szCs w:val="24"/>
          <w:lang w:val="en-US"/>
        </w:rPr>
      </w:pPr>
      <w:r>
        <w:rPr>
          <w:rFonts w:ascii="Verdana" w:hAnsi="Verdana"/>
          <w:sz w:val="24"/>
          <w:szCs w:val="24"/>
          <w:rtl w:val="0"/>
          <w:lang w:val="en-US"/>
        </w:rPr>
        <w:t xml:space="preserve">Morishima, K., Kuno, M., Nishio, A. et al. 2017: Discovery of a big void in Khufu's Pyramid by observation of cosmic-ray muons. Nature 552: 386-390. </w:t>
      </w:r>
      <w:r>
        <w:rPr>
          <w:rStyle w:val="Hyperlink.0"/>
          <w:rFonts w:ascii="Verdana" w:cs="Verdana" w:hAnsi="Verdana" w:eastAsia="Verdana"/>
        </w:rPr>
        <w:fldChar w:fldCharType="begin" w:fldLock="0"/>
      </w:r>
      <w:r>
        <w:rPr>
          <w:rStyle w:val="Hyperlink.0"/>
          <w:rFonts w:ascii="Verdana" w:cs="Verdana" w:hAnsi="Verdana" w:eastAsia="Verdana"/>
        </w:rPr>
        <w:instrText xml:space="preserve"> HYPERLINK "https://doi.org/10.1038/nature24647"</w:instrText>
      </w:r>
      <w:r>
        <w:rPr>
          <w:rStyle w:val="Hyperlink.0"/>
          <w:rFonts w:ascii="Verdana" w:cs="Verdana" w:hAnsi="Verdana" w:eastAsia="Verdana"/>
        </w:rPr>
        <w:fldChar w:fldCharType="separate" w:fldLock="0"/>
      </w:r>
      <w:r>
        <w:rPr>
          <w:rStyle w:val="Hyperlink.0"/>
          <w:rFonts w:ascii="Verdana" w:hAnsi="Verdana"/>
          <w:rtl w:val="0"/>
          <w:lang w:val="en-US"/>
        </w:rPr>
        <w:t>https://doi.org/10.1038/nature24647</w:t>
      </w:r>
      <w:r>
        <w:rPr>
          <w:rFonts w:ascii="Verdana" w:cs="Verdana" w:hAnsi="Verdana" w:eastAsia="Verdana"/>
        </w:rPr>
        <w:fldChar w:fldCharType="end" w:fldLock="0"/>
      </w:r>
      <w:r>
        <w:rPr>
          <w:rFonts w:ascii="Verdana" w:hAnsi="Verdana"/>
          <w:sz w:val="24"/>
          <w:szCs w:val="24"/>
          <w:rtl w:val="0"/>
          <w:lang w:val="it-IT"/>
        </w:rPr>
        <w:t xml:space="preserve"> </w:t>
      </w:r>
    </w:p>
    <w:p>
      <w:pPr>
        <w:pStyle w:val="Body"/>
        <w:widowControl w:val="0"/>
        <w:numPr>
          <w:ilvl w:val="0"/>
          <w:numId w:val="4"/>
        </w:numPr>
        <w:jc w:val="both"/>
        <w:rPr>
          <w:rFonts w:ascii="Verdana" w:hAnsi="Verdana"/>
          <w:sz w:val="24"/>
          <w:szCs w:val="24"/>
          <w:lang w:val="en-US"/>
        </w:rPr>
      </w:pPr>
      <w:r>
        <w:rPr>
          <w:rFonts w:ascii="Verdana" w:hAnsi="Verdana"/>
          <w:sz w:val="24"/>
          <w:szCs w:val="24"/>
          <w:rtl w:val="0"/>
          <w:lang w:val="en-US"/>
        </w:rPr>
        <w:t>Petrie, W.M.F. 1883: The Pyramids and Temples of Gizeh. London: Field and Tuer.</w:t>
      </w:r>
    </w:p>
    <w:p>
      <w:pPr>
        <w:pStyle w:val="Body"/>
        <w:widowControl w:val="0"/>
        <w:numPr>
          <w:ilvl w:val="0"/>
          <w:numId w:val="4"/>
        </w:numPr>
        <w:jc w:val="both"/>
        <w:rPr>
          <w:rFonts w:ascii="Verdana" w:hAnsi="Verdana"/>
          <w:sz w:val="24"/>
          <w:szCs w:val="24"/>
          <w:lang w:val="en-US"/>
        </w:rPr>
      </w:pPr>
      <w:r>
        <w:rPr>
          <w:rFonts w:ascii="Verdana" w:hAnsi="Verdana"/>
          <w:sz w:val="24"/>
          <w:szCs w:val="24"/>
          <w:rtl w:val="0"/>
          <w:lang w:val="en-US"/>
        </w:rPr>
        <w:t xml:space="preserve">Procureur, S. et al. 2023: Precise characterization of a void hidden in the Khufu Pyramid by observation of cosmic-ray muons. Nature Communications. </w:t>
      </w:r>
      <w:r>
        <w:rPr>
          <w:rStyle w:val="Hyperlink.0"/>
          <w:rFonts w:ascii="Verdana" w:cs="Verdana" w:hAnsi="Verdana" w:eastAsia="Verdana"/>
        </w:rPr>
        <w:fldChar w:fldCharType="begin" w:fldLock="0"/>
      </w:r>
      <w:r>
        <w:rPr>
          <w:rStyle w:val="Hyperlink.0"/>
          <w:rFonts w:ascii="Verdana" w:cs="Verdana" w:hAnsi="Verdana" w:eastAsia="Verdana"/>
        </w:rPr>
        <w:instrText xml:space="preserve"> HYPERLINK "https://doi.org/10.1038/s41467-023-36498-w"</w:instrText>
      </w:r>
      <w:r>
        <w:rPr>
          <w:rStyle w:val="Hyperlink.0"/>
          <w:rFonts w:ascii="Verdana" w:cs="Verdana" w:hAnsi="Verdana" w:eastAsia="Verdana"/>
        </w:rPr>
        <w:fldChar w:fldCharType="separate" w:fldLock="0"/>
      </w:r>
      <w:r>
        <w:rPr>
          <w:rStyle w:val="Hyperlink.0"/>
          <w:rFonts w:ascii="Verdana" w:hAnsi="Verdana"/>
          <w:rtl w:val="0"/>
          <w:lang w:val="en-US"/>
        </w:rPr>
        <w:t>https://doi.org/10.1038/s41467-023-36498-w</w:t>
      </w:r>
      <w:r>
        <w:rPr>
          <w:rFonts w:ascii="Verdana" w:cs="Verdana" w:hAnsi="Verdana" w:eastAsia="Verdana"/>
        </w:rPr>
        <w:fldChar w:fldCharType="end" w:fldLock="0"/>
      </w:r>
      <w:r>
        <w:rPr>
          <w:rFonts w:ascii="Verdana" w:hAnsi="Verdana"/>
          <w:sz w:val="24"/>
          <w:szCs w:val="24"/>
          <w:rtl w:val="0"/>
          <w:lang w:val="it-IT"/>
        </w:rPr>
        <w:t xml:space="preserve"> </w:t>
      </w:r>
    </w:p>
    <w:p>
      <w:pPr>
        <w:pStyle w:val="Body"/>
        <w:widowControl w:val="0"/>
        <w:numPr>
          <w:ilvl w:val="0"/>
          <w:numId w:val="4"/>
        </w:numPr>
        <w:jc w:val="both"/>
        <w:rPr>
          <w:rFonts w:ascii="Verdana" w:hAnsi="Verdana"/>
          <w:sz w:val="24"/>
          <w:szCs w:val="24"/>
          <w:lang w:val="en-US"/>
        </w:rPr>
      </w:pPr>
      <w:r>
        <w:rPr>
          <w:rFonts w:ascii="Verdana" w:hAnsi="Verdana"/>
          <w:sz w:val="24"/>
          <w:szCs w:val="24"/>
          <w:rtl w:val="0"/>
          <w:lang w:val="en-US"/>
        </w:rPr>
        <w:t>Rigano, C. 2003: The Step Pyramid Within. The Ostracon: Journal of the Egyptian Study Society 14(2): 2-7.</w:t>
      </w:r>
    </w:p>
    <w:p>
      <w:pPr>
        <w:pStyle w:val="Body"/>
        <w:widowControl w:val="0"/>
        <w:numPr>
          <w:ilvl w:val="0"/>
          <w:numId w:val="4"/>
        </w:numPr>
        <w:jc w:val="both"/>
        <w:rPr>
          <w:rFonts w:ascii="Verdana" w:hAnsi="Verdana"/>
          <w:sz w:val="24"/>
          <w:szCs w:val="24"/>
          <w:lang w:val="en-US"/>
        </w:rPr>
      </w:pPr>
      <w:r>
        <w:rPr>
          <w:rFonts w:ascii="Verdana" w:hAnsi="Verdana"/>
          <w:sz w:val="24"/>
          <w:szCs w:val="24"/>
          <w:rtl w:val="0"/>
          <w:lang w:val="en-US"/>
        </w:rPr>
        <w:t>Rigano, C. 2014: Pyramids of the Giza Plateau: Pyramid Complexes of Khufu, Khafre, and Menkaure. AuthorHouse.</w:t>
      </w:r>
    </w:p>
    <w:p>
      <w:pPr>
        <w:pStyle w:val="Body"/>
        <w:widowControl w:val="0"/>
        <w:numPr>
          <w:ilvl w:val="0"/>
          <w:numId w:val="4"/>
        </w:numPr>
        <w:jc w:val="both"/>
        <w:rPr>
          <w:rFonts w:ascii="Verdana" w:hAnsi="Verdana"/>
          <w:sz w:val="24"/>
          <w:szCs w:val="24"/>
          <w:lang w:val="en-US"/>
        </w:rPr>
      </w:pPr>
      <w:r>
        <w:rPr>
          <w:rFonts w:ascii="Verdana" w:hAnsi="Verdana"/>
          <w:sz w:val="24"/>
          <w:szCs w:val="24"/>
          <w:rtl w:val="0"/>
          <w:lang w:val="en-US"/>
        </w:rPr>
        <w:t>Vondoom, A. 2026a: The Mastaba Within: Structural and Geophysical Evidence for a Stepped Internal Core in the Great Pyramid of Khufu. Journal of the Faculty of Archaeology, Cairo University (under review).</w:t>
      </w:r>
    </w:p>
    <w:p>
      <w:pPr>
        <w:pStyle w:val="Body"/>
        <w:widowControl w:val="0"/>
        <w:numPr>
          <w:ilvl w:val="0"/>
          <w:numId w:val="4"/>
        </w:numPr>
        <w:jc w:val="both"/>
        <w:rPr>
          <w:rFonts w:ascii="Verdana" w:hAnsi="Verdana"/>
          <w:sz w:val="24"/>
          <w:szCs w:val="24"/>
          <w:lang w:val="en-US"/>
        </w:rPr>
      </w:pPr>
      <w:r>
        <w:rPr>
          <w:rFonts w:ascii="Verdana" w:hAnsi="Verdana"/>
          <w:sz w:val="24"/>
          <w:szCs w:val="24"/>
          <w:rtl w:val="0"/>
          <w:lang w:val="en-US"/>
        </w:rPr>
        <w:t xml:space="preserve">Vondoom, A. 2026b: The Deep Symbolic Systems Model (DSSM): A Cognitive-Ritual Framework for Early Monumentality and Cultural Continuity. SSRN. </w:t>
      </w:r>
      <w:r>
        <w:rPr>
          <w:rStyle w:val="Hyperlink.0"/>
          <w:rFonts w:ascii="Verdana" w:cs="Verdana" w:hAnsi="Verdana" w:eastAsia="Verdana"/>
        </w:rPr>
        <w:fldChar w:fldCharType="begin" w:fldLock="0"/>
      </w:r>
      <w:r>
        <w:rPr>
          <w:rStyle w:val="Hyperlink.0"/>
          <w:rFonts w:ascii="Verdana" w:cs="Verdana" w:hAnsi="Verdana" w:eastAsia="Verdana"/>
        </w:rPr>
        <w:instrText xml:space="preserve"> HYPERLINK "https://doi.org/10.2139/ssrn.6003734"</w:instrText>
      </w:r>
      <w:r>
        <w:rPr>
          <w:rStyle w:val="Hyperlink.0"/>
          <w:rFonts w:ascii="Verdana" w:cs="Verdana" w:hAnsi="Verdana" w:eastAsia="Verdana"/>
        </w:rPr>
        <w:fldChar w:fldCharType="separate" w:fldLock="0"/>
      </w:r>
      <w:r>
        <w:rPr>
          <w:rStyle w:val="Hyperlink.0"/>
          <w:rFonts w:ascii="Verdana" w:hAnsi="Verdana"/>
          <w:rtl w:val="0"/>
          <w:lang w:val="en-US"/>
        </w:rPr>
        <w:t>https://doi.org/10.2139/ssrn.6003734</w:t>
      </w:r>
      <w:r>
        <w:rPr>
          <w:rFonts w:ascii="Verdana" w:cs="Verdana" w:hAnsi="Verdana" w:eastAsia="Verdana"/>
        </w:rPr>
        <w:fldChar w:fldCharType="end" w:fldLock="0"/>
      </w:r>
      <w:r>
        <w:rPr>
          <w:rFonts w:ascii="Verdana" w:hAnsi="Verdana"/>
          <w:sz w:val="24"/>
          <w:szCs w:val="24"/>
          <w:rtl w:val="0"/>
          <w:lang w:val="it-IT"/>
        </w:rPr>
        <w:t xml:space="preserve"> </w:t>
      </w:r>
    </w:p>
    <w:p>
      <w:pPr>
        <w:pStyle w:val="Body"/>
        <w:widowControl w:val="0"/>
        <w:numPr>
          <w:ilvl w:val="0"/>
          <w:numId w:val="4"/>
        </w:numPr>
        <w:jc w:val="both"/>
        <w:rPr>
          <w:rFonts w:ascii="Verdana" w:hAnsi="Verdana"/>
          <w:sz w:val="24"/>
          <w:szCs w:val="24"/>
          <w:lang w:val="en-US"/>
        </w:rPr>
      </w:pPr>
      <w:r>
        <w:rPr>
          <w:rFonts w:ascii="Verdana" w:hAnsi="Verdana"/>
          <w:sz w:val="24"/>
          <w:szCs w:val="24"/>
          <w:rtl w:val="0"/>
          <w:lang w:val="en-US"/>
        </w:rPr>
        <w:t xml:space="preserve">Vondoom, A. 2027: Cognitive Foundations of Early Egyptian Civilization: Insights from the Deep Symbolic Systems Model. IWNW, Vol. 6, Ain Shams University. </w:t>
      </w:r>
      <w:r>
        <w:rPr>
          <w:rStyle w:val="Hyperlink.0"/>
          <w:rFonts w:ascii="Verdana" w:cs="Verdana" w:hAnsi="Verdana" w:eastAsia="Verdana"/>
        </w:rPr>
        <w:fldChar w:fldCharType="begin" w:fldLock="0"/>
      </w:r>
      <w:r>
        <w:rPr>
          <w:rStyle w:val="Hyperlink.0"/>
          <w:rFonts w:ascii="Verdana" w:cs="Verdana" w:hAnsi="Verdana" w:eastAsia="Verdana"/>
        </w:rPr>
        <w:instrText xml:space="preserve"> HYPERLINK "https://doi.org/10.21608/IWNW.2026.464676.1075"</w:instrText>
      </w:r>
      <w:r>
        <w:rPr>
          <w:rStyle w:val="Hyperlink.0"/>
          <w:rFonts w:ascii="Verdana" w:cs="Verdana" w:hAnsi="Verdana" w:eastAsia="Verdana"/>
        </w:rPr>
        <w:fldChar w:fldCharType="separate" w:fldLock="0"/>
      </w:r>
      <w:r>
        <w:rPr>
          <w:rStyle w:val="Hyperlink.0"/>
          <w:rFonts w:ascii="Verdana" w:hAnsi="Verdana"/>
          <w:rtl w:val="0"/>
          <w:lang w:val="en-US"/>
        </w:rPr>
        <w:t>https://doi.org/10.21608/IWNW.2026.464676.1075</w:t>
      </w:r>
      <w:r>
        <w:rPr>
          <w:rFonts w:ascii="Verdana" w:cs="Verdana" w:hAnsi="Verdana" w:eastAsia="Verdana"/>
        </w:rPr>
        <w:fldChar w:fldCharType="end" w:fldLock="0"/>
      </w:r>
      <w:r>
        <w:rPr>
          <w:rFonts w:ascii="Verdana" w:hAnsi="Verdana"/>
          <w:sz w:val="24"/>
          <w:szCs w:val="24"/>
          <w:rtl w:val="0"/>
          <w:lang w:val="it-IT"/>
        </w:rPr>
        <w:t xml:space="preserve"> </w:t>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Word Default Style"/>
      </w:pPr>
      <w:r>
        <w:rPr>
          <w:rStyle w:val="footnote reference"/>
        </w:rPr>
        <w:footnoteRef/>
      </w:r>
      <w:r>
        <w:rPr>
          <w:rFonts w:cs="Arial Unicode MS" w:eastAsia="Arial Unicode MS"/>
          <w:rtl w:val="0"/>
          <w:lang w:val="it-IT"/>
        </w:rPr>
        <w:t>Rigano 2003: 2-7.</w:t>
      </w:r>
    </w:p>
  </w:footnote>
  <w:footnote w:id="2">
    <w:p>
      <w:pPr>
        <w:pStyle w:val="Word Default Style"/>
      </w:pPr>
      <w:r>
        <w:rPr>
          <w:rStyle w:val="footnote reference"/>
        </w:rPr>
        <w:footnoteRef/>
      </w:r>
      <w:r>
        <w:rPr>
          <w:rFonts w:cs="Arial Unicode MS" w:eastAsia="Arial Unicode MS"/>
          <w:rtl w:val="0"/>
          <w:lang w:val="en-US"/>
        </w:rPr>
        <w:t>Vondoom 2026a: under review.</w:t>
      </w:r>
    </w:p>
  </w:footnote>
  <w:footnote w:id="3">
    <w:p>
      <w:pPr>
        <w:pStyle w:val="Word Default Style"/>
      </w:pPr>
      <w:r>
        <w:rPr>
          <w:rStyle w:val="footnote reference"/>
        </w:rPr>
        <w:footnoteRef/>
      </w:r>
      <w:r>
        <w:rPr>
          <w:rFonts w:cs="Arial Unicode MS" w:eastAsia="Arial Unicode MS"/>
          <w:rtl w:val="0"/>
        </w:rPr>
        <w:t>Petrie 1883: Section 38.</w:t>
      </w:r>
    </w:p>
  </w:footnote>
  <w:footnote w:id="4">
    <w:p>
      <w:pPr>
        <w:pStyle w:val="Word Default Style"/>
      </w:pPr>
      <w:r>
        <w:rPr>
          <w:rStyle w:val="footnote reference"/>
        </w:rPr>
        <w:footnoteRef/>
      </w:r>
      <w:r>
        <w:rPr>
          <w:rFonts w:cs="Arial Unicode MS" w:eastAsia="Arial Unicode MS"/>
          <w:rtl w:val="0"/>
          <w:lang w:val="en-US"/>
        </w:rPr>
        <w:t>Egyptian Ministry of Tourism and Antiquities 2026. The quote is attributed to Mohamed Abdel Badi, Head of the Egyptian Antiquities Sector, as reported in the official press release.</w:t>
      </w:r>
    </w:p>
  </w:footnote>
  <w:footnote w:id="5">
    <w:p>
      <w:pPr>
        <w:pStyle w:val="Word Default Style"/>
      </w:pPr>
      <w:r>
        <w:rPr>
          <w:rStyle w:val="footnote reference"/>
        </w:rPr>
        <w:footnoteRef/>
      </w:r>
      <w:r>
        <w:rPr>
          <w:rFonts w:cs="Arial Unicode MS" w:eastAsia="Arial Unicode MS"/>
          <w:rtl w:val="0"/>
          <w:lang w:val="it-IT"/>
        </w:rPr>
        <w:t>Rigano 2003: Table 1.</w:t>
      </w:r>
    </w:p>
  </w:footnote>
  <w:footnote w:id="6">
    <w:p>
      <w:pPr>
        <w:pStyle w:val="Word Default Style"/>
      </w:pPr>
      <w:r>
        <w:rPr>
          <w:rStyle w:val="footnote reference"/>
        </w:rPr>
        <w:footnoteRef/>
      </w:r>
      <w:r>
        <w:rPr>
          <w:rFonts w:cs="Arial Unicode MS" w:eastAsia="Arial Unicode MS"/>
          <w:rtl w:val="0"/>
          <w:lang w:val="it-IT"/>
        </w:rPr>
        <w:t>Maragioglio and Rinaldi 1967: 80-92.</w:t>
      </w:r>
    </w:p>
  </w:footnote>
  <w:footnote w:id="7">
    <w:p>
      <w:pPr>
        <w:pStyle w:val="Word Default Style"/>
      </w:pPr>
      <w:r>
        <w:rPr>
          <w:rStyle w:val="footnote reference"/>
        </w:rPr>
        <w:footnoteRef/>
      </w:r>
      <w:r>
        <w:rPr>
          <w:rFonts w:cs="Arial Unicode MS" w:eastAsia="Arial Unicode MS"/>
          <w:rtl w:val="0"/>
          <w:lang w:val="it-IT"/>
        </w:rPr>
        <w:t>Rigano 2014: 45-62.</w:t>
      </w:r>
    </w:p>
  </w:footnote>
  <w:footnote w:id="8">
    <w:p>
      <w:pPr>
        <w:pStyle w:val="Word Default Style"/>
      </w:pPr>
      <w:r>
        <w:rPr>
          <w:rStyle w:val="footnote reference"/>
        </w:rPr>
        <w:footnoteRef/>
      </w:r>
      <w:r>
        <w:rPr>
          <w:rFonts w:cs="Arial Unicode MS" w:eastAsia="Arial Unicode MS"/>
          <w:rtl w:val="0"/>
          <w:lang w:val="it-IT"/>
        </w:rPr>
        <w:t>Rigano 2003: 6.</w:t>
      </w:r>
    </w:p>
  </w:footnote>
  <w:footnote w:id="9">
    <w:p>
      <w:pPr>
        <w:pStyle w:val="Word Default Style"/>
      </w:pPr>
      <w:r>
        <w:rPr>
          <w:rStyle w:val="footnote reference"/>
        </w:rPr>
        <w:footnoteRef/>
      </w:r>
      <w:r>
        <w:rPr>
          <w:rFonts w:cs="Arial Unicode MS" w:eastAsia="Arial Unicode MS"/>
          <w:rtl w:val="0"/>
          <w:lang w:val="en-US"/>
        </w:rPr>
        <w:t>Gantenbrink 1993. Full project documentation archived at www.cheops.org.</w:t>
      </w:r>
    </w:p>
  </w:footnote>
  <w:footnote w:id="10">
    <w:p>
      <w:pPr>
        <w:pStyle w:val="Word Default Style"/>
      </w:pPr>
      <w:r>
        <w:rPr>
          <w:rStyle w:val="footnote reference"/>
        </w:rPr>
        <w:footnoteRef/>
      </w:r>
      <w:r>
        <w:rPr>
          <w:rFonts w:cs="Arial Unicode MS" w:eastAsia="Arial Unicode MS"/>
          <w:rtl w:val="0"/>
          <w:lang w:val="en-US"/>
        </w:rPr>
        <w:t>Hawass, cited in Dormion 2004: 47. Both Queen's Chamber shafts confirmed as equidistant, terminating at approximately 65 metres from the chamber.</w:t>
      </w:r>
    </w:p>
  </w:footnote>
  <w:footnote w:id="11">
    <w:p>
      <w:pPr>
        <w:pStyle w:val="Word Default Style"/>
      </w:pPr>
      <w:r>
        <w:rPr>
          <w:rStyle w:val="footnote reference"/>
        </w:rPr>
        <w:footnoteRef/>
      </w:r>
      <w:r>
        <w:rPr>
          <w:rFonts w:cs="Arial Unicode MS" w:eastAsia="Arial Unicode MS"/>
          <w:rtl w:val="0"/>
          <w:lang w:val="en-US"/>
        </w:rPr>
        <w:t>Gantenbrink 1993. Angle of ascent 39.6 degrees derived from 24 independent inclinometer measurements over 28 metres of traversed shaft. Shaft start position 1.96 m south of the southern chamber wall.</w:t>
      </w:r>
    </w:p>
  </w:footnote>
  <w:footnote w:id="12">
    <w:p>
      <w:pPr>
        <w:pStyle w:val="Word Default Style"/>
      </w:pPr>
      <w:r>
        <w:rPr>
          <w:rStyle w:val="footnote reference"/>
        </w:rPr>
        <w:footnoteRef/>
      </w:r>
      <w:r>
        <w:rPr>
          <w:rFonts w:cs="Arial Unicode MS" w:eastAsia="Arial Unicode MS"/>
          <w:rtl w:val="0"/>
          <w:lang w:val="en-US"/>
        </w:rPr>
        <w:t>Petrie 1883: Section 38. Petrie gives the Queen's Chamber floor at 834.4 inches (21.19 m) above the pyramid base. The shaft openings sit approximately 0.9 m above the chamber floor, placing them at approximately 22.1 m above the base. This figure requires verification against Petrie's original survey notes.</w:t>
      </w:r>
    </w:p>
  </w:footnote>
  <w:footnote w:id="13">
    <w:p>
      <w:pPr>
        <w:pStyle w:val="Word Default Style"/>
      </w:pPr>
      <w:r>
        <w:rPr>
          <w:rStyle w:val="footnote reference"/>
        </w:rPr>
        <w:footnoteRef/>
      </w:r>
      <w:r>
        <w:rPr>
          <w:rFonts w:cs="Arial Unicode MS" w:eastAsia="Arial Unicode MS"/>
          <w:rtl w:val="0"/>
          <w:lang w:val="en-US"/>
        </w:rPr>
        <w:t>Gantenbrink 1993. This observation is recorded in the Upuaut Project field notes available at www.cheops.org. It has not been independently published in peer-reviewed literature and is presented here as a reported field observation requiring further verification.</w:t>
      </w:r>
    </w:p>
  </w:footnote>
  <w:footnote w:id="14">
    <w:p>
      <w:pPr>
        <w:pStyle w:val="Word Default Style"/>
      </w:pPr>
      <w:r>
        <w:rPr>
          <w:rStyle w:val="footnote reference"/>
        </w:rPr>
        <w:footnoteRef/>
      </w:r>
      <w:r>
        <w:rPr>
          <w:rFonts w:cs="Arial Unicode MS" w:eastAsia="Arial Unicode MS"/>
          <w:rtl w:val="0"/>
          <w:lang w:val="en-US"/>
        </w:rPr>
        <w:t>Cole 1925. Pyramid base 230.364 m per side; pyramid height 146.59 m per Petrie 1883.</w:t>
      </w:r>
    </w:p>
  </w:footnote>
  <w:footnote w:id="15">
    <w:p>
      <w:pPr>
        <w:pStyle w:val="Word Default Style"/>
      </w:pPr>
      <w:r>
        <w:rPr>
          <w:rStyle w:val="footnote reference"/>
        </w:rPr>
        <w:footnoteRef/>
      </w:r>
      <w:r>
        <w:rPr>
          <w:rFonts w:cs="Arial Unicode MS" w:eastAsia="Arial Unicode MS"/>
          <w:rtl w:val="0"/>
          <w:lang w:val="en-US"/>
        </w:rPr>
        <w:t>Borchardt 1928. Phase E1: seven steps; Phase E2: eight steps; Phase E3: smooth exterior casing, subsequently collapsed. Step pyramid volume as percentage of true pyramid volume: Rigano 2003: Table 2.</w:t>
      </w:r>
    </w:p>
  </w:footnote>
  <w:footnote w:id="16">
    <w:p>
      <w:pPr>
        <w:pStyle w:val="Word Default Style"/>
      </w:pPr>
      <w:r>
        <w:rPr>
          <w:rStyle w:val="footnote reference"/>
        </w:rPr>
        <w:footnoteRef/>
      </w:r>
      <w:r>
        <w:rPr>
          <w:rFonts w:cs="Arial Unicode MS" w:eastAsia="Arial Unicode MS"/>
          <w:rtl w:val="0"/>
          <w:lang w:val="en-US"/>
        </w:rPr>
        <w:t>Bui et alii 1987. Four field campaigns May 1986 to November 1987; 754 gravity measurements; analysis at macrostructure, mesostructure, and microstructure scales.</w:t>
      </w:r>
    </w:p>
  </w:footnote>
  <w:footnote w:id="17">
    <w:p>
      <w:pPr>
        <w:pStyle w:val="Word Default Style"/>
      </w:pPr>
      <w:r>
        <w:rPr>
          <w:rStyle w:val="footnote reference"/>
        </w:rPr>
        <w:footnoteRef/>
      </w:r>
      <w:r>
        <w:rPr>
          <w:rFonts w:cs="Arial Unicode MS" w:eastAsia="Arial Unicode MS"/>
          <w:rtl w:val="0"/>
        </w:rPr>
        <w:t>Bui et alii 1987: 6.</w:t>
      </w:r>
    </w:p>
  </w:footnote>
  <w:footnote w:id="18">
    <w:p>
      <w:pPr>
        <w:pStyle w:val="Word Default Style"/>
      </w:pPr>
      <w:r>
        <w:rPr>
          <w:rStyle w:val="footnote reference"/>
        </w:rPr>
        <w:footnoteRef/>
      </w:r>
      <w:r>
        <w:rPr>
          <w:rFonts w:cs="Arial Unicode MS" w:eastAsia="Arial Unicode MS"/>
          <w:rtl w:val="0"/>
          <w:lang w:val="en-US"/>
        </w:rPr>
        <w:t>Bui et alii 1987: 6. The authors explicitly state that the light and heavy density zones do not correlate horizontally.</w:t>
      </w:r>
    </w:p>
  </w:footnote>
  <w:footnote w:id="19">
    <w:p>
      <w:pPr>
        <w:pStyle w:val="Word Default Style"/>
      </w:pPr>
      <w:r>
        <w:rPr>
          <w:rStyle w:val="footnote reference"/>
        </w:rPr>
        <w:footnoteRef/>
      </w:r>
      <w:r>
        <w:rPr>
          <w:rFonts w:cs="Arial Unicode MS" w:eastAsia="Arial Unicode MS"/>
          <w:rtl w:val="0"/>
          <w:lang w:val="en-US"/>
        </w:rPr>
        <w:t>Bui et alii 1987: 10. Sand-filled cavity subsequently confirmed by drill holes.</w:t>
      </w:r>
    </w:p>
  </w:footnote>
  <w:footnote w:id="20">
    <w:p>
      <w:pPr>
        <w:pStyle w:val="Word Default Style"/>
      </w:pPr>
      <w:r>
        <w:rPr>
          <w:rStyle w:val="footnote reference"/>
        </w:rPr>
        <w:footnoteRef/>
      </w:r>
      <w:r>
        <w:rPr>
          <w:rFonts w:cs="Arial Unicode MS" w:eastAsia="Arial Unicode MS"/>
          <w:rtl w:val="0"/>
        </w:rPr>
        <w:t>Morishima et alii 2017: 386-390; Procureur et alii 2023.</w:t>
      </w:r>
    </w:p>
  </w:footnote>
  <w:footnote w:id="21">
    <w:p>
      <w:pPr>
        <w:pStyle w:val="Word Default Style"/>
      </w:pPr>
      <w:r>
        <w:rPr>
          <w:rStyle w:val="footnote reference"/>
        </w:rPr>
        <w:footnoteRef/>
      </w:r>
      <w:r>
        <w:rPr>
          <w:rFonts w:cs="Arial Unicode MS" w:eastAsia="Arial Unicode MS"/>
          <w:rtl w:val="0"/>
          <w:lang w:val="nl-NL"/>
        </w:rPr>
        <w:t>Vondoom 2026b; Vondoom 2027.</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nothing"/>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s"/>
  </w:abstractNum>
  <w:abstractNum w:abstractNumId="3">
    <w:multiLevelType w:val="hybridMultilevel"/>
    <w:styleLink w:val="Bullets"/>
    <w:lvl w:ilvl="0">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outline w:val="0"/>
      <w:color w:val="0563c1"/>
      <w:u w:val="single" w:color="0563c1"/>
      <w14:textFill>
        <w14:solidFill>
          <w14:srgbClr w14:val="0563C1"/>
        </w14:solidFill>
      </w14:textFill>
    </w:rPr>
  </w:style>
  <w:style w:type="numbering" w:styleId="Numbered">
    <w:name w:val="Numbered"/>
    <w:pPr>
      <w:numPr>
        <w:numId w:val="1"/>
      </w:numPr>
    </w:pPr>
  </w:style>
  <w:style w:type="paragraph" w:styleId="Word Default Style">
    <w:name w:val="Word Default Style"/>
    <w:next w:val="Word Default Styl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shd w:val="nil" w:color="auto" w:fill="auto"/>
      <w:vertAlign w:val="baseline"/>
      <w14:textFill>
        <w14:solidFill>
          <w14:srgbClr w14:val="000000"/>
        </w14:solidFill>
      </w14:textFill>
    </w:rPr>
  </w:style>
  <w:style w:type="character" w:styleId="footnote reference">
    <w:name w:val="footnote reference"/>
    <w:rPr>
      <w:vertAlign w:val="superscript"/>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Bullets">
    <w:name w:val="Bullets"/>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