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44"/>
          <w:szCs w:val="44"/>
        </w:rPr>
      </w:pPr>
      <w:r>
        <w:rPr>
          <w:rFonts w:ascii="Verdana" w:hAnsi="Verdana"/>
          <w:sz w:val="44"/>
          <w:szCs w:val="44"/>
          <w:rtl w:val="0"/>
          <w:lang w:val="en-US"/>
        </w:rPr>
        <w:t>Before the Circuit: Did Ancient Civilizations Harness Electricity?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12"/>
          <w:szCs w:val="12"/>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i w:val="1"/>
          <w:iCs w:val="1"/>
          <w:sz w:val="24"/>
          <w:szCs w:val="24"/>
          <w:rtl w:val="0"/>
          <w:lang w:val="en-US"/>
        </w:rPr>
        <w:t>The cross-cultural mythological record, material archaeology, and physical properties of ancient electrical phenomena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16"/>
          <w:szCs w:val="16"/>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it-IT"/>
        </w:rPr>
        <w:t xml:space="preserve">Figshare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"https://doi.org/10.6084/m9.figshare.32750256"</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https://doi.org/10.6084/m9.figshare.32750256</w:t>
      </w:r>
      <w:r>
        <w:rPr>
          <w:rFonts w:ascii="Verdana" w:cs="Verdana" w:hAnsi="Verdana" w:eastAsia="Verdana"/>
        </w:rPr>
        <w:fldChar w:fldCharType="end" w:fldLock="0"/>
      </w:r>
      <w:r>
        <w:rPr>
          <w:rFonts w:ascii="Verdana" w:hAnsi="Verdana"/>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6"/>
          <w:szCs w:val="26"/>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Independent Researcher in Cognitive Archaeology | Sirmione, Italy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rPr>
        <w:t>anthony.vondoom@outlook.com | ORCID: 0009-0003-4953-1427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12"/>
          <w:szCs w:val="12"/>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24"/>
          <w:szCs w:val="24"/>
          <w:rtl w:val="0"/>
        </w:rPr>
        <w:t xml:space="preserve"> </w:t>
      </w:r>
    </w:p>
    <w:p>
      <w:pPr>
        <w:pStyle w:val="Heading"/>
        <w:jc w:val="both"/>
        <w:rPr>
          <w:rFonts w:ascii="Verdana" w:cs="Verdana" w:hAnsi="Verdana" w:eastAsia="Verdana"/>
          <w:b w:val="0"/>
          <w:bCs w:val="0"/>
        </w:rPr>
      </w:pPr>
      <w:r>
        <w:rPr>
          <w:rFonts w:ascii="Verdana" w:hAnsi="Verdana"/>
          <w:b w:val="0"/>
          <w:bCs w:val="0"/>
          <w:rtl w:val="0"/>
          <w:lang w:val="de-DE"/>
        </w:rPr>
        <w:t>Abstract</w:t>
      </w:r>
    </w:p>
    <w:p>
      <w:pPr>
        <w:pStyle w:val="Heading"/>
        <w:jc w:val="both"/>
        <w:rPr>
          <w:rFonts w:ascii="Verdana" w:cs="Verdana" w:hAnsi="Verdana" w:eastAsia="Verdana"/>
          <w:b w:val="0"/>
          <w:bCs w:val="0"/>
        </w:rPr>
      </w:pPr>
      <w:r>
        <w:rPr>
          <w:rFonts w:ascii="Verdana" w:hAnsi="Verdana"/>
          <w:b w:val="0"/>
          <w:bCs w:val="0"/>
          <w:sz w:val="24"/>
          <w:szCs w:val="24"/>
          <w:rtl w:val="0"/>
          <w:lang w:val="en-US"/>
        </w:rPr>
        <w:t>The evidence indicates they did - without circuits, without theory, and without the conceptual vocabulary we now use to describe what their hands and observations had already mastered. This paper traces a methodological thread from the cognitive mechanism of technological replication - established by the fire-making precedent - through documented ancient exposure to electrical phenomena, to a cross-cultural mythological record that, when read as behavioral data rather than folklore, converges on a single pattern: electricity was encoded as weapon, not tool, across every independent tradition examined. The mythological record additionally encodes a precise technical warning, transmitted across every tradition, that the technology destroys those who attempt to deploy it without full mastery. The Egyptian symbolic record is then examined, with attention not to material speculation but to the structural argument: a technology held exclusively within a priestly class, applied only in restricted sacred contexts, and never reproduced for general use has no redundancy in its transmission chain and is precisely what one would expect to find lost without comprehensive physical trace. The systematic archaeological survival bias that renders absence of evidence uninformative in this domain is addressed directly, with the Baghdad Battery reframed not as an isolated curiosity but as the single surviving representative of a technology class that was more widely distributed across time. The degradation trajectory - from the mythological encoding of possible weaponized application alongside documented therapeutic use (Egypt, pre-3000 BCE; Greece, c. 600 BCE; Baghdad, c. 250 BCE-200 CE; Rome, first century CE) to complete loss - is reconstructed from the available record. The paper closes by distinguishing invention from discovery: what the modern era calls the discovery of electricity was more precisely the re-invention of a phenomenon that cognitively modern humans had already engaged with, lost, and left encoded in the most durable medium available to pre-literate societies.</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Keywords: </w:t>
      </w:r>
      <w:r>
        <w:rPr>
          <w:rFonts w:ascii="Verdana" w:hAnsi="Verdana"/>
          <w:b w:val="0"/>
          <w:bCs w:val="0"/>
          <w:i w:val="1"/>
          <w:iCs w:val="1"/>
          <w:sz w:val="24"/>
          <w:szCs w:val="24"/>
          <w:rtl w:val="0"/>
          <w:lang w:val="en-US"/>
        </w:rPr>
        <w:t>cognitive archaeology, ancient electricity, cross-cultural mythology, Baghdad Battery, Deep Symbolic Systems Model, invention vs. discovery, sacred technology, knowledge loss</w:t>
      </w:r>
    </w:p>
    <w:p>
      <w:pPr>
        <w:pStyle w:val="Heading"/>
        <w:jc w:val="both"/>
        <w:rPr>
          <w:rFonts w:ascii="Verdana" w:cs="Verdana" w:hAnsi="Verdana" w:eastAsia="Verdana"/>
          <w:b w:val="0"/>
          <w:bCs w:val="0"/>
        </w:rPr>
      </w:pPr>
      <w:r>
        <w:rPr>
          <w:rFonts w:ascii="Verdana" w:hAnsi="Verdana"/>
          <w:b w:val="0"/>
          <w:bCs w:val="0"/>
          <w:sz w:val="24"/>
          <w:szCs w:val="24"/>
          <w:rtl w:val="0"/>
        </w:rPr>
        <w:t xml:space="preserve"> </w:t>
      </w:r>
    </w:p>
    <w:p>
      <w:pPr>
        <w:pStyle w:val="Heading"/>
        <w:jc w:val="both"/>
        <w:rPr>
          <w:rFonts w:ascii="Verdana" w:cs="Verdana" w:hAnsi="Verdana" w:eastAsia="Verdana"/>
          <w:b w:val="0"/>
          <w:bCs w:val="0"/>
        </w:rPr>
      </w:pPr>
      <w:r>
        <w:rPr>
          <w:rFonts w:ascii="Verdana" w:hAnsi="Verdana"/>
          <w:b w:val="0"/>
          <w:bCs w:val="0"/>
          <w:rtl w:val="0"/>
          <w:lang w:val="en-US"/>
        </w:rPr>
        <w:t>1. Introduction: The Question and the Framework</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The standard intellectual history of electricity begins with William Gilbert's </w:t>
      </w:r>
      <w:r>
        <w:rPr>
          <w:rFonts w:ascii="Verdana" w:hAnsi="Verdana"/>
          <w:b w:val="0"/>
          <w:bCs w:val="0"/>
          <w:i w:val="1"/>
          <w:iCs w:val="1"/>
          <w:sz w:val="24"/>
          <w:szCs w:val="24"/>
          <w:rtl w:val="0"/>
          <w:lang w:val="it-IT"/>
        </w:rPr>
        <w:t>De Magnete</w:t>
      </w:r>
      <w:r>
        <w:rPr>
          <w:rFonts w:ascii="Verdana" w:hAnsi="Verdana"/>
          <w:b w:val="0"/>
          <w:bCs w:val="0"/>
          <w:sz w:val="24"/>
          <w:szCs w:val="24"/>
          <w:rtl w:val="0"/>
          <w:lang w:val="en-US"/>
        </w:rPr>
        <w:t xml:space="preserve"> (1600), proceeds through Stephen Gray's conductance experiments (1729), Benjamin Franklin's lightning rod work (1752), Alessandro Volta's galvanic cell (1800), and Michael Faraday's electromagnetic induction (1831). This history is accurate as far as it goes. What it does not account for is the prior history: the sustained, repeated exposure of cognitively modern humans to electrical phenomena, the documented application of electrical discharge in medical and possibly other contexts long predating the formal history, and the cross-cultural mythological record that, on careful reading, encodes a specific and consistent functional experience of electricity that the standard history does not explain.</w:t>
      </w:r>
    </w:p>
    <w:p>
      <w:pPr>
        <w:pStyle w:val="Heading"/>
        <w:jc w:val="both"/>
        <w:rPr>
          <w:rFonts w:ascii="Verdana" w:cs="Verdana" w:hAnsi="Verdana" w:eastAsia="Verdana"/>
          <w:b w:val="0"/>
          <w:bCs w:val="0"/>
        </w:rPr>
      </w:pPr>
      <w:r>
        <w:rPr>
          <w:rFonts w:ascii="Verdana" w:hAnsi="Verdana"/>
          <w:b w:val="0"/>
          <w:bCs w:val="0"/>
          <w:sz w:val="24"/>
          <w:szCs w:val="24"/>
          <w:rtl w:val="0"/>
          <w:lang w:val="en-US"/>
        </w:rPr>
        <w:t>The question this paper asks is not whether ancient civilizations had electrical grids or theoretical physics. Those are inappropriate frames. The question is whether cognitively modern humans - equipped with the same neural architecture that eventually produced modern electrical engineering - engaged with naturally occurring electrical phenomena in ways that constitute technological application, and whether the evidence available in archaeology and the textual record supports that conclusion more strongly than current mainstream positions acknowledge.</w:t>
      </w:r>
    </w:p>
    <w:p>
      <w:pPr>
        <w:pStyle w:val="Heading"/>
        <w:jc w:val="both"/>
        <w:rPr>
          <w:rFonts w:ascii="Verdana" w:cs="Verdana" w:hAnsi="Verdana" w:eastAsia="Verdana"/>
          <w:b w:val="0"/>
          <w:bCs w:val="0"/>
        </w:rPr>
      </w:pPr>
      <w:r>
        <w:rPr>
          <w:rFonts w:ascii="Verdana" w:hAnsi="Verdana"/>
          <w:b w:val="0"/>
          <w:bCs w:val="0"/>
          <w:sz w:val="24"/>
          <w:szCs w:val="24"/>
          <w:rtl w:val="0"/>
          <w:lang w:val="en-US"/>
        </w:rPr>
        <w:t>The analytical framework applied is the Deep Symbolic Systems Model (DSSM), which holds that all human technological advance operates through the recursive stabilization of embodied practices into transmissible symbolic systems.</w:t>
      </w:r>
      <w:r>
        <w:rPr>
          <w:rFonts w:ascii="Verdana" w:cs="Verdana" w:hAnsi="Verdana" w:eastAsia="Verdana"/>
          <w:b w:val="0"/>
          <w:bCs w:val="0"/>
          <w:vertAlign w:val="superscript"/>
        </w:rPr>
        <w:footnoteReference w:id="1"/>
      </w:r>
      <w:r>
        <w:rPr>
          <w:rFonts w:ascii="Verdana" w:hAnsi="Verdana"/>
          <w:b w:val="0"/>
          <w:bCs w:val="0"/>
          <w:sz w:val="24"/>
          <w:szCs w:val="24"/>
          <w:rtl w:val="0"/>
          <w:lang w:val="en-US"/>
        </w:rPr>
        <w:t xml:space="preserve"> Within this framework, the relevant question is not whether ancient humans had electrical theory but whether they had embodied electrical practice - and whether that practice left traces in the material record and the mythological archive.</w:t>
      </w:r>
    </w:p>
    <w:p>
      <w:pPr>
        <w:pStyle w:val="Heading"/>
        <w:jc w:val="both"/>
        <w:rPr>
          <w:rFonts w:ascii="Verdana" w:cs="Verdana" w:hAnsi="Verdana" w:eastAsia="Verdana"/>
          <w:b w:val="0"/>
          <w:bCs w:val="0"/>
        </w:rPr>
      </w:pPr>
      <w:r>
        <w:rPr>
          <w:rFonts w:ascii="Verdana" w:hAnsi="Verdana"/>
          <w:b w:val="0"/>
          <w:bCs w:val="0"/>
          <w:sz w:val="24"/>
          <w:szCs w:val="24"/>
          <w:rtl w:val="0"/>
          <w:lang w:val="en-US"/>
        </w:rPr>
        <w:t>A terminological clarification is necessary before proceeding. The word "harnessing" in the title encompasses three distinct levels of engagement that the paper treats with correspondingly distinct evidential standards. The first is therapeutic and observational application: the deliberate use of electric fish discharge for pain relief, documented in Egyptian sources from approximately 3100 BCE through Roman medical literature into the second century CE. This level is not inferred; it is directly attested. The second is galvanic cell technology: the functional generation of sustained low-voltage electrical current, represented by the Baghdad Battery and related Parthian-period finds. This level is materially attested in surviving artifacts, though its specific application remains debated. The third is weaponized or large-scale discharge: the intentional direction of high-energy electrical phenomena toward specific targets or constructional purposes. This level is inferred from the cross-cultural mythological record and is explicitly not claimed as materially attested. The paper's argument proceeds at all three levels but does not conflate them. The evidential weight of each claim corresponds to the level it occupies.</w:t>
      </w:r>
    </w:p>
    <w:p>
      <w:pPr>
        <w:pStyle w:val="Heading"/>
        <w:jc w:val="both"/>
        <w:rPr>
          <w:rFonts w:ascii="Verdana" w:cs="Verdana" w:hAnsi="Verdana" w:eastAsia="Verdana"/>
          <w:b w:val="0"/>
          <w:bCs w:val="0"/>
        </w:rPr>
      </w:pPr>
      <w:r>
        <w:rPr>
          <w:rFonts w:ascii="Verdana" w:hAnsi="Verdana"/>
          <w:b w:val="0"/>
          <w:bCs w:val="0"/>
          <w:rtl w:val="0"/>
          <w:lang w:val="en-US"/>
        </w:rPr>
        <w:t>2. The Fire Precedent: Cross-Domain Pattern Matching as the Replication Template</w:t>
      </w:r>
    </w:p>
    <w:p>
      <w:pPr>
        <w:pStyle w:val="Heading"/>
        <w:jc w:val="both"/>
        <w:rPr>
          <w:rFonts w:ascii="Verdana" w:cs="Verdana" w:hAnsi="Verdana" w:eastAsia="Verdana"/>
          <w:b w:val="0"/>
          <w:bCs w:val="0"/>
        </w:rPr>
      </w:pPr>
      <w:r>
        <w:rPr>
          <w:rFonts w:ascii="Verdana" w:hAnsi="Verdana"/>
          <w:b w:val="0"/>
          <w:bCs w:val="0"/>
          <w:sz w:val="24"/>
          <w:szCs w:val="24"/>
          <w:rtl w:val="0"/>
          <w:lang w:val="en-US"/>
        </w:rPr>
        <w:t>The domestication of fire is the paradigm case of ancient human technological engagement with a naturally occurring energy phenomenon. Lightning strikes vegetation and produces fire: a high-salience event, catastrophic in scale, leaving a specific material signature.</w:t>
      </w:r>
      <w:r>
        <w:rPr>
          <w:rFonts w:ascii="Verdana" w:cs="Verdana" w:hAnsi="Verdana" w:eastAsia="Verdana"/>
          <w:b w:val="0"/>
          <w:bCs w:val="0"/>
          <w:vertAlign w:val="superscript"/>
        </w:rPr>
        <w:footnoteReference w:id="2"/>
      </w:r>
      <w:r>
        <w:rPr>
          <w:rFonts w:ascii="Verdana" w:hAnsi="Verdana"/>
          <w:b w:val="0"/>
          <w:bCs w:val="0"/>
          <w:sz w:val="24"/>
          <w:szCs w:val="24"/>
          <w:rtl w:val="0"/>
          <w:lang w:val="en-US"/>
        </w:rPr>
        <w:t xml:space="preserve"> Separately and independently, percussion of stone against stone during tool manufacture produces sparks: a low-energy version of the same signature.</w:t>
      </w:r>
      <w:r>
        <w:rPr>
          <w:rFonts w:ascii="Verdana" w:cs="Verdana" w:hAnsi="Verdana" w:eastAsia="Verdana"/>
          <w:b w:val="0"/>
          <w:bCs w:val="0"/>
          <w:vertAlign w:val="superscript"/>
        </w:rPr>
        <w:footnoteReference w:id="3"/>
      </w:r>
      <w:r>
        <w:rPr>
          <w:rFonts w:ascii="Verdana" w:hAnsi="Verdana"/>
          <w:b w:val="0"/>
          <w:bCs w:val="0"/>
          <w:sz w:val="24"/>
          <w:szCs w:val="24"/>
          <w:rtl w:val="0"/>
          <w:lang w:val="en-US"/>
        </w:rPr>
        <w:t xml:space="preserve"> The cross-domain pattern match between these two events - identifying the same underlying phenomenon across radically different physical contexts - is the cognitive operation that made controlled fire use possible.</w:t>
      </w:r>
    </w:p>
    <w:p>
      <w:pPr>
        <w:pStyle w:val="Heading"/>
        <w:jc w:val="both"/>
        <w:rPr>
          <w:rFonts w:ascii="Verdana" w:cs="Verdana" w:hAnsi="Verdana" w:eastAsia="Verdana"/>
          <w:b w:val="0"/>
          <w:bCs w:val="0"/>
        </w:rPr>
      </w:pPr>
      <w:r>
        <w:rPr>
          <w:rFonts w:ascii="Verdana" w:hAnsi="Verdana"/>
          <w:b w:val="0"/>
          <w:bCs w:val="0"/>
          <w:sz w:val="24"/>
          <w:szCs w:val="24"/>
          <w:rtl w:val="0"/>
          <w:lang w:val="en-US"/>
        </w:rPr>
        <w:t>This pattern matching is not trivial. It requires abstracting away from specific context (sky vs. hand, catastrophic vs. controllable) to extract the shared signature (light, heat, ignition potential). It is exactly the kind of abstract cognitive operation that the DSSM identifies as the Stage 1 mechanism: embodied symbolic familiarity generating cross-contextual recognition.</w:t>
      </w:r>
      <w:r>
        <w:rPr>
          <w:rFonts w:ascii="Verdana" w:cs="Verdana" w:hAnsi="Verdana" w:eastAsia="Verdana"/>
          <w:b w:val="0"/>
          <w:bCs w:val="0"/>
          <w:vertAlign w:val="superscript"/>
        </w:rPr>
        <w:footnoteReference w:id="4"/>
      </w:r>
    </w:p>
    <w:p>
      <w:pPr>
        <w:pStyle w:val="Heading"/>
        <w:jc w:val="both"/>
        <w:rPr>
          <w:rFonts w:ascii="Verdana" w:cs="Verdana" w:hAnsi="Verdana" w:eastAsia="Verdana"/>
          <w:b w:val="0"/>
          <w:bCs w:val="0"/>
        </w:rPr>
      </w:pPr>
      <w:r>
        <w:rPr>
          <w:rFonts w:ascii="Verdana" w:hAnsi="Verdana"/>
          <w:b w:val="0"/>
          <w:bCs w:val="0"/>
          <w:sz w:val="24"/>
          <w:szCs w:val="24"/>
          <w:rtl w:val="0"/>
          <w:lang w:val="en-US"/>
        </w:rPr>
        <w:t>The argument advanced in this paper applies the same cognitive template to electricity. Lightning does not only produce fire. It also splits solid stone, kills without burning, produces a distinctive smell, causes hair to stand upright in the vicinity, and - when it strikes water or wet surfaces - delivers a shock that is phenomenologically distinct from any other experience available in the natural world. These effects are as consistent and as repeatable as fire's signature. The question is whether the same pattern-matching cognitive architecture that connected stone sparks to sky-fire also connected amber static, electric fish discharge, and lightning into a recognizable and potentially exploitable category. The evidence reviewed in the following sections strongly suggests that it did.</w:t>
      </w:r>
    </w:p>
    <w:p>
      <w:pPr>
        <w:pStyle w:val="Heading"/>
        <w:jc w:val="both"/>
        <w:rPr>
          <w:rFonts w:ascii="Verdana" w:cs="Verdana" w:hAnsi="Verdana" w:eastAsia="Verdana"/>
          <w:b w:val="0"/>
          <w:bCs w:val="0"/>
        </w:rPr>
      </w:pPr>
      <w:r>
        <w:rPr>
          <w:rFonts w:ascii="Verdana" w:hAnsi="Verdana"/>
          <w:b w:val="0"/>
          <w:bCs w:val="0"/>
          <w:rtl w:val="0"/>
          <w:lang w:val="en-US"/>
        </w:rPr>
        <w:t>3. Sustained Exposure to Natural Electrical Phenomena</w:t>
      </w:r>
    </w:p>
    <w:p>
      <w:pPr>
        <w:pStyle w:val="Heading"/>
        <w:jc w:val="both"/>
        <w:rPr>
          <w:rFonts w:ascii="Verdana" w:cs="Verdana" w:hAnsi="Verdana" w:eastAsia="Verdana"/>
          <w:b w:val="0"/>
          <w:bCs w:val="0"/>
        </w:rPr>
      </w:pPr>
      <w:r>
        <w:rPr>
          <w:rFonts w:ascii="Verdana" w:hAnsi="Verdana"/>
          <w:b w:val="0"/>
          <w:bCs w:val="0"/>
          <w:sz w:val="24"/>
          <w:szCs w:val="24"/>
          <w:rtl w:val="0"/>
          <w:lang w:val="en-US"/>
        </w:rPr>
        <w:t>The exposure of ancient humans to electrical phenomena was not occasional or marginal. It was sustained, repeated, and in several cases directly applied.</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The Nile electric catfish, </w:t>
      </w:r>
      <w:r>
        <w:rPr>
          <w:rFonts w:ascii="Verdana" w:hAnsi="Verdana"/>
          <w:b w:val="0"/>
          <w:bCs w:val="0"/>
          <w:i w:val="1"/>
          <w:iCs w:val="1"/>
          <w:sz w:val="24"/>
          <w:szCs w:val="24"/>
          <w:rtl w:val="0"/>
        </w:rPr>
        <w:t>Malapterurus electricus</w:t>
      </w:r>
      <w:r>
        <w:rPr>
          <w:rFonts w:ascii="Verdana" w:hAnsi="Verdana"/>
          <w:b w:val="0"/>
          <w:bCs w:val="0"/>
          <w:sz w:val="24"/>
          <w:szCs w:val="24"/>
          <w:rtl w:val="0"/>
          <w:lang w:val="en-US"/>
        </w:rPr>
        <w:t>, is capable of generating discharges of up to 350 volts.</w:t>
      </w:r>
      <w:r>
        <w:rPr>
          <w:rFonts w:ascii="Verdana" w:cs="Verdana" w:hAnsi="Verdana" w:eastAsia="Verdana"/>
          <w:b w:val="0"/>
          <w:bCs w:val="0"/>
          <w:vertAlign w:val="superscript"/>
        </w:rPr>
        <w:footnoteReference w:id="5"/>
      </w:r>
      <w:r>
        <w:rPr>
          <w:rFonts w:ascii="Verdana" w:hAnsi="Verdana"/>
          <w:b w:val="0"/>
          <w:bCs w:val="0"/>
          <w:sz w:val="24"/>
          <w:szCs w:val="24"/>
          <w:rtl w:val="0"/>
          <w:lang w:val="en-US"/>
        </w:rPr>
        <w:t xml:space="preserve"> It is indigenous to the Nile basin. Its discharge capacity means that any person fishing, wading, or working in or near Nile waters would have encountered electrical shock as a predictable feature of proximity to certain fish. The Egyptians did not observe this passively. The electric catfish appears on the Narmer Palette, dated to approximately 3100 BCE, in a central compositional position.</w:t>
      </w:r>
      <w:r>
        <w:rPr>
          <w:rFonts w:ascii="Verdana" w:cs="Verdana" w:hAnsi="Verdana" w:eastAsia="Verdana"/>
          <w:b w:val="0"/>
          <w:bCs w:val="0"/>
          <w:vertAlign w:val="superscript"/>
        </w:rPr>
        <w:footnoteReference w:id="6"/>
      </w:r>
      <w:r>
        <w:rPr>
          <w:rFonts w:ascii="Verdana" w:hAnsi="Verdana"/>
          <w:b w:val="0"/>
          <w:bCs w:val="0"/>
          <w:sz w:val="24"/>
          <w:szCs w:val="24"/>
          <w:rtl w:val="0"/>
          <w:lang w:val="en-US"/>
        </w:rPr>
        <w:t xml:space="preserve"> It appears in bas-reliefs in the Mastaba of Ti at Saqqara (c. 2750 BCE) and the Mastaba of Kagemni (c. 2340 BCE).</w:t>
      </w:r>
      <w:r>
        <w:rPr>
          <w:rFonts w:ascii="Verdana" w:cs="Verdana" w:hAnsi="Verdana" w:eastAsia="Verdana"/>
          <w:b w:val="0"/>
          <w:bCs w:val="0"/>
          <w:vertAlign w:val="superscript"/>
        </w:rPr>
        <w:footnoteReference w:id="7"/>
      </w:r>
      <w:r>
        <w:rPr>
          <w:rFonts w:ascii="Verdana" w:hAnsi="Verdana"/>
          <w:b w:val="0"/>
          <w:bCs w:val="0"/>
          <w:sz w:val="24"/>
          <w:szCs w:val="24"/>
          <w:rtl w:val="0"/>
          <w:lang w:val="en-US"/>
        </w:rPr>
        <w:t xml:space="preserve"> Ancient Egyptian papyri record deliberate use of the electric catfish for pain relief. This is documented application, not passive observation.</w:t>
      </w:r>
    </w:p>
    <w:p>
      <w:pPr>
        <w:pStyle w:val="Heading"/>
        <w:jc w:val="both"/>
        <w:rPr>
          <w:rFonts w:ascii="Verdana" w:cs="Verdana" w:hAnsi="Verdana" w:eastAsia="Verdana"/>
          <w:b w:val="0"/>
          <w:bCs w:val="0"/>
        </w:rPr>
      </w:pPr>
      <w:r>
        <w:rPr>
          <w:rFonts w:ascii="Verdana" w:hAnsi="Verdana"/>
          <w:b w:val="0"/>
          <w:bCs w:val="0"/>
          <w:sz w:val="24"/>
          <w:szCs w:val="24"/>
          <w:rtl w:val="0"/>
          <w:lang w:val="en-US"/>
        </w:rPr>
        <w:t>The Mediterranean torpedo ray was equally well known. Aristotle attributed to Thales of Miletus (c. 624-546 BCE) the observation that amber, when rubbed, attracts light objects.</w:t>
      </w:r>
      <w:r>
        <w:rPr>
          <w:rFonts w:ascii="Verdana" w:cs="Verdana" w:hAnsi="Verdana" w:eastAsia="Verdana"/>
          <w:b w:val="0"/>
          <w:bCs w:val="0"/>
          <w:vertAlign w:val="superscript"/>
        </w:rPr>
        <w:footnoteReference w:id="8"/>
      </w:r>
      <w:r>
        <w:rPr>
          <w:rFonts w:ascii="Verdana" w:hAnsi="Verdana"/>
          <w:b w:val="0"/>
          <w:bCs w:val="0"/>
          <w:sz w:val="24"/>
          <w:szCs w:val="24"/>
          <w:rtl w:val="0"/>
          <w:lang w:val="en-US"/>
        </w:rPr>
        <w:t xml:space="preserve"> The Greek word for amber - </w:t>
      </w:r>
      <w:r>
        <w:rPr>
          <w:rFonts w:ascii="Verdana" w:hAnsi="Verdana"/>
          <w:b w:val="0"/>
          <w:bCs w:val="0"/>
          <w:i w:val="1"/>
          <w:iCs w:val="1"/>
          <w:sz w:val="24"/>
          <w:szCs w:val="24"/>
          <w:rtl w:val="0"/>
        </w:rPr>
        <w:t>elektron</w:t>
      </w:r>
      <w:r>
        <w:rPr>
          <w:rFonts w:ascii="Verdana" w:hAnsi="Verdana"/>
          <w:b w:val="0"/>
          <w:bCs w:val="0"/>
          <w:sz w:val="24"/>
          <w:szCs w:val="24"/>
          <w:rtl w:val="0"/>
          <w:lang w:val="en-US"/>
        </w:rPr>
        <w:t xml:space="preserve"> - became, through a direct etymological chain, the root of the modern English word "electricity."</w:t>
      </w:r>
      <w:r>
        <w:rPr>
          <w:rFonts w:ascii="Verdana" w:cs="Verdana" w:hAnsi="Verdana" w:eastAsia="Verdana"/>
          <w:b w:val="0"/>
          <w:bCs w:val="0"/>
          <w:vertAlign w:val="superscript"/>
        </w:rPr>
        <w:footnoteReference w:id="9"/>
      </w:r>
      <w:r>
        <w:rPr>
          <w:rFonts w:ascii="Verdana" w:hAnsi="Verdana"/>
          <w:b w:val="0"/>
          <w:bCs w:val="0"/>
          <w:sz w:val="24"/>
          <w:szCs w:val="24"/>
          <w:rtl w:val="0"/>
          <w:lang w:val="en-US"/>
        </w:rPr>
        <w:t xml:space="preserve"> Scribonius Largus, court physician to the Emperor Claudius, prescribed in his </w:t>
      </w:r>
      <w:r>
        <w:rPr>
          <w:rFonts w:ascii="Verdana" w:hAnsi="Verdana"/>
          <w:b w:val="0"/>
          <w:bCs w:val="0"/>
          <w:i w:val="1"/>
          <w:iCs w:val="1"/>
          <w:sz w:val="24"/>
          <w:szCs w:val="24"/>
          <w:rtl w:val="0"/>
          <w:lang w:val="es-ES_tradnl"/>
        </w:rPr>
        <w:t>Compositiones</w:t>
      </w:r>
      <w:r>
        <w:rPr>
          <w:rFonts w:ascii="Verdana" w:hAnsi="Verdana"/>
          <w:b w:val="0"/>
          <w:bCs w:val="0"/>
          <w:sz w:val="24"/>
          <w:szCs w:val="24"/>
          <w:rtl w:val="0"/>
          <w:lang w:val="en-US"/>
        </w:rPr>
        <w:t xml:space="preserve"> (c. 47 AD) the placement of a live torpedo fish on the site of a headache and under the feet for gout, noting explicitly that the treatment acts until the affected area becomes numb.</w:t>
      </w:r>
      <w:r>
        <w:rPr>
          <w:rFonts w:ascii="Verdana" w:cs="Verdana" w:hAnsi="Verdana" w:eastAsia="Verdana"/>
          <w:b w:val="0"/>
          <w:bCs w:val="0"/>
          <w:vertAlign w:val="superscript"/>
        </w:rPr>
        <w:footnoteReference w:id="10"/>
      </w:r>
      <w:r>
        <w:rPr>
          <w:rFonts w:ascii="Verdana" w:hAnsi="Verdana"/>
          <w:b w:val="0"/>
          <w:bCs w:val="0"/>
          <w:sz w:val="24"/>
          <w:szCs w:val="24"/>
          <w:rtl w:val="0"/>
          <w:lang w:val="en-US"/>
        </w:rPr>
        <w:t xml:space="preserve"> Pliny the Elder described the torpedo fish's capacity to transmit its effect through water, through a fishing line, and through a held wooden pole - an empirical description of electrical conductance through water, without theoretical vocabulary.</w:t>
      </w:r>
      <w:r>
        <w:rPr>
          <w:rFonts w:ascii="Verdana" w:cs="Verdana" w:hAnsi="Verdana" w:eastAsia="Verdana"/>
          <w:b w:val="0"/>
          <w:bCs w:val="0"/>
          <w:vertAlign w:val="superscript"/>
        </w:rPr>
        <w:footnoteReference w:id="11"/>
      </w:r>
    </w:p>
    <w:p>
      <w:pPr>
        <w:pStyle w:val="Heading"/>
        <w:jc w:val="both"/>
        <w:rPr>
          <w:rFonts w:ascii="Verdana" w:cs="Verdana" w:hAnsi="Verdana" w:eastAsia="Verdana"/>
          <w:b w:val="0"/>
          <w:bCs w:val="0"/>
        </w:rPr>
      </w:pPr>
      <w:r>
        <w:rPr>
          <w:rFonts w:ascii="Verdana" w:hAnsi="Verdana"/>
          <w:b w:val="0"/>
          <w:bCs w:val="0"/>
          <w:sz w:val="24"/>
          <w:szCs w:val="24"/>
          <w:rtl w:val="0"/>
          <w:lang w:val="en-US"/>
        </w:rPr>
        <w:t>These are not analogies. They are documented historical records of deliberate electrical application. The question is not whether ancient people knew about electrical phenomena. They did. The question is how far their engagement extended.</w:t>
      </w:r>
    </w:p>
    <w:p>
      <w:pPr>
        <w:pStyle w:val="Heading"/>
        <w:jc w:val="both"/>
        <w:rPr>
          <w:rFonts w:ascii="Verdana" w:cs="Verdana" w:hAnsi="Verdana" w:eastAsia="Verdana"/>
          <w:b w:val="0"/>
          <w:bCs w:val="0"/>
        </w:rPr>
      </w:pPr>
      <w:r>
        <w:rPr>
          <w:rFonts w:ascii="Verdana" w:hAnsi="Verdana"/>
          <w:b w:val="0"/>
          <w:bCs w:val="0"/>
          <w:rtl w:val="0"/>
          <w:lang w:val="en-US"/>
        </w:rPr>
        <w:t>4. The Replication Threshold: Observation to Experimentation</w:t>
      </w:r>
    </w:p>
    <w:p>
      <w:pPr>
        <w:pStyle w:val="Heading"/>
        <w:jc w:val="both"/>
        <w:rPr>
          <w:rFonts w:ascii="Verdana" w:cs="Verdana" w:hAnsi="Verdana" w:eastAsia="Verdana"/>
          <w:b w:val="0"/>
          <w:bCs w:val="0"/>
        </w:rPr>
      </w:pPr>
      <w:r>
        <w:rPr>
          <w:rFonts w:ascii="Verdana" w:hAnsi="Verdana"/>
          <w:b w:val="0"/>
          <w:bCs w:val="0"/>
          <w:sz w:val="24"/>
          <w:szCs w:val="24"/>
          <w:rtl w:val="0"/>
          <w:lang w:val="en-US"/>
        </w:rPr>
        <w:t>The DSSM framework predicts that high-salience natural phenomena, once encountered repeatedly, generate replication attempts.</w:t>
      </w:r>
      <w:r>
        <w:rPr>
          <w:rFonts w:ascii="Verdana" w:cs="Verdana" w:hAnsi="Verdana" w:eastAsia="Verdana"/>
          <w:b w:val="0"/>
          <w:bCs w:val="0"/>
          <w:vertAlign w:val="superscript"/>
        </w:rPr>
        <w:footnoteReference w:id="12"/>
      </w:r>
      <w:r>
        <w:rPr>
          <w:rFonts w:ascii="Verdana" w:hAnsi="Verdana"/>
          <w:b w:val="0"/>
          <w:bCs w:val="0"/>
          <w:sz w:val="24"/>
          <w:szCs w:val="24"/>
          <w:rtl w:val="0"/>
          <w:lang w:val="en-US"/>
        </w:rPr>
        <w:t xml:space="preserve"> The fire precedent establishes this directly: observation of lightning-produced fire, combined with the incidental discovery that stone percussion produces sparks, generates the replication experiment that produces controlled fire. The specific technological pathway is the embodied practice that stabilizes across generations into transmissible knowledge.</w:t>
      </w:r>
    </w:p>
    <w:p>
      <w:pPr>
        <w:pStyle w:val="Heading"/>
        <w:jc w:val="both"/>
        <w:rPr>
          <w:rFonts w:ascii="Verdana" w:cs="Verdana" w:hAnsi="Verdana" w:eastAsia="Verdana"/>
          <w:b w:val="0"/>
          <w:bCs w:val="0"/>
        </w:rPr>
      </w:pPr>
      <w:r>
        <w:rPr>
          <w:rFonts w:ascii="Verdana" w:hAnsi="Verdana"/>
          <w:b w:val="0"/>
          <w:bCs w:val="0"/>
          <w:sz w:val="24"/>
          <w:szCs w:val="24"/>
          <w:rtl w:val="0"/>
          <w:lang w:val="en-US"/>
        </w:rPr>
        <w:t>The electrical case runs structurally parallel. The high-salience phenomena are present: lightning, electric fish, amber static. The cross-domain pattern match is available to anyone who has experienced both a lightning strike's vicinity and an electric fish's discharge. The replication impulse is documented in the amber-static observation attributed to the tradition that eventually reached Thales, and in the deliberate use of electric fish that predates Thales by millennia. What the record does not show, because it could not survive, is the full range of experimental activity that the replication impulse generated.</w:t>
      </w:r>
    </w:p>
    <w:p>
      <w:pPr>
        <w:pStyle w:val="Heading"/>
        <w:jc w:val="both"/>
        <w:rPr>
          <w:rFonts w:ascii="Verdana" w:cs="Verdana" w:hAnsi="Verdana" w:eastAsia="Verdana"/>
          <w:b w:val="0"/>
          <w:bCs w:val="0"/>
        </w:rPr>
      </w:pPr>
      <w:r>
        <w:rPr>
          <w:rFonts w:ascii="Verdana" w:hAnsi="Verdana"/>
          <w:b w:val="0"/>
          <w:bCs w:val="0"/>
          <w:sz w:val="24"/>
          <w:szCs w:val="24"/>
          <w:rtl w:val="0"/>
          <w:lang w:val="en-US"/>
        </w:rPr>
        <w:t>The critical difference between fire and electricity as replication targets is the feedback loop. Fire's feedback is immediate and survival-critical: warmth, cooked food, protection from predators. Electrical discharge's most accessible feedback is pain relief (documented) and potential weaponization (argued in the next section). The absence of domestic-scale stabilization does not imply the absence of application. It implies application in a different domain - a domain that the mythological record preserves with remarkable consistency.</w:t>
      </w:r>
    </w:p>
    <w:p>
      <w:pPr>
        <w:pStyle w:val="Heading"/>
        <w:jc w:val="both"/>
        <w:rPr>
          <w:rFonts w:ascii="Verdana" w:cs="Verdana" w:hAnsi="Verdana" w:eastAsia="Verdana"/>
          <w:b w:val="0"/>
          <w:bCs w:val="0"/>
        </w:rPr>
      </w:pPr>
      <w:r>
        <w:rPr>
          <w:rFonts w:ascii="Verdana" w:hAnsi="Verdana"/>
          <w:b w:val="0"/>
          <w:bCs w:val="0"/>
          <w:rtl w:val="0"/>
          <w:lang w:val="en-US"/>
        </w:rPr>
        <w:t>5. The Weapon Hypothesis: Cross-Cultural Mythological Record as Behavioral Data</w:t>
      </w:r>
    </w:p>
    <w:p>
      <w:pPr>
        <w:pStyle w:val="Heading"/>
        <w:jc w:val="both"/>
        <w:rPr>
          <w:rFonts w:ascii="Verdana" w:cs="Verdana" w:hAnsi="Verdana" w:eastAsia="Verdana"/>
          <w:b w:val="0"/>
          <w:bCs w:val="0"/>
        </w:rPr>
      </w:pPr>
      <w:r>
        <w:rPr>
          <w:rFonts w:ascii="Verdana" w:hAnsi="Verdana"/>
          <w:b w:val="0"/>
          <w:bCs w:val="0"/>
          <w:sz w:val="24"/>
          <w:szCs w:val="24"/>
          <w:rtl w:val="0"/>
          <w:lang w:val="en-US"/>
        </w:rPr>
        <w:t>Mythological systems encode behavioral memory. This is not a contested claim in the anthropology of religion: it is the methodological premise of comparative mythology from Frazer through Eliade through the present day.</w:t>
      </w:r>
      <w:r>
        <w:rPr>
          <w:rFonts w:ascii="Verdana" w:cs="Verdana" w:hAnsi="Verdana" w:eastAsia="Verdana"/>
          <w:b w:val="0"/>
          <w:bCs w:val="0"/>
          <w:vertAlign w:val="superscript"/>
        </w:rPr>
        <w:footnoteReference w:id="13"/>
      </w:r>
      <w:r>
        <w:rPr>
          <w:rFonts w:ascii="Verdana" w:hAnsi="Verdana"/>
          <w:b w:val="0"/>
          <w:bCs w:val="0"/>
          <w:sz w:val="24"/>
          <w:szCs w:val="24"/>
          <w:rtl w:val="0"/>
          <w:lang w:val="en-US"/>
        </w:rPr>
        <w:t xml:space="preserve"> When independent mythological traditions converge on a single functional coding for a natural phenomenon, that convergence constitutes evidence of a shared underlying experience transmitted through culturally specific symbolic vocabularies. Independence of traditions makes the convergence more, not less, significant.</w:t>
      </w:r>
    </w:p>
    <w:p>
      <w:pPr>
        <w:pStyle w:val="Heading"/>
        <w:jc w:val="both"/>
        <w:rPr>
          <w:rFonts w:ascii="Verdana" w:cs="Verdana" w:hAnsi="Verdana" w:eastAsia="Verdana"/>
          <w:b w:val="0"/>
          <w:bCs w:val="0"/>
        </w:rPr>
      </w:pPr>
      <w:r>
        <w:rPr>
          <w:rFonts w:ascii="Verdana" w:hAnsi="Verdana"/>
          <w:b w:val="0"/>
          <w:bCs w:val="0"/>
          <w:sz w:val="24"/>
          <w:szCs w:val="24"/>
          <w:rtl w:val="0"/>
          <w:lang w:val="en-US"/>
        </w:rPr>
        <w:t>Across every major independent mythological tradition surveyed, lightning and electrical phenomena are encoded identically: as weapons, not tools. In the Greek tradition, Zeus's thunderbolts (</w:t>
      </w:r>
      <w:r>
        <w:rPr>
          <w:rFonts w:ascii="Verdana" w:hAnsi="Verdana"/>
          <w:b w:val="0"/>
          <w:bCs w:val="0"/>
          <w:i w:val="1"/>
          <w:iCs w:val="1"/>
          <w:sz w:val="24"/>
          <w:szCs w:val="24"/>
          <w:rtl w:val="0"/>
          <w:lang w:val="de-DE"/>
        </w:rPr>
        <w:t>keraunoi</w:t>
      </w:r>
      <w:r>
        <w:rPr>
          <w:rFonts w:ascii="Verdana" w:hAnsi="Verdana"/>
          <w:b w:val="0"/>
          <w:bCs w:val="0"/>
          <w:sz w:val="24"/>
          <w:szCs w:val="24"/>
          <w:rtl w:val="0"/>
          <w:lang w:val="en-US"/>
        </w:rPr>
        <w:t>) are discrete physical objects manufactured by the Cyclopes, singular in their effect, used exclusively as weapons of divine judgment.</w:t>
      </w:r>
      <w:r>
        <w:rPr>
          <w:rFonts w:ascii="Verdana" w:cs="Verdana" w:hAnsi="Verdana" w:eastAsia="Verdana"/>
          <w:b w:val="0"/>
          <w:bCs w:val="0"/>
          <w:vertAlign w:val="superscript"/>
        </w:rPr>
        <w:footnoteReference w:id="14"/>
      </w:r>
      <w:r>
        <w:rPr>
          <w:rFonts w:ascii="Verdana" w:hAnsi="Verdana"/>
          <w:b w:val="0"/>
          <w:bCs w:val="0"/>
          <w:sz w:val="24"/>
          <w:szCs w:val="24"/>
          <w:rtl w:val="0"/>
          <w:lang w:val="en-US"/>
        </w:rPr>
        <w:t xml:space="preserve"> In the Vedic tradition, Indra's vajra is the weapon by which Indra defeats Vritra. Its described effects are consistent with electrical discharge: it blinds, it destroys, it splits what conventional weapons cannot.</w:t>
      </w:r>
      <w:r>
        <w:rPr>
          <w:rFonts w:ascii="Verdana" w:cs="Verdana" w:hAnsi="Verdana" w:eastAsia="Verdana"/>
          <w:b w:val="0"/>
          <w:bCs w:val="0"/>
          <w:vertAlign w:val="superscript"/>
        </w:rPr>
        <w:footnoteReference w:id="15"/>
      </w:r>
      <w:r>
        <w:rPr>
          <w:rFonts w:ascii="Verdana" w:hAnsi="Verdana"/>
          <w:b w:val="0"/>
          <w:bCs w:val="0"/>
          <w:sz w:val="24"/>
          <w:szCs w:val="24"/>
          <w:rtl w:val="0"/>
          <w:lang w:val="en-US"/>
        </w:rPr>
        <w:t xml:space="preserve"> In the Norse tradition, Mjolnir is a weapon of cosmic consequence, never a domestic or agricultural tool.</w:t>
      </w:r>
      <w:r>
        <w:rPr>
          <w:rFonts w:ascii="Verdana" w:cs="Verdana" w:hAnsi="Verdana" w:eastAsia="Verdana"/>
          <w:b w:val="0"/>
          <w:bCs w:val="0"/>
          <w:vertAlign w:val="superscript"/>
        </w:rPr>
        <w:footnoteReference w:id="16"/>
      </w:r>
      <w:r>
        <w:rPr>
          <w:rFonts w:ascii="Verdana" w:hAnsi="Verdana"/>
          <w:b w:val="0"/>
          <w:bCs w:val="0"/>
          <w:sz w:val="24"/>
          <w:szCs w:val="24"/>
          <w:rtl w:val="0"/>
          <w:lang w:val="en-US"/>
        </w:rPr>
        <w:t xml:space="preserve"> The Slavic Perun, the Celtic Taranis, the Mesoamerican Tlaloc and Chaac, and the Japanese Raijin all encode the same phenomenon identically and independently.</w:t>
      </w:r>
      <w:r>
        <w:rPr>
          <w:rFonts w:ascii="Verdana" w:cs="Verdana" w:hAnsi="Verdana" w:eastAsia="Verdana"/>
          <w:b w:val="0"/>
          <w:bCs w:val="0"/>
          <w:vertAlign w:val="superscript"/>
        </w:rPr>
        <w:footnoteReference w:id="17"/>
      </w:r>
    </w:p>
    <w:p>
      <w:pPr>
        <w:pStyle w:val="Heading"/>
        <w:jc w:val="both"/>
        <w:rPr>
          <w:rFonts w:ascii="Verdana" w:cs="Verdana" w:hAnsi="Verdana" w:eastAsia="Verdana"/>
          <w:b w:val="0"/>
          <w:bCs w:val="0"/>
        </w:rPr>
      </w:pPr>
      <w:r>
        <w:rPr>
          <w:rFonts w:ascii="Verdana" w:hAnsi="Verdana"/>
          <w:b w:val="0"/>
          <w:bCs w:val="0"/>
          <w:sz w:val="24"/>
          <w:szCs w:val="24"/>
          <w:rtl w:val="0"/>
          <w:lang w:val="en-US"/>
        </w:rPr>
        <w:t>West's comparative study establishes the structural and lexical parallels across the Greek, Vedic, Baltic, Slavic, and Celtic traditions as cognate forms deriving from a shared Proto-Indo-European divine typology.</w:t>
      </w:r>
      <w:r>
        <w:rPr>
          <w:rFonts w:ascii="Verdana" w:cs="Verdana" w:hAnsi="Verdana" w:eastAsia="Verdana"/>
          <w:b w:val="0"/>
          <w:bCs w:val="0"/>
          <w:vertAlign w:val="superscript"/>
        </w:rPr>
        <w:footnoteReference w:id="18"/>
      </w:r>
      <w:r>
        <w:rPr>
          <w:rFonts w:ascii="Verdana" w:hAnsi="Verdana"/>
          <w:b w:val="0"/>
          <w:bCs w:val="0"/>
          <w:sz w:val="24"/>
          <w:szCs w:val="24"/>
          <w:rtl w:val="0"/>
          <w:lang w:val="en-US"/>
        </w:rPr>
        <w:t xml:space="preserve"> Puhvel extends this to the broader Indo-European typological framework.</w:t>
      </w:r>
      <w:r>
        <w:rPr>
          <w:rFonts w:ascii="Verdana" w:cs="Verdana" w:hAnsi="Verdana" w:eastAsia="Verdana"/>
          <w:b w:val="0"/>
          <w:bCs w:val="0"/>
          <w:vertAlign w:val="superscript"/>
        </w:rPr>
        <w:footnoteReference w:id="19"/>
      </w:r>
      <w:r>
        <w:rPr>
          <w:rFonts w:ascii="Verdana" w:hAnsi="Verdana"/>
          <w:b w:val="0"/>
          <w:bCs w:val="0"/>
          <w:sz w:val="24"/>
          <w:szCs w:val="24"/>
          <w:rtl w:val="0"/>
          <w:lang w:val="en-US"/>
        </w:rPr>
        <w:t xml:space="preserve"> The Mesoamerican and East Asian material, unreachable by Indo-European diffusion, represents independent convergence on the same encoding - and is therefore the strongest evidential data point.</w:t>
      </w:r>
    </w:p>
    <w:p>
      <w:pPr>
        <w:pStyle w:val="Heading"/>
        <w:jc w:val="both"/>
        <w:rPr>
          <w:rFonts w:ascii="Verdana" w:cs="Verdana" w:hAnsi="Verdana" w:eastAsia="Verdana"/>
          <w:b w:val="0"/>
          <w:bCs w:val="0"/>
        </w:rPr>
      </w:pPr>
      <w:r>
        <w:rPr>
          <w:rFonts w:ascii="Verdana" w:hAnsi="Verdana"/>
          <w:b w:val="0"/>
          <w:bCs w:val="0"/>
          <w:sz w:val="24"/>
          <w:szCs w:val="24"/>
          <w:rtl w:val="0"/>
          <w:lang w:val="en-US"/>
        </w:rPr>
        <w:t>The contrast with fire is the key evidential anchor. Fire in the mythological record is simultaneously sacred and domestic: Prometheus gives it to humans as a gift that enables civilization; Agni is both cosmic deity and hearth-god. Fire moves between the divine and human sphere because it was domesticated. Lightning does not.</w:t>
      </w:r>
      <w:r>
        <w:rPr>
          <w:rFonts w:ascii="Verdana" w:cs="Verdana" w:hAnsi="Verdana" w:eastAsia="Verdana"/>
          <w:b w:val="0"/>
          <w:bCs w:val="0"/>
          <w:vertAlign w:val="superscript"/>
        </w:rPr>
        <w:footnoteReference w:id="20"/>
      </w:r>
      <w:r>
        <w:rPr>
          <w:rFonts w:ascii="Verdana" w:hAnsi="Verdana"/>
          <w:b w:val="0"/>
          <w:bCs w:val="0"/>
          <w:sz w:val="24"/>
          <w:szCs w:val="24"/>
          <w:rtl w:val="0"/>
          <w:lang w:val="en-US"/>
        </w:rPr>
        <w:t xml:space="preserve"> Across every tradition surveyed, lightning remains exclusively in the divine-weapon register.</w:t>
      </w:r>
    </w:p>
    <w:p>
      <w:pPr>
        <w:pStyle w:val="Heading"/>
        <w:jc w:val="both"/>
        <w:rPr>
          <w:rFonts w:ascii="Verdana" w:cs="Verdana" w:hAnsi="Verdana" w:eastAsia="Verdana"/>
          <w:b w:val="0"/>
          <w:bCs w:val="0"/>
        </w:rPr>
      </w:pPr>
      <w:r>
        <w:rPr>
          <w:rFonts w:ascii="Verdana" w:hAnsi="Verdana"/>
          <w:b w:val="0"/>
          <w:bCs w:val="0"/>
          <w:sz w:val="24"/>
          <w:szCs w:val="24"/>
          <w:rtl w:val="0"/>
          <w:lang w:val="en-US"/>
        </w:rPr>
        <w:t>The most direct objection to this argument must be addressed directly: volcanic eruptions, earthquakes, and floods are also encoded as divine punishment across independent traditions, and nobody argues humans attempted to replicate volcanoes. Why should the weapon encoding of lightning be evidentially different from the weapon encoding of any other catastrophic natural force?</w:t>
      </w:r>
    </w:p>
    <w:p>
      <w:pPr>
        <w:pStyle w:val="Heading"/>
        <w:jc w:val="both"/>
        <w:rPr>
          <w:rFonts w:ascii="Verdana" w:cs="Verdana" w:hAnsi="Verdana" w:eastAsia="Verdana"/>
          <w:b w:val="0"/>
          <w:bCs w:val="0"/>
        </w:rPr>
      </w:pPr>
      <w:r>
        <w:rPr>
          <w:rFonts w:ascii="Verdana" w:hAnsi="Verdana"/>
          <w:b w:val="0"/>
          <w:bCs w:val="0"/>
          <w:sz w:val="24"/>
          <w:szCs w:val="24"/>
          <w:rtl w:val="0"/>
          <w:lang w:val="en-US"/>
        </w:rPr>
        <w:t>The answer is structural and twofold.</w:t>
      </w:r>
    </w:p>
    <w:p>
      <w:pPr>
        <w:pStyle w:val="Heading"/>
        <w:jc w:val="both"/>
        <w:rPr>
          <w:rFonts w:ascii="Verdana" w:cs="Verdana" w:hAnsi="Verdana" w:eastAsia="Verdana"/>
          <w:b w:val="0"/>
          <w:bCs w:val="0"/>
        </w:rPr>
      </w:pPr>
      <w:r>
        <w:rPr>
          <w:rFonts w:ascii="Verdana" w:hAnsi="Verdana"/>
          <w:b w:val="0"/>
          <w:bCs w:val="0"/>
          <w:sz w:val="24"/>
          <w:szCs w:val="24"/>
          <w:rtl w:val="0"/>
          <w:lang w:val="en-US"/>
        </w:rPr>
        <w:t>First, the mythological record itself maintains a consistent categorical distinction between lightning and other destructive forces. For mass, indiscriminate destruction - the annihilation of populations, the reshaping of landscapes - myths across every tradition deploy floods, earthquakes, and volcanic destruction: the Noachic flood, Deucalion's deluge, the flood of Utnapishtim. For targeted, specific punishment of named individuals who have transgressed or attempted replication, the consistent instrument is lightning: Salmoneus destroyed with his city, Capaneus struck mid-climb, Phaethon brought down from Helios's chariot. The weapon encoding of lightning is not equivalent to the punishment encoding of floods. It is categorically distinct: lightning is the divine instrument of specific, targeted action; floods and earthquakes are the divine instrument of mass judgment. This distinction is maintained with remarkable cross-cultural consistency - and it tracks a real physical distinction. Lightning can kill one person and leave another standing ten feet away. A flood cannot.</w:t>
      </w:r>
    </w:p>
    <w:p>
      <w:pPr>
        <w:pStyle w:val="Heading"/>
        <w:jc w:val="both"/>
        <w:rPr>
          <w:rFonts w:ascii="Verdana" w:cs="Verdana" w:hAnsi="Verdana" w:eastAsia="Verdana"/>
          <w:b w:val="0"/>
          <w:bCs w:val="0"/>
        </w:rPr>
      </w:pPr>
      <w:r>
        <w:rPr>
          <w:rFonts w:ascii="Verdana" w:hAnsi="Verdana"/>
          <w:b w:val="0"/>
          <w:bCs w:val="0"/>
          <w:sz w:val="24"/>
          <w:szCs w:val="24"/>
          <w:rtl w:val="0"/>
          <w:lang w:val="en-US"/>
        </w:rPr>
        <w:t>Second, and more significantly: lightning is not one catastrophic phenomenon among several. It is the consistent physical accompaniment of all major catastrophes. Volcanic eruptions generate their own lightning through the triboelectric charging of ash and rock particles colliding in the eruption plume</w:t>
      </w:r>
      <w:r>
        <w:rPr>
          <w:rFonts w:ascii="Verdana" w:cs="Verdana" w:hAnsi="Verdana" w:eastAsia="Verdana"/>
          <w:b w:val="0"/>
          <w:bCs w:val="0"/>
          <w:vertAlign w:val="superscript"/>
        </w:rPr>
        <w:footnoteReference w:id="21"/>
      </w:r>
      <w:r>
        <w:rPr>
          <w:rFonts w:ascii="Verdana" w:hAnsi="Verdana"/>
          <w:b w:val="0"/>
          <w:bCs w:val="0"/>
          <w:sz w:val="24"/>
          <w:szCs w:val="24"/>
          <w:rtl w:val="0"/>
          <w:lang w:val="en-US"/>
        </w:rPr>
        <w:t xml:space="preserve"> - the same mechanism through which amber rubbed against fur generates static charge. The earliest recorded observation of volcanic lightning is Pliny the Younger's description of the eruption of Vesuvius in 79 AD, in which lightning was among the most prominent phenomena he documented alongside the ash column and the darkness.</w:t>
      </w:r>
      <w:r>
        <w:rPr>
          <w:rFonts w:ascii="Verdana" w:cs="Verdana" w:hAnsi="Verdana" w:eastAsia="Verdana"/>
          <w:b w:val="0"/>
          <w:bCs w:val="0"/>
          <w:vertAlign w:val="superscript"/>
        </w:rPr>
        <w:footnoteReference w:id="22"/>
      </w:r>
      <w:r>
        <w:rPr>
          <w:rFonts w:ascii="Verdana" w:hAnsi="Verdana"/>
          <w:b w:val="0"/>
          <w:bCs w:val="0"/>
          <w:sz w:val="24"/>
          <w:szCs w:val="24"/>
          <w:rtl w:val="0"/>
          <w:lang w:val="en-US"/>
        </w:rPr>
        <w:t xml:space="preserve"> Major flood-producing storms are, by definition, electrical storms: lightning precedes and accompanies every significant rainfall event. What ancient observers experienced, across every major catastrophic event, was lightning arriving first or appearing simultaneously. The divine weapon is not an arbitrary cultural symbol. It is the physical constant that announced divine action in every catastrophic context, because it physically was present in every catastrophic context.</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This has a direct implication for the replication thesis. Floods are encoded as divine punishment but humans do not attempt to replicate floods - because floods have no human-scale analog. Volcanic eruptions are encoded as divine destruction but humans do not attempt to replicate volcanic eruptions - because volcanic eruptions have no human-scale analog. Lightning alone, among all catastrophic phenomena, has an exact human-scale analog: the static spark from amber, the discharge of the electric fish, the shock delivered through water near </w:t>
      </w:r>
      <w:r>
        <w:rPr>
          <w:rFonts w:ascii="Verdana" w:hAnsi="Verdana"/>
          <w:b w:val="0"/>
          <w:bCs w:val="0"/>
          <w:i w:val="1"/>
          <w:iCs w:val="1"/>
          <w:sz w:val="24"/>
          <w:szCs w:val="24"/>
          <w:rtl w:val="0"/>
        </w:rPr>
        <w:t>Malapterurus electricus</w:t>
      </w:r>
      <w:r>
        <w:rPr>
          <w:rFonts w:ascii="Verdana" w:hAnsi="Verdana"/>
          <w:b w:val="0"/>
          <w:bCs w:val="0"/>
          <w:sz w:val="24"/>
          <w:szCs w:val="24"/>
          <w:rtl w:val="0"/>
          <w:lang w:val="en-US"/>
        </w:rPr>
        <w:t>. The replication impulse tracks scale. Humans attempt to replicate what they can replicate at a scale their hands and tools can reach. Lightning is catastrophic at the scale of sky and yet intimate at the scale of a hand on a charged surface. That precise combination - catastrophic consequence at macro scale, replicable phenomenon at human scale, mechanistically identical at both - is why lightning attracted sustained experimental attention sufficient to produce the weapon encoding. Floods and volcanoes, however destructive, offer no equivalent point of experimental contact.</w:t>
      </w:r>
    </w:p>
    <w:p>
      <w:pPr>
        <w:pStyle w:val="Heading"/>
        <w:jc w:val="both"/>
        <w:rPr>
          <w:rFonts w:ascii="Verdana" w:cs="Verdana" w:hAnsi="Verdana" w:eastAsia="Verdana"/>
          <w:b w:val="0"/>
          <w:bCs w:val="0"/>
        </w:rPr>
      </w:pPr>
      <w:r>
        <w:rPr>
          <w:rFonts w:ascii="Verdana" w:hAnsi="Verdana"/>
          <w:b w:val="0"/>
          <w:bCs w:val="0"/>
          <w:sz w:val="24"/>
          <w:szCs w:val="24"/>
          <w:rtl w:val="0"/>
          <w:lang w:val="en-US"/>
        </w:rPr>
        <w:t>The Astras of the Sanskrit epics extend the argument into textual specificity. Both the Ramayana and the Mahabharata describe divine weapons with consistent structural features: exclusively gifted from divine to heroic figures, never independently manufactured; activated through specific invocation rather than physical construction; producing blinding light, destructive heat, and area-wide incapacitation; and coded as capable of producing qualitatively different effects from any conventional weapon.</w:t>
      </w:r>
      <w:r>
        <w:rPr>
          <w:rFonts w:ascii="Verdana" w:cs="Verdana" w:hAnsi="Verdana" w:eastAsia="Verdana"/>
          <w:b w:val="0"/>
          <w:bCs w:val="0"/>
          <w:vertAlign w:val="superscript"/>
        </w:rPr>
        <w:footnoteReference w:id="23"/>
      </w:r>
    </w:p>
    <w:p>
      <w:pPr>
        <w:pStyle w:val="Heading"/>
        <w:jc w:val="both"/>
        <w:rPr>
          <w:rFonts w:ascii="Verdana" w:cs="Verdana" w:hAnsi="Verdana" w:eastAsia="Verdana"/>
          <w:b w:val="0"/>
          <w:bCs w:val="0"/>
        </w:rPr>
      </w:pPr>
      <w:r>
        <w:rPr>
          <w:rFonts w:ascii="Verdana" w:hAnsi="Verdana"/>
          <w:b w:val="0"/>
          <w:bCs w:val="0"/>
          <w:sz w:val="24"/>
          <w:szCs w:val="24"/>
          <w:rtl w:val="0"/>
          <w:lang w:val="en-US"/>
        </w:rPr>
        <w:t>The mythological record encodes one additional structural element that has received insufficient analytical attention: the technology destroys those who attempt to deploy or replicate it without full mastery. In the Greek tradition, Salmoneus of Elis attempted to replicate Zeus's thunder by dragging bronze kettles behind his chariot and hurling torches into the sky. Zeus destroyed Salmoneus and his entire city with a real thunderbolt.</w:t>
      </w:r>
      <w:r>
        <w:rPr>
          <w:rFonts w:ascii="Verdana" w:cs="Verdana" w:hAnsi="Verdana" w:eastAsia="Verdana"/>
          <w:b w:val="0"/>
          <w:bCs w:val="0"/>
          <w:vertAlign w:val="superscript"/>
        </w:rPr>
        <w:footnoteReference w:id="24"/>
      </w:r>
      <w:r>
        <w:rPr>
          <w:rFonts w:ascii="Verdana" w:hAnsi="Verdana"/>
          <w:b w:val="0"/>
          <w:bCs w:val="0"/>
          <w:sz w:val="24"/>
          <w:szCs w:val="24"/>
          <w:rtl w:val="0"/>
          <w:lang w:val="en-US"/>
        </w:rPr>
        <w:t xml:space="preserve"> In the Sanskrit tradition, Ashwatthama deployed the Brahmastra against the Pandava women without the knowledge to recall it; the consequences were irreversible and catastrophic, and he was cursed for the deployment.</w:t>
      </w:r>
      <w:r>
        <w:rPr>
          <w:rFonts w:ascii="Verdana" w:cs="Verdana" w:hAnsi="Verdana" w:eastAsia="Verdana"/>
          <w:b w:val="0"/>
          <w:bCs w:val="0"/>
          <w:vertAlign w:val="superscript"/>
        </w:rPr>
        <w:footnoteReference w:id="25"/>
      </w:r>
      <w:r>
        <w:rPr>
          <w:rFonts w:ascii="Verdana" w:hAnsi="Verdana"/>
          <w:b w:val="0"/>
          <w:bCs w:val="0"/>
          <w:sz w:val="24"/>
          <w:szCs w:val="24"/>
          <w:rtl w:val="0"/>
          <w:lang w:val="en-US"/>
        </w:rPr>
        <w:t xml:space="preserve"> Capaneus boasted that Zeus himself could not stop him from scaling Thebes' walls and was struck dead mid-climb.</w:t>
      </w:r>
      <w:r>
        <w:rPr>
          <w:rFonts w:ascii="Verdana" w:cs="Verdana" w:hAnsi="Verdana" w:eastAsia="Verdana"/>
          <w:b w:val="0"/>
          <w:bCs w:val="0"/>
          <w:vertAlign w:val="superscript"/>
        </w:rPr>
        <w:footnoteReference w:id="26"/>
      </w:r>
    </w:p>
    <w:p>
      <w:pPr>
        <w:pStyle w:val="Heading"/>
        <w:jc w:val="both"/>
        <w:rPr>
          <w:rFonts w:ascii="Verdana" w:cs="Verdana" w:hAnsi="Verdana" w:eastAsia="Verdana"/>
          <w:b w:val="0"/>
          <w:bCs w:val="0"/>
        </w:rPr>
      </w:pPr>
      <w:r>
        <w:rPr>
          <w:rFonts w:ascii="Verdana" w:hAnsi="Verdana"/>
          <w:b w:val="0"/>
          <w:bCs w:val="0"/>
          <w:sz w:val="24"/>
          <w:szCs w:val="24"/>
          <w:rtl w:val="0"/>
          <w:lang w:val="en-US"/>
        </w:rPr>
        <w:t>This consistent encoding - the technology is available only to fully authorized figures, and its attempted replication or misuse without complete knowledge produces lethal consequences for the practitioner - is not explicable as a generic moral lesson about hubris. Hubris myths exist in abundance and take many other forms. The specific, technically precise encoding of this particular danger - that this phenomenon kills those who attempt to reproduce it without mastery - is what one would expect of a genuine technological memory: a warning, transmitted through mythological encoding, about a class of phenomenon that was lethal in both directions to those who engaged with it without understanding.</w:t>
      </w:r>
    </w:p>
    <w:p>
      <w:pPr>
        <w:pStyle w:val="Heading"/>
        <w:jc w:val="both"/>
        <w:rPr>
          <w:rFonts w:ascii="Verdana" w:cs="Verdana" w:hAnsi="Verdana" w:eastAsia="Verdana"/>
          <w:b w:val="0"/>
          <w:bCs w:val="0"/>
        </w:rPr>
      </w:pPr>
      <w:r>
        <w:rPr>
          <w:rFonts w:ascii="Verdana" w:hAnsi="Verdana"/>
          <w:b w:val="0"/>
          <w:bCs w:val="0"/>
          <w:rtl w:val="0"/>
          <w:lang w:val="en-US"/>
        </w:rPr>
        <w:t>6. The Egyptian Record: Divine Power and the Non-Mass-Production Hypothesis</w:t>
      </w:r>
    </w:p>
    <w:p>
      <w:pPr>
        <w:pStyle w:val="Heading"/>
        <w:jc w:val="both"/>
        <w:rPr>
          <w:rFonts w:ascii="Verdana" w:cs="Verdana" w:hAnsi="Verdana" w:eastAsia="Verdana"/>
          <w:b w:val="0"/>
          <w:bCs w:val="0"/>
        </w:rPr>
      </w:pPr>
      <w:r>
        <w:rPr>
          <w:rFonts w:ascii="Verdana" w:hAnsi="Verdana"/>
          <w:b w:val="0"/>
          <w:bCs w:val="0"/>
          <w:sz w:val="24"/>
          <w:szCs w:val="24"/>
          <w:rtl w:val="0"/>
          <w:lang w:val="en-US"/>
        </w:rPr>
        <w:t>The Egyptian symbolic record does not encode electricity as a domestic tool. Nor does it encode it primarily as a weapon in the way the Indo-European and Vedic traditions do. The Egyptian encoding is distinct: what appears in the Egyptian record is divine power - accessible only within sacred and priestly domains, associated with the restoration of cosmic order, and never distributed to the general population.</w:t>
      </w:r>
      <w:r>
        <w:rPr>
          <w:rFonts w:ascii="Verdana" w:cs="Verdana" w:hAnsi="Verdana" w:eastAsia="Verdana"/>
          <w:b w:val="0"/>
          <w:bCs w:val="0"/>
          <w:vertAlign w:val="superscript"/>
        </w:rPr>
        <w:footnoteReference w:id="27"/>
      </w:r>
    </w:p>
    <w:p>
      <w:pPr>
        <w:pStyle w:val="Heading"/>
        <w:jc w:val="both"/>
        <w:rPr>
          <w:rFonts w:ascii="Verdana" w:cs="Verdana" w:hAnsi="Verdana" w:eastAsia="Verdana"/>
          <w:b w:val="0"/>
          <w:bCs w:val="0"/>
        </w:rPr>
      </w:pPr>
      <w:r>
        <w:rPr>
          <w:rFonts w:ascii="Verdana" w:hAnsi="Verdana"/>
          <w:b w:val="0"/>
          <w:bCs w:val="0"/>
          <w:sz w:val="24"/>
          <w:szCs w:val="24"/>
          <w:rtl w:val="0"/>
          <w:lang w:val="en-US"/>
        </w:rPr>
        <w:t>Set - the deity of storms, chaos, and raw atmospheric force - is the Egyptian figure most directly associated with lightning and electrical atmospheric phenomena. The Was scepter, carried exclusively by gods and pharaohs and never by ordinary Egyptians, is among Set's most prominent instruments, though it is associated with multiple deities across the Egyptian pantheon. Its exclusive restriction to the divine register follows the same pattern established across every tradition in Section 5: the phenomenon encoded as divine power remains inaccessible to ordinary human beings.</w:t>
      </w:r>
    </w:p>
    <w:p>
      <w:pPr>
        <w:pStyle w:val="Heading"/>
        <w:jc w:val="both"/>
        <w:rPr>
          <w:rFonts w:ascii="Verdana" w:cs="Verdana" w:hAnsi="Verdana" w:eastAsia="Verdana"/>
          <w:b w:val="0"/>
          <w:bCs w:val="0"/>
        </w:rPr>
      </w:pPr>
      <w:r>
        <w:rPr>
          <w:rFonts w:ascii="Verdana" w:hAnsi="Verdana"/>
          <w:b w:val="0"/>
          <w:bCs w:val="0"/>
          <w:sz w:val="24"/>
          <w:szCs w:val="24"/>
          <w:rtl w:val="0"/>
          <w:lang w:val="en-US"/>
        </w:rPr>
        <w:t>The Djed pillar - the backbone of Osiris, raised in the most important ritual of the royal calendar, coded as the instrument through which divine power is restored - has been interpreted within mainstream Egyptology as a vertebral column, a bundle of grain, or a stylized tree trunk.</w:t>
      </w:r>
      <w:r>
        <w:rPr>
          <w:rFonts w:ascii="Verdana" w:cs="Verdana" w:hAnsi="Verdana" w:eastAsia="Verdana"/>
          <w:b w:val="0"/>
          <w:bCs w:val="0"/>
          <w:vertAlign w:val="superscript"/>
        </w:rPr>
        <w:footnoteReference w:id="28"/>
      </w:r>
      <w:r>
        <w:rPr>
          <w:rFonts w:ascii="Verdana" w:hAnsi="Verdana"/>
          <w:b w:val="0"/>
          <w:bCs w:val="0"/>
          <w:sz w:val="24"/>
          <w:szCs w:val="24"/>
          <w:rtl w:val="0"/>
          <w:lang w:val="en-US"/>
        </w:rPr>
        <w:t xml:space="preserve"> Its stacked segmented form and its consistent association with the restoration of active divine power remain open to interpretive development that the current consensus does not exhaust. The paper does not advance a specific alternative reading of the Djed; it notes that the question has not been closed.</w:t>
      </w:r>
    </w:p>
    <w:p>
      <w:pPr>
        <w:pStyle w:val="Heading"/>
        <w:jc w:val="both"/>
        <w:rPr>
          <w:rFonts w:ascii="Verdana" w:cs="Verdana" w:hAnsi="Verdana" w:eastAsia="Verdana"/>
          <w:b w:val="0"/>
          <w:bCs w:val="0"/>
        </w:rPr>
      </w:pPr>
      <w:r>
        <w:rPr>
          <w:rFonts w:ascii="Verdana" w:hAnsi="Verdana"/>
          <w:b w:val="0"/>
          <w:bCs w:val="0"/>
          <w:sz w:val="24"/>
          <w:szCs w:val="24"/>
          <w:rtl w:val="0"/>
          <w:lang w:val="en-US"/>
        </w:rPr>
        <w:t>The Dendera crypt reliefs present the most discussed Egyptian case. Located in the inner crypts of the Temple of Hathor (c. 50 BCE) - spaces accessible only to the highest priestly personnel - the reliefs depict elongated forms containing serpents in arrangements that mainstream Egyptology reads as the deity Harsomtus (a form of Horus) as a snake emerging from a lotus inside a naos-vessel, and that an alternative reading identifies as electrical discharge vessels or lamps.</w:t>
      </w:r>
      <w:r>
        <w:rPr>
          <w:rFonts w:ascii="Verdana" w:cs="Verdana" w:hAnsi="Verdana" w:eastAsia="Verdana"/>
          <w:b w:val="0"/>
          <w:bCs w:val="0"/>
          <w:vertAlign w:val="superscript"/>
        </w:rPr>
        <w:footnoteReference w:id="29"/>
      </w:r>
      <w:r>
        <w:rPr>
          <w:rFonts w:ascii="Verdana" w:hAnsi="Verdana"/>
          <w:b w:val="0"/>
          <w:bCs w:val="0"/>
          <w:sz w:val="24"/>
          <w:szCs w:val="24"/>
          <w:rtl w:val="0"/>
          <w:lang w:val="en-US"/>
        </w:rPr>
        <w:t xml:space="preserve"> The absence of significant soot deposits in the inner crypts, given the absence of natural light, has been noted by proponents of the alternative interpretation; the mainstream response invokes clean-burning sesame oil lamps and ventilation systems as adequate explanations.</w:t>
      </w:r>
      <w:r>
        <w:rPr>
          <w:rFonts w:ascii="Verdana" w:cs="Verdana" w:hAnsi="Verdana" w:eastAsia="Verdana"/>
          <w:b w:val="0"/>
          <w:bCs w:val="0"/>
          <w:vertAlign w:val="superscript"/>
        </w:rPr>
        <w:footnoteReference w:id="30"/>
      </w:r>
      <w:r>
        <w:rPr>
          <w:rFonts w:ascii="Verdana" w:hAnsi="Verdana"/>
          <w:b w:val="0"/>
          <w:bCs w:val="0"/>
          <w:sz w:val="24"/>
          <w:szCs w:val="24"/>
          <w:rtl w:val="0"/>
          <w:lang w:val="en-US"/>
        </w:rPr>
        <w:t xml:space="preserve"> This paper does not adjudicate between these interpretations. The Dendera reliefs are noted here as an open question, not a confirmed data point.</w:t>
      </w:r>
    </w:p>
    <w:p>
      <w:pPr>
        <w:pStyle w:val="Heading"/>
        <w:jc w:val="both"/>
        <w:rPr>
          <w:rFonts w:ascii="Verdana" w:cs="Verdana" w:hAnsi="Verdana" w:eastAsia="Verdana"/>
          <w:b w:val="0"/>
          <w:bCs w:val="0"/>
        </w:rPr>
      </w:pPr>
      <w:r>
        <w:rPr>
          <w:rFonts w:ascii="Verdana" w:hAnsi="Verdana"/>
          <w:b w:val="0"/>
          <w:bCs w:val="0"/>
          <w:sz w:val="24"/>
          <w:szCs w:val="24"/>
          <w:rtl w:val="0"/>
          <w:lang w:val="en-US"/>
        </w:rPr>
        <w:t>The argument this section advances does not depend on the Dendera reliefs. It depends on structure.</w:t>
      </w:r>
    </w:p>
    <w:p>
      <w:pPr>
        <w:pStyle w:val="Heading"/>
        <w:jc w:val="both"/>
        <w:rPr>
          <w:rFonts w:ascii="Verdana" w:cs="Verdana" w:hAnsi="Verdana" w:eastAsia="Verdana"/>
          <w:b w:val="0"/>
          <w:bCs w:val="0"/>
        </w:rPr>
      </w:pPr>
      <w:r>
        <w:rPr>
          <w:rFonts w:ascii="Verdana" w:hAnsi="Verdana"/>
          <w:b w:val="0"/>
          <w:bCs w:val="0"/>
          <w:sz w:val="24"/>
          <w:szCs w:val="24"/>
          <w:rtl w:val="0"/>
          <w:lang w:val="en-US"/>
        </w:rPr>
        <w:t>A technology held exclusively within a priestly class, applied only in restricted sacred spaces accessible to very few, never reproduced for general population use, and never transmitted beyond a small knowledge-holding network has no redundancy in its transmission chain. The mechanisms of its loss are not mysterious: Egypt experienced Achaemenid conquest (525 BCE), Macedonian political restructuring following Alexander (332 BCE), and the eventual Roman dissolution of traditional priestly institutions following the Augustan period. Each transition represented a potential break in the transmission chain for knowledge that was embodied rather than written, sacred rather than public, and held by few rather than many.</w:t>
      </w:r>
      <w:r>
        <w:rPr>
          <w:rFonts w:ascii="Verdana" w:cs="Verdana" w:hAnsi="Verdana" w:eastAsia="Verdana"/>
          <w:b w:val="0"/>
          <w:bCs w:val="0"/>
          <w:vertAlign w:val="superscript"/>
        </w:rPr>
        <w:footnoteReference w:id="31"/>
      </w:r>
    </w:p>
    <w:p>
      <w:pPr>
        <w:pStyle w:val="Heading"/>
        <w:jc w:val="both"/>
        <w:rPr>
          <w:rFonts w:ascii="Verdana" w:cs="Verdana" w:hAnsi="Verdana" w:eastAsia="Verdana"/>
          <w:b w:val="0"/>
          <w:bCs w:val="0"/>
        </w:rPr>
      </w:pPr>
      <w:r>
        <w:rPr>
          <w:rFonts w:ascii="Verdana" w:hAnsi="Verdana"/>
          <w:b w:val="0"/>
          <w:bCs w:val="0"/>
          <w:sz w:val="24"/>
          <w:szCs w:val="24"/>
          <w:rtl w:val="0"/>
          <w:lang w:val="en-US"/>
        </w:rPr>
        <w:t>This is not speculative. Egyptian blue - the first known synthetic pigment, produced with extraordinary sophistication for over 3,000 years - was lost completely in late antiquity and was not chemically reconstructed until the nineteenth century. No manufacturing records survived the disruption of the priestly and artisanal networks that held the knowledge.</w:t>
      </w:r>
      <w:r>
        <w:rPr>
          <w:rFonts w:ascii="Verdana" w:cs="Verdana" w:hAnsi="Verdana" w:eastAsia="Verdana"/>
          <w:b w:val="0"/>
          <w:bCs w:val="0"/>
          <w:vertAlign w:val="superscript"/>
        </w:rPr>
        <w:footnoteReference w:id="32"/>
      </w:r>
      <w:r>
        <w:rPr>
          <w:rFonts w:ascii="Verdana" w:hAnsi="Verdana"/>
          <w:b w:val="0"/>
          <w:bCs w:val="0"/>
          <w:sz w:val="24"/>
          <w:szCs w:val="24"/>
          <w:rtl w:val="0"/>
          <w:lang w:val="en-US"/>
        </w:rPr>
        <w:t xml:space="preserve"> The pattern is documented and not unusual. Technologies held within specialized non-writing-based knowledge networks, without popular reproduction, are precisely the most vulnerable to permanent loss through demographic disruption. Any electrical application that may have existed in Egypt would have been held in exactly those conditions.</w:t>
      </w:r>
    </w:p>
    <w:p>
      <w:pPr>
        <w:pStyle w:val="Heading"/>
        <w:jc w:val="both"/>
        <w:rPr>
          <w:rFonts w:ascii="Verdana" w:cs="Verdana" w:hAnsi="Verdana" w:eastAsia="Verdana"/>
          <w:b w:val="0"/>
          <w:bCs w:val="0"/>
        </w:rPr>
      </w:pPr>
      <w:r>
        <w:rPr>
          <w:rFonts w:ascii="Verdana" w:hAnsi="Verdana"/>
          <w:b w:val="0"/>
          <w:bCs w:val="0"/>
          <w:rtl w:val="0"/>
          <w:lang w:val="en-US"/>
        </w:rPr>
        <w:t>7. Archaeological Survival Bias and the Baghdad Battery</w:t>
      </w:r>
    </w:p>
    <w:p>
      <w:pPr>
        <w:pStyle w:val="Heading"/>
        <w:jc w:val="both"/>
        <w:rPr>
          <w:rFonts w:ascii="Verdana" w:cs="Verdana" w:hAnsi="Verdana" w:eastAsia="Verdana"/>
          <w:b w:val="0"/>
          <w:bCs w:val="0"/>
        </w:rPr>
      </w:pPr>
      <w:r>
        <w:rPr>
          <w:rFonts w:ascii="Verdana" w:hAnsi="Verdana"/>
          <w:b w:val="0"/>
          <w:bCs w:val="0"/>
          <w:sz w:val="24"/>
          <w:szCs w:val="24"/>
          <w:rtl w:val="0"/>
          <w:lang w:val="en-US"/>
        </w:rPr>
        <w:t>Before the evidential weight of the preceding sections can be properly evaluated, a systematic methodological issue must be addressed: the profound survival bias that shapes what the archaeological record preserves.</w:t>
      </w:r>
    </w:p>
    <w:p>
      <w:pPr>
        <w:pStyle w:val="Heading"/>
        <w:jc w:val="both"/>
        <w:rPr>
          <w:rFonts w:ascii="Verdana" w:cs="Verdana" w:hAnsi="Verdana" w:eastAsia="Verdana"/>
          <w:b w:val="0"/>
          <w:bCs w:val="0"/>
        </w:rPr>
      </w:pPr>
      <w:r>
        <w:rPr>
          <w:rFonts w:ascii="Verdana" w:hAnsi="Verdana"/>
          <w:b w:val="0"/>
          <w:bCs w:val="0"/>
          <w:sz w:val="24"/>
          <w:szCs w:val="24"/>
          <w:rtl w:val="0"/>
          <w:lang w:val="en-US"/>
        </w:rPr>
        <w:t>Archaeological survival is a function of material properties. Stone survives. Fired ceramic survives. Metal survives in certain conditions. Organic materials - wood, textile, plant-derived substances - survive only in exceptional preservation conditions. Liquid substances survive only in sealed ceramic containers under specific conditions. Everything else is gone.</w:t>
      </w:r>
    </w:p>
    <w:p>
      <w:pPr>
        <w:pStyle w:val="Heading"/>
        <w:jc w:val="both"/>
        <w:rPr>
          <w:rFonts w:ascii="Verdana" w:cs="Verdana" w:hAnsi="Verdana" w:eastAsia="Verdana"/>
          <w:b w:val="0"/>
          <w:bCs w:val="0"/>
        </w:rPr>
      </w:pPr>
      <w:r>
        <w:rPr>
          <w:rFonts w:ascii="Verdana" w:hAnsi="Verdana"/>
          <w:b w:val="0"/>
          <w:bCs w:val="0"/>
          <w:sz w:val="24"/>
          <w:szCs w:val="24"/>
          <w:rtl w:val="0"/>
          <w:lang w:val="en-US"/>
        </w:rPr>
        <w:t>A functional galvanic cell of the Baghdad Battery type consists of a ceramic vessel, a copper cylinder, an iron rod, and an acidic electrolyte such as vinegar or grape juice.</w:t>
      </w:r>
      <w:r>
        <w:rPr>
          <w:rFonts w:ascii="Verdana" w:cs="Verdana" w:hAnsi="Verdana" w:eastAsia="Verdana"/>
          <w:b w:val="0"/>
          <w:bCs w:val="0"/>
          <w:vertAlign w:val="superscript"/>
        </w:rPr>
        <w:footnoteReference w:id="33"/>
      </w:r>
      <w:r>
        <w:rPr>
          <w:rFonts w:ascii="Verdana" w:hAnsi="Verdana"/>
          <w:b w:val="0"/>
          <w:bCs w:val="0"/>
          <w:sz w:val="24"/>
          <w:szCs w:val="24"/>
          <w:rtl w:val="0"/>
          <w:lang w:val="en-US"/>
        </w:rPr>
        <w:t xml:space="preserve"> The Baghdad Battery survived archaeologically because three of its four components are inorganic and because it was found in specific dry conditions near ancient Ctesiphon. A functionally identical device using a wooden vessel survives as nothing. No trace, no signature, no anomaly in the archaeological record.</w:t>
      </w:r>
    </w:p>
    <w:p>
      <w:pPr>
        <w:pStyle w:val="Heading"/>
        <w:jc w:val="both"/>
        <w:rPr>
          <w:rFonts w:ascii="Verdana" w:cs="Verdana" w:hAnsi="Verdana" w:eastAsia="Verdana"/>
          <w:b w:val="0"/>
          <w:bCs w:val="0"/>
        </w:rPr>
      </w:pPr>
      <w:r>
        <w:rPr>
          <w:rFonts w:ascii="Verdana" w:hAnsi="Verdana"/>
          <w:b w:val="0"/>
          <w:bCs w:val="0"/>
          <w:sz w:val="24"/>
          <w:szCs w:val="24"/>
          <w:rtl w:val="0"/>
          <w:lang w:val="en-US"/>
        </w:rPr>
        <w:t>Wilhelm Konig first described the Baghdad Battery in 1938, identifying the clay jar, copper cylinder, and iron rod configuration found at the Parthian site of Khujut Rabu as a galvanic cell.</w:t>
      </w:r>
      <w:r>
        <w:rPr>
          <w:rFonts w:ascii="Verdana" w:cs="Verdana" w:hAnsi="Verdana" w:eastAsia="Verdana"/>
          <w:b w:val="0"/>
          <w:bCs w:val="0"/>
          <w:vertAlign w:val="superscript"/>
        </w:rPr>
        <w:footnoteReference w:id="34"/>
      </w:r>
      <w:r>
        <w:rPr>
          <w:rFonts w:ascii="Verdana" w:hAnsi="Verdana"/>
          <w:b w:val="0"/>
          <w:bCs w:val="0"/>
          <w:sz w:val="24"/>
          <w:szCs w:val="24"/>
          <w:rtl w:val="0"/>
          <w:lang w:val="en-US"/>
        </w:rPr>
        <w:t xml:space="preserve"> Paul T. Keyser's 1993 reanalysis in the </w:t>
      </w:r>
      <w:r>
        <w:rPr>
          <w:rFonts w:ascii="Verdana" w:hAnsi="Verdana"/>
          <w:b w:val="0"/>
          <w:bCs w:val="0"/>
          <w:i w:val="1"/>
          <w:iCs w:val="1"/>
          <w:sz w:val="24"/>
          <w:szCs w:val="24"/>
          <w:rtl w:val="0"/>
          <w:lang w:val="en-US"/>
        </w:rPr>
        <w:t>Journal of Near Eastern Studies</w:t>
      </w:r>
      <w:r>
        <w:rPr>
          <w:rFonts w:ascii="Verdana" w:hAnsi="Verdana"/>
          <w:b w:val="0"/>
          <w:bCs w:val="0"/>
          <w:sz w:val="24"/>
          <w:szCs w:val="24"/>
          <w:rtl w:val="0"/>
          <w:lang w:val="en-US"/>
        </w:rPr>
        <w:t xml:space="preserve"> argued against the electroplating hypothesis and in favor of an analgesic application, noting the existence of similar artifacts at other Mesopotamian sites.</w:t>
      </w:r>
      <w:r>
        <w:rPr>
          <w:rFonts w:ascii="Verdana" w:cs="Verdana" w:hAnsi="Verdana" w:eastAsia="Verdana"/>
          <w:b w:val="0"/>
          <w:bCs w:val="0"/>
          <w:vertAlign w:val="superscript"/>
        </w:rPr>
        <w:footnoteReference w:id="35"/>
      </w:r>
      <w:r>
        <w:rPr>
          <w:rFonts w:ascii="Verdana" w:hAnsi="Verdana"/>
          <w:b w:val="0"/>
          <w:bCs w:val="0"/>
          <w:sz w:val="24"/>
          <w:szCs w:val="24"/>
          <w:rtl w:val="0"/>
          <w:lang w:val="en-US"/>
        </w:rPr>
        <w:t xml:space="preserve"> The device is not unique; it represents a type. Multiple examples at multiple Mesopotamian sites, some in contexts suggesting production rather than accidental assembly, indicate that the Baghdad Battery is the best-preserved specimen of a technology class, not an anomaly.</w:t>
      </w:r>
    </w:p>
    <w:p>
      <w:pPr>
        <w:pStyle w:val="Heading"/>
        <w:jc w:val="both"/>
        <w:rPr>
          <w:rFonts w:ascii="Verdana" w:cs="Verdana" w:hAnsi="Verdana" w:eastAsia="Verdana"/>
          <w:b w:val="0"/>
          <w:bCs w:val="0"/>
        </w:rPr>
      </w:pPr>
      <w:r>
        <w:rPr>
          <w:rFonts w:ascii="Verdana" w:hAnsi="Verdana"/>
          <w:b w:val="0"/>
          <w:bCs w:val="0"/>
          <w:sz w:val="24"/>
          <w:szCs w:val="24"/>
          <w:rtl w:val="0"/>
          <w:lang w:val="en-US"/>
        </w:rPr>
        <w:t>The implication is methodologically direct: the absence of further examples is not evidence of rarity. It is evidence of the material limits of preservation. The correct analytical response is not to treat the Battery as a curiosity but to ask what fraction of analogous devices, built from analogous materials, would survive the archaeological record in recognizable form. The answer is very small.</w:t>
      </w:r>
    </w:p>
    <w:p>
      <w:pPr>
        <w:pStyle w:val="Heading"/>
        <w:jc w:val="both"/>
        <w:rPr>
          <w:rFonts w:ascii="Verdana" w:cs="Verdana" w:hAnsi="Verdana" w:eastAsia="Verdana"/>
          <w:b w:val="0"/>
          <w:bCs w:val="0"/>
        </w:rPr>
      </w:pPr>
      <w:r>
        <w:rPr>
          <w:rFonts w:ascii="Verdana" w:hAnsi="Verdana"/>
          <w:b w:val="0"/>
          <w:bCs w:val="0"/>
          <w:rtl w:val="0"/>
          <w:lang w:val="en-US"/>
        </w:rPr>
        <w:t>8. The Degradation Trajectory: From Technology to Myth to Reinvention</w:t>
      </w:r>
    </w:p>
    <w:p>
      <w:pPr>
        <w:pStyle w:val="Heading"/>
        <w:jc w:val="both"/>
        <w:rPr>
          <w:rFonts w:ascii="Verdana" w:cs="Verdana" w:hAnsi="Verdana" w:eastAsia="Verdana"/>
          <w:b w:val="0"/>
          <w:bCs w:val="0"/>
        </w:rPr>
      </w:pPr>
      <w:r>
        <w:rPr>
          <w:rFonts w:ascii="Verdana" w:hAnsi="Verdana"/>
          <w:b w:val="0"/>
          <w:bCs w:val="0"/>
          <w:sz w:val="24"/>
          <w:szCs w:val="24"/>
          <w:rtl w:val="0"/>
          <w:lang w:val="en-US"/>
        </w:rPr>
        <w:t>A technology that is not continuously practiced does not survive the loss of its practitioners. This is a core DSSM prediction, applicable to any embodied knowledge system that has not been externalized into widely distributed written form.</w:t>
      </w:r>
      <w:r>
        <w:rPr>
          <w:rFonts w:ascii="Verdana" w:cs="Verdana" w:hAnsi="Verdana" w:eastAsia="Verdana"/>
          <w:b w:val="0"/>
          <w:bCs w:val="0"/>
          <w:vertAlign w:val="superscript"/>
        </w:rPr>
        <w:footnoteReference w:id="36"/>
      </w:r>
      <w:r>
        <w:rPr>
          <w:rFonts w:ascii="Verdana" w:hAnsi="Verdana"/>
          <w:b w:val="0"/>
          <w:bCs w:val="0"/>
          <w:sz w:val="24"/>
          <w:szCs w:val="24"/>
          <w:rtl w:val="0"/>
          <w:lang w:val="en-US"/>
        </w:rPr>
        <w:t xml:space="preserve"> The trajectory from technological application to mythological memory to eventual loss is documented in the history of multiple ancient technologies. The electrical trajectory, reconstructed from the available evidence, follows the same pattern.</w:t>
      </w:r>
    </w:p>
    <w:p>
      <w:pPr>
        <w:pStyle w:val="Heading"/>
        <w:jc w:val="both"/>
        <w:rPr>
          <w:rFonts w:ascii="Verdana" w:cs="Verdana" w:hAnsi="Verdana" w:eastAsia="Verdana"/>
          <w:b w:val="0"/>
          <w:bCs w:val="0"/>
        </w:rPr>
      </w:pPr>
      <w:r>
        <w:rPr>
          <w:rFonts w:ascii="Verdana" w:hAnsi="Verdana"/>
          <w:b w:val="0"/>
          <w:bCs w:val="0"/>
          <w:sz w:val="24"/>
          <w:szCs w:val="24"/>
          <w:rtl w:val="0"/>
          <w:lang w:val="en-US"/>
        </w:rPr>
        <w:t>The correct chronological sequence is as follows. The Egyptian record establishes the earliest documented engagement: the Narmer Palette (c. 3100 BCE) and the Fifth Dynasty tomb paintings (c. 2750 BCE) establish that the Egyptians depicted and engaged with electrical phenomena through the electric catfish at least 5,000 years ago, with papyrus records of therapeutic use extending the documentation further. This phase represents the earliest material trace of what the evidence suggests was a wider engagement with electrical phenomena.</w:t>
      </w:r>
    </w:p>
    <w:p>
      <w:pPr>
        <w:pStyle w:val="Heading"/>
        <w:jc w:val="both"/>
        <w:rPr>
          <w:rFonts w:ascii="Verdana" w:cs="Verdana" w:hAnsi="Verdana" w:eastAsia="Verdana"/>
          <w:b w:val="0"/>
          <w:bCs w:val="0"/>
        </w:rPr>
      </w:pPr>
      <w:r>
        <w:rPr>
          <w:rFonts w:ascii="Verdana" w:hAnsi="Verdana"/>
          <w:b w:val="0"/>
          <w:bCs w:val="0"/>
          <w:sz w:val="24"/>
          <w:szCs w:val="24"/>
          <w:rtl w:val="0"/>
          <w:lang w:val="en-US"/>
        </w:rPr>
        <w:t>Thales of Miletus (c. 624-546 BCE) - approximately 600 BCE - documents the amber static electricity observation in the Greek tradition.</w:t>
      </w:r>
      <w:r>
        <w:rPr>
          <w:rFonts w:ascii="Verdana" w:cs="Verdana" w:hAnsi="Verdana" w:eastAsia="Verdana"/>
          <w:b w:val="0"/>
          <w:bCs w:val="0"/>
          <w:vertAlign w:val="superscript"/>
        </w:rPr>
        <w:footnoteReference w:id="37"/>
      </w:r>
      <w:r>
        <w:rPr>
          <w:rFonts w:ascii="Verdana" w:hAnsi="Verdana"/>
          <w:b w:val="0"/>
          <w:bCs w:val="0"/>
          <w:sz w:val="24"/>
          <w:szCs w:val="24"/>
          <w:rtl w:val="0"/>
          <w:lang w:val="en-US"/>
        </w:rPr>
        <w:t xml:space="preserve"> This observation chronologically precedes the Baghdad Battery by several centuries and may represent the Greek intellectual engagement with a phenomenon whose human-scale manifestations had been observed and applied for millennia, rather than a genuinely initial encounter with the electrical domain. Theophrastus, Aristotle's successor at the Lyceum (c. 372-287 BCE), extended the observation to a second mineral with electrostatic properties, demonstrating that Greek natural philosophy was actively investigating the phenomenon's scope.</w:t>
      </w:r>
      <w:r>
        <w:rPr>
          <w:rFonts w:ascii="Verdana" w:cs="Verdana" w:hAnsi="Verdana" w:eastAsia="Verdana"/>
          <w:b w:val="0"/>
          <w:bCs w:val="0"/>
          <w:vertAlign w:val="superscript"/>
        </w:rPr>
        <w:footnoteReference w:id="38"/>
      </w:r>
    </w:p>
    <w:p>
      <w:pPr>
        <w:pStyle w:val="Heading"/>
        <w:jc w:val="both"/>
        <w:rPr>
          <w:rFonts w:ascii="Verdana" w:cs="Verdana" w:hAnsi="Verdana" w:eastAsia="Verdana"/>
          <w:b w:val="0"/>
          <w:bCs w:val="0"/>
        </w:rPr>
      </w:pPr>
      <w:r>
        <w:rPr>
          <w:rFonts w:ascii="Verdana" w:hAnsi="Verdana"/>
          <w:b w:val="0"/>
          <w:bCs w:val="0"/>
          <w:sz w:val="24"/>
          <w:szCs w:val="24"/>
          <w:rtl w:val="0"/>
          <w:lang w:val="en-US"/>
        </w:rPr>
        <w:t>The Baghdad Battery belongs to the Parthian period - approximately 250 BCE to the first or second century CE - and represents a more sophisticated application: a functional galvanic cell capable of producing sustained low-voltage current, with similar examples documented at multiple Mesopotamian sites including Tel Umar, indicating a pattern of production rather than isolated accidental assembly.</w:t>
      </w:r>
      <w:r>
        <w:rPr>
          <w:rFonts w:ascii="Verdana" w:cs="Verdana" w:hAnsi="Verdana" w:eastAsia="Verdana"/>
          <w:b w:val="0"/>
          <w:bCs w:val="0"/>
          <w:vertAlign w:val="superscript"/>
        </w:rPr>
        <w:footnoteReference w:id="39"/>
      </w:r>
    </w:p>
    <w:p>
      <w:pPr>
        <w:pStyle w:val="Heading"/>
        <w:jc w:val="both"/>
        <w:rPr>
          <w:rFonts w:ascii="Verdana" w:cs="Verdana" w:hAnsi="Verdana" w:eastAsia="Verdana"/>
          <w:b w:val="0"/>
          <w:bCs w:val="0"/>
        </w:rPr>
      </w:pPr>
      <w:r>
        <w:rPr>
          <w:rFonts w:ascii="Verdana" w:hAnsi="Verdana"/>
          <w:b w:val="0"/>
          <w:bCs w:val="0"/>
          <w:sz w:val="24"/>
          <w:szCs w:val="24"/>
          <w:rtl w:val="0"/>
          <w:lang w:val="en-US"/>
        </w:rPr>
        <w:t>The Roman therapeutic documentation - Scribonius Largus (47 CE) and Pliny the Elder (c. 77 CE) - represents a further stage in the degradation trajectory: the application has narrowed to pain relief, the theoretical framework remains absent, and the phenomenon is documented as a medical curiosity rather than a technology under active development.</w:t>
      </w:r>
      <w:r>
        <w:rPr>
          <w:rFonts w:ascii="Verdana" w:cs="Verdana" w:hAnsi="Verdana" w:eastAsia="Verdana"/>
          <w:b w:val="0"/>
          <w:bCs w:val="0"/>
          <w:vertAlign w:val="superscript"/>
        </w:rPr>
        <w:footnoteReference w:id="40"/>
      </w:r>
    </w:p>
    <w:p>
      <w:pPr>
        <w:pStyle w:val="Heading"/>
        <w:jc w:val="both"/>
        <w:rPr>
          <w:rFonts w:ascii="Verdana" w:cs="Verdana" w:hAnsi="Verdana" w:eastAsia="Verdana"/>
          <w:b w:val="0"/>
          <w:bCs w:val="0"/>
        </w:rPr>
      </w:pPr>
      <w:r>
        <w:rPr>
          <w:rFonts w:ascii="Verdana" w:hAnsi="Verdana"/>
          <w:b w:val="0"/>
          <w:bCs w:val="0"/>
          <w:sz w:val="24"/>
          <w:szCs w:val="24"/>
          <w:rtl w:val="0"/>
          <w:lang w:val="en-US"/>
        </w:rPr>
        <w:t>The result is not forgetting in the ordinary sense but the transformation of technical memory into sacred encoding: what was once encoded as divine weapon becomes the instrument of judgment in myth; what was once a galvanic cell becomes a clay jar of uncertain purpose found in flood-prevention excavation near Baghdad. The knowledge does not disappear instantaneously. It degrades, narrows, and eventually crosses a threshold below which it cannot sustain itself through transmission.</w:t>
      </w:r>
    </w:p>
    <w:p>
      <w:pPr>
        <w:pStyle w:val="Heading"/>
        <w:jc w:val="both"/>
        <w:rPr>
          <w:rFonts w:ascii="Verdana" w:cs="Verdana" w:hAnsi="Verdana" w:eastAsia="Verdana"/>
          <w:b w:val="0"/>
          <w:bCs w:val="0"/>
        </w:rPr>
      </w:pPr>
      <w:r>
        <w:rPr>
          <w:rFonts w:ascii="Verdana" w:hAnsi="Verdana"/>
          <w:b w:val="0"/>
          <w:bCs w:val="0"/>
          <w:rtl w:val="0"/>
          <w:lang w:val="en-US"/>
        </w:rPr>
        <w:t>9. The Invention-Discovery Distinction</w:t>
      </w:r>
    </w:p>
    <w:p>
      <w:pPr>
        <w:pStyle w:val="Heading"/>
        <w:jc w:val="both"/>
        <w:rPr>
          <w:rFonts w:ascii="Verdana" w:cs="Verdana" w:hAnsi="Verdana" w:eastAsia="Verdana"/>
          <w:b w:val="0"/>
          <w:bCs w:val="0"/>
        </w:rPr>
      </w:pPr>
      <w:r>
        <w:rPr>
          <w:rFonts w:ascii="Verdana" w:hAnsi="Verdana"/>
          <w:b w:val="0"/>
          <w:bCs w:val="0"/>
          <w:sz w:val="24"/>
          <w:szCs w:val="24"/>
          <w:rtl w:val="0"/>
          <w:lang w:val="en-US"/>
        </w:rPr>
        <w:t>Benjamin Franklin's kite experiment of 1752 demonstrated that lightning and the electrical discharge from friction machines were the same phenomenon, providing the theoretical unification that enabled systematic exploitation. This is what Franklin found: not the phenomenon, but the theoretical vocabulary capable of unifying all prior electrical observations and generating systematic experimental exploitation.</w:t>
      </w:r>
    </w:p>
    <w:p>
      <w:pPr>
        <w:pStyle w:val="Heading"/>
        <w:jc w:val="both"/>
        <w:rPr>
          <w:rFonts w:ascii="Verdana" w:cs="Verdana" w:hAnsi="Verdana" w:eastAsia="Verdana"/>
          <w:b w:val="0"/>
          <w:bCs w:val="0"/>
        </w:rPr>
      </w:pPr>
      <w:r>
        <w:rPr>
          <w:rFonts w:ascii="Verdana" w:hAnsi="Verdana"/>
          <w:b w:val="0"/>
          <w:bCs w:val="0"/>
          <w:sz w:val="24"/>
          <w:szCs w:val="24"/>
          <w:rtl w:val="0"/>
          <w:lang w:val="en-US"/>
        </w:rPr>
        <w:t>But Scribonius Largus had prescribed the torpedo fish's discharge 1,700 years before Franklin. The Egyptians had depicted and applied the Nile electric catfish discharge approximately 4,800 years before Franklin. The Baghdad Battery had generated galvanic current approximately 1,750 years before Franklin. What changed in 1752 was not the availability of the phenomenon but the availability of a framework capable of generating systematic exploitation.</w:t>
      </w:r>
      <w:r>
        <w:rPr>
          <w:rFonts w:ascii="Verdana" w:cs="Verdana" w:hAnsi="Verdana" w:eastAsia="Verdana"/>
          <w:b w:val="0"/>
          <w:bCs w:val="0"/>
          <w:vertAlign w:val="superscript"/>
        </w:rPr>
        <w:footnoteReference w:id="41"/>
      </w:r>
    </w:p>
    <w:p>
      <w:pPr>
        <w:pStyle w:val="Heading"/>
        <w:jc w:val="both"/>
        <w:rPr>
          <w:rFonts w:ascii="Verdana" w:cs="Verdana" w:hAnsi="Verdana" w:eastAsia="Verdana"/>
          <w:b w:val="0"/>
          <w:bCs w:val="0"/>
        </w:rPr>
      </w:pPr>
      <w:r>
        <w:rPr>
          <w:rFonts w:ascii="Verdana" w:hAnsi="Verdana"/>
          <w:b w:val="0"/>
          <w:bCs w:val="0"/>
          <w:sz w:val="24"/>
          <w:szCs w:val="24"/>
          <w:rtl w:val="0"/>
          <w:lang w:val="en-US"/>
        </w:rPr>
        <w:t>The claim of this paper is therefore precise: electricity was invented before it was discovered. The invention - the first deliberate human engagement with electrical discharge as a manipulable phenomenon - occurred at an unknown date but left traces in the mythological record, in the therapeutic applications documented from Egypt through Rome, and in the galvanic technology represented by the Baghdad Battery. The discovery - the theoretical unification that enabled modern electrical engineering - occurred in the eighteenth century. These are separable events, and conflating them produces the false impression that all prior human engagement with electrical phenomena was either accidental or impossible.</w:t>
      </w:r>
    </w:p>
    <w:p>
      <w:pPr>
        <w:pStyle w:val="Heading"/>
        <w:jc w:val="both"/>
        <w:rPr>
          <w:rFonts w:ascii="Verdana" w:cs="Verdana" w:hAnsi="Verdana" w:eastAsia="Verdana"/>
          <w:b w:val="0"/>
          <w:bCs w:val="0"/>
        </w:rPr>
      </w:pPr>
      <w:r>
        <w:rPr>
          <w:rFonts w:ascii="Verdana" w:hAnsi="Verdana"/>
          <w:b w:val="0"/>
          <w:bCs w:val="0"/>
          <w:sz w:val="24"/>
          <w:szCs w:val="24"/>
          <w:rtl w:val="0"/>
          <w:lang w:val="en-US"/>
        </w:rPr>
        <w:t>What the modern era calls the discovery of electricity was the re-invention of a phenomenon that our ancestors had already invented, applied, and lost - left encoded in the most durable medium available to pre-literate societies: the weapon of the gods.</w:t>
      </w:r>
      <w:r>
        <w:rPr>
          <w:rFonts w:ascii="Verdana" w:cs="Verdana" w:hAnsi="Verdana" w:eastAsia="Verdana"/>
          <w:b w:val="0"/>
          <w:bCs w:val="0"/>
          <w:vertAlign w:val="superscript"/>
        </w:rPr>
        <w:footnoteReference w:id="42"/>
      </w:r>
    </w:p>
    <w:p>
      <w:pPr>
        <w:pStyle w:val="Heading"/>
        <w:jc w:val="both"/>
        <w:rPr>
          <w:rFonts w:ascii="Verdana" w:cs="Verdana" w:hAnsi="Verdana" w:eastAsia="Verdana"/>
          <w:b w:val="0"/>
          <w:bCs w:val="0"/>
        </w:rPr>
      </w:pPr>
      <w:r>
        <w:rPr>
          <w:rFonts w:ascii="Verdana" w:hAnsi="Verdana"/>
          <w:b w:val="0"/>
          <w:bCs w:val="0"/>
          <w:rtl w:val="0"/>
          <w:lang w:val="it-IT"/>
        </w:rPr>
        <w:t>10. Conclusion</w:t>
      </w:r>
    </w:p>
    <w:p>
      <w:pPr>
        <w:pStyle w:val="Heading"/>
        <w:jc w:val="both"/>
        <w:rPr>
          <w:rFonts w:ascii="Verdana" w:cs="Verdana" w:hAnsi="Verdana" w:eastAsia="Verdana"/>
          <w:b w:val="0"/>
          <w:bCs w:val="0"/>
        </w:rPr>
      </w:pPr>
      <w:r>
        <w:rPr>
          <w:rFonts w:ascii="Verdana" w:hAnsi="Verdana"/>
          <w:b w:val="0"/>
          <w:bCs w:val="0"/>
          <w:sz w:val="24"/>
          <w:szCs w:val="24"/>
          <w:rtl w:val="0"/>
          <w:lang w:val="en-US"/>
        </w:rPr>
        <w:t>This paper has argued, on the basis of the cognitive archaeology of technological replication, the documented ancient engagement with electrical phenomena, the cross-cultural mythological record read as behavioral data, the Egyptian symbolic record examined structurally rather than materially, the systematic survival bias of the archaeological evidence, and the epistemological distinction between invention and discovery, that ancient civilizations harnessed electricity in ways the standard history of science does not fully account for.</w:t>
      </w:r>
    </w:p>
    <w:p>
      <w:pPr>
        <w:pStyle w:val="Heading"/>
        <w:jc w:val="both"/>
        <w:rPr>
          <w:rFonts w:ascii="Verdana" w:cs="Verdana" w:hAnsi="Verdana" w:eastAsia="Verdana"/>
          <w:b w:val="0"/>
          <w:bCs w:val="0"/>
        </w:rPr>
      </w:pPr>
      <w:r>
        <w:rPr>
          <w:rFonts w:ascii="Verdana" w:hAnsi="Verdana"/>
          <w:b w:val="0"/>
          <w:bCs w:val="0"/>
          <w:sz w:val="24"/>
          <w:szCs w:val="24"/>
          <w:rtl w:val="0"/>
          <w:lang w:val="en-US"/>
        </w:rPr>
        <w:t>The argument is not that ancient peoples had modern electrical engineering. It is that the same cognitive architecture that produced fire use through cross-domain pattern matching was applied to electrical phenomena; that the application left traces in the mythological record (weapon encoding, knowledge-danger warnings), in the Egyptian symbolic record (divine power as sacred domain), and in surviving physical artifacts (the Baghdad Battery and related finds); and that the absence of more extensive material evidence is a predictable consequence of survival bias and sacred restriction rather than a reliable indicator of technological absence.</w:t>
      </w:r>
    </w:p>
    <w:p>
      <w:pPr>
        <w:pStyle w:val="Heading"/>
        <w:jc w:val="both"/>
        <w:rPr>
          <w:rFonts w:ascii="Verdana" w:cs="Verdana" w:hAnsi="Verdana" w:eastAsia="Verdana"/>
          <w:b w:val="0"/>
          <w:bCs w:val="0"/>
        </w:rPr>
      </w:pPr>
      <w:r>
        <w:rPr>
          <w:rFonts w:ascii="Verdana" w:hAnsi="Verdana"/>
          <w:b w:val="0"/>
          <w:bCs w:val="0"/>
          <w:sz w:val="24"/>
          <w:szCs w:val="24"/>
          <w:rtl w:val="0"/>
          <w:lang w:val="en-US"/>
        </w:rPr>
        <w:t>The most significant implication is methodological. No systematic research program has asked: what would the material signature of ancient electrical application look like? Has the full range of Baghdad Battery-type artifacts been systematically catalogued? What does the mythological convergence on weapon-and-danger encoding tell us about the actual phenomenology of ancient electrical engagement? These questions have not been asked with the rigor they merit. The absence of a research program is not evidence against the hypothesis. It is the condition that makes the hypothesis untested.</w:t>
      </w:r>
    </w:p>
    <w:p>
      <w:pPr>
        <w:pStyle w:val="Heading"/>
        <w:jc w:val="both"/>
        <w:rPr>
          <w:rFonts w:ascii="Verdana" w:cs="Verdana" w:hAnsi="Verdana" w:eastAsia="Verdana"/>
          <w:b w:val="0"/>
          <w:bCs w:val="0"/>
        </w:rPr>
      </w:pPr>
      <w:r>
        <w:rPr>
          <w:rFonts w:ascii="Verdana" w:hAnsi="Verdana"/>
          <w:b w:val="0"/>
          <w:bCs w:val="0"/>
          <w:sz w:val="24"/>
          <w:szCs w:val="24"/>
          <w:rtl w:val="0"/>
          <w:lang w:val="en-US"/>
        </w:rPr>
        <w:t>The research agenda is open. The cognitive architecture that made this engagement possible has been well-established in the DSSM corpus.</w:t>
      </w:r>
      <w:r>
        <w:rPr>
          <w:rFonts w:ascii="Verdana" w:cs="Verdana" w:hAnsi="Verdana" w:eastAsia="Verdana"/>
          <w:b w:val="0"/>
          <w:bCs w:val="0"/>
          <w:vertAlign w:val="superscript"/>
        </w:rPr>
        <w:footnoteReference w:id="43"/>
      </w:r>
      <w:r>
        <w:rPr>
          <w:rFonts w:ascii="Verdana" w:hAnsi="Verdana"/>
          <w:b w:val="0"/>
          <w:bCs w:val="0"/>
          <w:sz w:val="24"/>
          <w:szCs w:val="24"/>
          <w:rtl w:val="0"/>
          <w:lang w:val="en-US"/>
        </w:rPr>
        <w:t xml:space="preserve"> What remains is to look at the record it left behind with instruments adequate to the question.</w:t>
      </w:r>
    </w:p>
    <w:p>
      <w:pPr>
        <w:pStyle w:val="Heading"/>
        <w:jc w:val="both"/>
        <w:rPr>
          <w:rFonts w:ascii="Verdana" w:cs="Verdana" w:hAnsi="Verdana" w:eastAsia="Verdana"/>
          <w:b w:val="0"/>
          <w:bCs w:val="0"/>
        </w:rPr>
      </w:pPr>
      <w:r>
        <w:rPr>
          <w:rFonts w:ascii="Verdana" w:hAnsi="Verdana"/>
          <w:b w:val="0"/>
          <w:bCs w:val="0"/>
          <w:sz w:val="24"/>
          <w:szCs w:val="24"/>
          <w:rtl w:val="0"/>
        </w:rPr>
        <w:t xml:space="preserve"> </w:t>
      </w:r>
    </w:p>
    <w:p>
      <w:pPr>
        <w:pStyle w:val="Heading"/>
        <w:jc w:val="both"/>
        <w:rPr>
          <w:rFonts w:ascii="Verdana" w:cs="Verdana" w:hAnsi="Verdana" w:eastAsia="Verdana"/>
          <w:b w:val="0"/>
          <w:bCs w:val="0"/>
        </w:rPr>
      </w:pPr>
      <w:r>
        <w:rPr>
          <w:rFonts w:ascii="Verdana" w:hAnsi="Verdana"/>
          <w:b w:val="0"/>
          <w:bCs w:val="0"/>
          <w:rtl w:val="0"/>
          <w:lang w:val="en-US"/>
        </w:rPr>
        <w:t>SDG Alignment Statement</w:t>
      </w:r>
    </w:p>
    <w:p>
      <w:pPr>
        <w:pStyle w:val="Heading"/>
        <w:jc w:val="both"/>
        <w:rPr>
          <w:rFonts w:ascii="Verdana" w:cs="Verdana" w:hAnsi="Verdana" w:eastAsia="Verdana"/>
          <w:b w:val="0"/>
          <w:bCs w:val="0"/>
        </w:rPr>
      </w:pPr>
      <w:r>
        <w:rPr>
          <w:rFonts w:ascii="Verdana" w:hAnsi="Verdana"/>
          <w:b w:val="0"/>
          <w:bCs w:val="0"/>
          <w:sz w:val="24"/>
          <w:szCs w:val="24"/>
          <w:rtl w:val="0"/>
          <w:lang w:val="en-US"/>
        </w:rPr>
        <w:t>This research contributes to three United Nations Sustainable Development Goals. It engages with SDG 4 (Quality Education) by developing interdisciplinary methodology across cognitive archaeology, comparative mythology, history of science, and material evidence, and by providing a falsifiable, evidence-based framework that can be tested across multiple specialist disciplines. It relates to SDG 11 (Sustainable Cities and Communities) by illuminating the knowledge systems and technological practices of ancient urban civilizations and the mechanisms by which that knowledge was held, transmitted, and lost. It engages with SDG 16 (Peace, Justice and Strong Institutions) by challenging narratives that attribute ancient technological achievement to non-human agency, restoring credit for those achievements to the human communities who produced them and thereby contributing to a more accurate and equitable account of the deep human past. The paper does not directly address SDG targets but engages with foundational questions relevant to all three goals.</w:t>
      </w:r>
    </w:p>
    <w:p>
      <w:pPr>
        <w:pStyle w:val="Heading"/>
        <w:jc w:val="both"/>
        <w:rPr>
          <w:rFonts w:ascii="Verdana" w:cs="Verdana" w:hAnsi="Verdana" w:eastAsia="Verdana"/>
          <w:b w:val="0"/>
          <w:bCs w:val="0"/>
        </w:rPr>
      </w:pPr>
      <w:r>
        <w:rPr>
          <w:rFonts w:ascii="Verdana" w:hAnsi="Verdana"/>
          <w:b w:val="0"/>
          <w:bCs w:val="0"/>
          <w:rtl w:val="0"/>
          <w:lang w:val="en-US"/>
        </w:rPr>
        <w:t>AI Disclosure</w:t>
      </w:r>
    </w:p>
    <w:p>
      <w:pPr>
        <w:pStyle w:val="Heading"/>
        <w:jc w:val="both"/>
        <w:rPr>
          <w:rFonts w:ascii="Verdana" w:cs="Verdana" w:hAnsi="Verdana" w:eastAsia="Verdana"/>
          <w:b w:val="0"/>
          <w:bCs w:val="0"/>
        </w:rPr>
      </w:pPr>
      <w:r>
        <w:rPr>
          <w:rFonts w:ascii="Verdana" w:hAnsi="Verdana"/>
          <w:b w:val="0"/>
          <w:bCs w:val="0"/>
          <w:sz w:val="24"/>
          <w:szCs w:val="24"/>
          <w:rtl w:val="0"/>
          <w:lang w:val="en-US"/>
        </w:rPr>
        <w:t>The author utilized Claude Sonnet by Anthropic (claude.ai) as an AI research assistant during the preparation of this work. Specifically, Claude was used to stress-test theoretical arguments through structured iterative dialogue, assist with literature synthesis and reference verification, support structural editing and prose revision, and assist with document production. The AI did not conduct independent literature searches, generate original empirical data, or contribute intellectual positions not initiated and directed by the author. All intellectual content, theoretical interpretations, and conclusions remain the sole responsibility of the author. This disclosure follows the COPE and Anthropic guidelines for transparent AI collaboration in academic publishing.</w:t>
      </w:r>
    </w:p>
    <w:p>
      <w:pPr>
        <w:pStyle w:val="Heading"/>
        <w:jc w:val="both"/>
        <w:rPr>
          <w:rFonts w:ascii="Verdana" w:cs="Verdana" w:hAnsi="Verdana" w:eastAsia="Verdana"/>
          <w:b w:val="0"/>
          <w:bCs w:val="0"/>
        </w:rPr>
      </w:pPr>
      <w:r>
        <w:rPr>
          <w:rFonts w:ascii="Verdana" w:hAnsi="Verdana"/>
          <w:b w:val="0"/>
          <w:bCs w:val="0"/>
          <w:sz w:val="24"/>
          <w:szCs w:val="24"/>
          <w:rtl w:val="0"/>
        </w:rPr>
        <w:t xml:space="preserve"> </w:t>
      </w:r>
    </w:p>
    <w:p>
      <w:pPr>
        <w:pStyle w:val="Heading"/>
        <w:jc w:val="both"/>
        <w:rPr>
          <w:rFonts w:ascii="Verdana" w:cs="Verdana" w:hAnsi="Verdana" w:eastAsia="Verdana"/>
          <w:b w:val="0"/>
          <w:bCs w:val="0"/>
        </w:rPr>
      </w:pPr>
      <w:r>
        <w:rPr>
          <w:rFonts w:ascii="Verdana" w:hAnsi="Verdana"/>
          <w:b w:val="0"/>
          <w:bCs w:val="0"/>
          <w:rtl w:val="0"/>
          <w:lang w:val="fr-FR"/>
        </w:rPr>
        <w:t>References</w:t>
      </w:r>
    </w:p>
    <w:p>
      <w:pPr>
        <w:pStyle w:val="Heading"/>
        <w:jc w:val="both"/>
        <w:rPr>
          <w:rFonts w:ascii="Verdana" w:cs="Verdana" w:hAnsi="Verdana" w:eastAsia="Verdana"/>
          <w:b w:val="0"/>
          <w:bCs w:val="0"/>
          <w:i w:val="1"/>
          <w:iCs w:val="1"/>
        </w:rPr>
      </w:pPr>
      <w:r>
        <w:rPr>
          <w:rFonts w:ascii="Verdana" w:hAnsi="Verdana"/>
          <w:b w:val="0"/>
          <w:bCs w:val="0"/>
          <w:i w:val="1"/>
          <w:iCs w:val="1"/>
          <w:sz w:val="24"/>
          <w:szCs w:val="24"/>
          <w:rtl w:val="0"/>
          <w:lang w:val="en-US"/>
        </w:rPr>
        <w:t>Primary Sources</w:t>
      </w:r>
    </w:p>
    <w:p>
      <w:pPr>
        <w:pStyle w:val="Heading"/>
        <w:jc w:val="both"/>
        <w:rPr>
          <w:rFonts w:ascii="Verdana" w:cs="Verdana" w:hAnsi="Verdana" w:eastAsia="Verdana"/>
          <w:b w:val="0"/>
          <w:bCs w:val="0"/>
        </w:rPr>
      </w:pPr>
      <w:r>
        <w:rPr>
          <w:rFonts w:ascii="Verdana" w:hAnsi="Verdana"/>
          <w:b w:val="0"/>
          <w:bCs w:val="0"/>
          <w:sz w:val="24"/>
          <w:szCs w:val="24"/>
          <w:rtl w:val="0"/>
        </w:rPr>
        <w:t xml:space="preserve">Aeschylus. </w:t>
      </w:r>
      <w:r>
        <w:rPr>
          <w:rFonts w:ascii="Verdana" w:hAnsi="Verdana"/>
          <w:b w:val="0"/>
          <w:bCs w:val="0"/>
          <w:i w:val="1"/>
          <w:iCs w:val="1"/>
          <w:sz w:val="24"/>
          <w:szCs w:val="24"/>
          <w:rtl w:val="0"/>
          <w:lang w:val="en-US"/>
        </w:rPr>
        <w:t>Seven Against Thebes</w:t>
      </w:r>
      <w:r>
        <w:rPr>
          <w:rFonts w:ascii="Verdana" w:hAnsi="Verdana"/>
          <w:b w:val="0"/>
          <w:bCs w:val="0"/>
          <w:sz w:val="24"/>
          <w:szCs w:val="24"/>
          <w:rtl w:val="0"/>
          <w:lang w:val="en-US"/>
        </w:rPr>
        <w:t>. Lines 422-456. Translated by Herbert Weir Smyth. Cambridge, MA: Harvard University Press (Loeb Classical Library), 1922.</w:t>
      </w:r>
    </w:p>
    <w:p>
      <w:pPr>
        <w:pStyle w:val="Heading"/>
        <w:jc w:val="both"/>
        <w:rPr>
          <w:rFonts w:ascii="Verdana" w:cs="Verdana" w:hAnsi="Verdana" w:eastAsia="Verdana"/>
          <w:b w:val="0"/>
          <w:bCs w:val="0"/>
        </w:rPr>
      </w:pPr>
      <w:r>
        <w:rPr>
          <w:rFonts w:ascii="Verdana" w:hAnsi="Verdana"/>
          <w:b w:val="0"/>
          <w:bCs w:val="0"/>
          <w:sz w:val="24"/>
          <w:szCs w:val="24"/>
          <w:rtl w:val="0"/>
          <w:lang w:val="it-IT"/>
        </w:rPr>
        <w:t xml:space="preserve">Apollodorus. </w:t>
      </w:r>
      <w:r>
        <w:rPr>
          <w:rFonts w:ascii="Verdana" w:hAnsi="Verdana"/>
          <w:b w:val="0"/>
          <w:bCs w:val="0"/>
          <w:i w:val="1"/>
          <w:iCs w:val="1"/>
          <w:sz w:val="24"/>
          <w:szCs w:val="24"/>
          <w:rtl w:val="0"/>
          <w:lang w:val="en-US"/>
        </w:rPr>
        <w:t>Bibliotheca</w:t>
      </w:r>
      <w:r>
        <w:rPr>
          <w:rFonts w:ascii="Verdana" w:hAnsi="Verdana"/>
          <w:b w:val="0"/>
          <w:bCs w:val="0"/>
          <w:sz w:val="24"/>
          <w:szCs w:val="24"/>
          <w:rtl w:val="0"/>
          <w:lang w:val="en-US"/>
        </w:rPr>
        <w:t>. 1.9.7; 3.6.7. Translated by Robin Hard. Oxford: Oxford University Press, 1997.</w:t>
      </w:r>
    </w:p>
    <w:p>
      <w:pPr>
        <w:pStyle w:val="Heading"/>
        <w:jc w:val="both"/>
        <w:rPr>
          <w:rFonts w:ascii="Verdana" w:cs="Verdana" w:hAnsi="Verdana" w:eastAsia="Verdana"/>
          <w:b w:val="0"/>
          <w:bCs w:val="0"/>
        </w:rPr>
      </w:pPr>
      <w:r>
        <w:rPr>
          <w:rFonts w:ascii="Verdana" w:hAnsi="Verdana"/>
          <w:b w:val="0"/>
          <w:bCs w:val="0"/>
          <w:sz w:val="24"/>
          <w:szCs w:val="24"/>
          <w:rtl w:val="0"/>
        </w:rPr>
        <w:t xml:space="preserve">Aristotle. </w:t>
      </w:r>
      <w:r>
        <w:rPr>
          <w:rFonts w:ascii="Verdana" w:hAnsi="Verdana"/>
          <w:b w:val="0"/>
          <w:bCs w:val="0"/>
          <w:i w:val="1"/>
          <w:iCs w:val="1"/>
          <w:sz w:val="24"/>
          <w:szCs w:val="24"/>
          <w:rtl w:val="0"/>
          <w:lang w:val="it-IT"/>
        </w:rPr>
        <w:t>De Anima</w:t>
      </w:r>
      <w:r>
        <w:rPr>
          <w:rFonts w:ascii="Verdana" w:hAnsi="Verdana"/>
          <w:b w:val="0"/>
          <w:bCs w:val="0"/>
          <w:sz w:val="24"/>
          <w:szCs w:val="24"/>
          <w:rtl w:val="0"/>
          <w:lang w:val="en-US"/>
        </w:rPr>
        <w:t xml:space="preserve">. I.2, 405a19-21. Translated by J.A. Smith. In </w:t>
      </w:r>
      <w:r>
        <w:rPr>
          <w:rFonts w:ascii="Verdana" w:hAnsi="Verdana"/>
          <w:b w:val="0"/>
          <w:bCs w:val="0"/>
          <w:i w:val="1"/>
          <w:iCs w:val="1"/>
          <w:sz w:val="24"/>
          <w:szCs w:val="24"/>
          <w:rtl w:val="0"/>
          <w:lang w:val="en-US"/>
        </w:rPr>
        <w:t>The Complete Works of Aristotle</w:t>
      </w:r>
      <w:r>
        <w:rPr>
          <w:rFonts w:ascii="Verdana" w:hAnsi="Verdana"/>
          <w:b w:val="0"/>
          <w:bCs w:val="0"/>
          <w:sz w:val="24"/>
          <w:szCs w:val="24"/>
          <w:rtl w:val="0"/>
          <w:lang w:val="en-US"/>
        </w:rPr>
        <w:t>, edited by Jonathan Barnes. Princeton: Princeton University Press, 1984.</w:t>
      </w:r>
    </w:p>
    <w:p>
      <w:pPr>
        <w:pStyle w:val="Heading"/>
        <w:jc w:val="both"/>
        <w:rPr>
          <w:rFonts w:ascii="Verdana" w:cs="Verdana" w:hAnsi="Verdana" w:eastAsia="Verdana"/>
          <w:b w:val="0"/>
          <w:bCs w:val="0"/>
        </w:rPr>
      </w:pPr>
      <w:r>
        <w:rPr>
          <w:rFonts w:ascii="Verdana" w:hAnsi="Verdana"/>
          <w:b w:val="0"/>
          <w:bCs w:val="0"/>
          <w:sz w:val="24"/>
          <w:szCs w:val="24"/>
          <w:rtl w:val="0"/>
          <w:lang w:val="it-IT"/>
        </w:rPr>
        <w:t xml:space="preserve">Hesiod. </w:t>
      </w:r>
      <w:r>
        <w:rPr>
          <w:rFonts w:ascii="Verdana" w:hAnsi="Verdana"/>
          <w:b w:val="0"/>
          <w:bCs w:val="0"/>
          <w:i w:val="1"/>
          <w:iCs w:val="1"/>
          <w:sz w:val="24"/>
          <w:szCs w:val="24"/>
          <w:rtl w:val="0"/>
        </w:rPr>
        <w:t>Theogony</w:t>
      </w:r>
      <w:r>
        <w:rPr>
          <w:rFonts w:ascii="Verdana" w:hAnsi="Verdana"/>
          <w:b w:val="0"/>
          <w:bCs w:val="0"/>
          <w:sz w:val="24"/>
          <w:szCs w:val="24"/>
          <w:rtl w:val="0"/>
          <w:lang w:val="en-US"/>
        </w:rPr>
        <w:t>. Translated by M.L. West. Oxford: Oxford University Press, 1988.</w:t>
      </w:r>
    </w:p>
    <w:p>
      <w:pPr>
        <w:pStyle w:val="Heading"/>
        <w:jc w:val="both"/>
        <w:rPr>
          <w:rFonts w:ascii="Verdana" w:cs="Verdana" w:hAnsi="Verdana" w:eastAsia="Verdana"/>
          <w:b w:val="0"/>
          <w:bCs w:val="0"/>
        </w:rPr>
      </w:pPr>
      <w:r>
        <w:rPr>
          <w:rFonts w:ascii="Verdana" w:hAnsi="Verdana"/>
          <w:b w:val="0"/>
          <w:bCs w:val="0"/>
          <w:sz w:val="24"/>
          <w:szCs w:val="24"/>
          <w:rtl w:val="0"/>
          <w:lang w:val="pt-PT"/>
        </w:rPr>
        <w:t xml:space="preserve">Euripides. </w:t>
      </w:r>
      <w:r>
        <w:rPr>
          <w:rFonts w:ascii="Verdana" w:hAnsi="Verdana"/>
          <w:b w:val="0"/>
          <w:bCs w:val="0"/>
          <w:i w:val="1"/>
          <w:iCs w:val="1"/>
          <w:sz w:val="24"/>
          <w:szCs w:val="24"/>
          <w:rtl w:val="0"/>
          <w:lang w:val="en-US"/>
        </w:rPr>
        <w:t>Suppliants</w:t>
      </w:r>
      <w:r>
        <w:rPr>
          <w:rFonts w:ascii="Verdana" w:hAnsi="Verdana"/>
          <w:b w:val="0"/>
          <w:bCs w:val="0"/>
          <w:sz w:val="24"/>
          <w:szCs w:val="24"/>
          <w:rtl w:val="0"/>
          <w:lang w:val="en-US"/>
        </w:rPr>
        <w:t>. Lines 496-499. Translated by David Kovacs. Cambridge, MA: Harvard University Press (Loeb Classical Library), 1998.</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Pliny the Younger. </w:t>
      </w:r>
      <w:r>
        <w:rPr>
          <w:rFonts w:ascii="Verdana" w:hAnsi="Verdana"/>
          <w:b w:val="0"/>
          <w:bCs w:val="0"/>
          <w:i w:val="1"/>
          <w:iCs w:val="1"/>
          <w:sz w:val="24"/>
          <w:szCs w:val="24"/>
          <w:rtl w:val="0"/>
          <w:lang w:val="en-US"/>
        </w:rPr>
        <w:t>Letters</w:t>
      </w:r>
      <w:r>
        <w:rPr>
          <w:rFonts w:ascii="Verdana" w:hAnsi="Verdana"/>
          <w:b w:val="0"/>
          <w:bCs w:val="0"/>
          <w:sz w:val="24"/>
          <w:szCs w:val="24"/>
          <w:rtl w:val="0"/>
          <w:lang w:val="en-US"/>
        </w:rPr>
        <w:t>. VI.16 and VI.20. Translated by Betty Radice. London: Penguin Classics, 1963.</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Pliny the Elder. </w:t>
      </w:r>
      <w:r>
        <w:rPr>
          <w:rFonts w:ascii="Verdana" w:hAnsi="Verdana"/>
          <w:b w:val="0"/>
          <w:bCs w:val="0"/>
          <w:i w:val="1"/>
          <w:iCs w:val="1"/>
          <w:sz w:val="24"/>
          <w:szCs w:val="24"/>
          <w:rtl w:val="0"/>
          <w:lang w:val="pt-PT"/>
        </w:rPr>
        <w:t>Naturalis Historia</w:t>
      </w:r>
      <w:r>
        <w:rPr>
          <w:rFonts w:ascii="Verdana" w:hAnsi="Verdana"/>
          <w:b w:val="0"/>
          <w:bCs w:val="0"/>
          <w:sz w:val="24"/>
          <w:szCs w:val="24"/>
          <w:rtl w:val="0"/>
          <w:lang w:val="en-US"/>
        </w:rPr>
        <w:t>. XXXII.1-7. Translated by W.H.S. Jones. Cambridge, MA: Harvard University Press (Loeb Classical Library), 1963.</w:t>
      </w:r>
    </w:p>
    <w:p>
      <w:pPr>
        <w:pStyle w:val="Heading"/>
        <w:jc w:val="both"/>
        <w:rPr>
          <w:rFonts w:ascii="Verdana" w:cs="Verdana" w:hAnsi="Verdana" w:eastAsia="Verdana"/>
          <w:b w:val="0"/>
          <w:bCs w:val="0"/>
        </w:rPr>
      </w:pPr>
      <w:r>
        <w:rPr>
          <w:rFonts w:ascii="Verdana" w:hAnsi="Verdana"/>
          <w:b w:val="0"/>
          <w:bCs w:val="0"/>
          <w:sz w:val="24"/>
          <w:szCs w:val="24"/>
          <w:rtl w:val="0"/>
          <w:lang w:val="en-US"/>
        </w:rPr>
        <w:t>Rigveda. Hymns 1.32, 2.12, 8.6, 10.89. Translated by Stephanie W. Jamison and Joel P. Brereton. Oxford: Oxford University Press, 2014.</w:t>
      </w:r>
    </w:p>
    <w:p>
      <w:pPr>
        <w:pStyle w:val="Heading"/>
        <w:jc w:val="both"/>
        <w:rPr>
          <w:rFonts w:ascii="Verdana" w:cs="Verdana" w:hAnsi="Verdana" w:eastAsia="Verdana"/>
          <w:b w:val="0"/>
          <w:bCs w:val="0"/>
        </w:rPr>
      </w:pPr>
      <w:r>
        <w:rPr>
          <w:rFonts w:ascii="Verdana" w:hAnsi="Verdana"/>
          <w:b w:val="0"/>
          <w:bCs w:val="0"/>
          <w:sz w:val="24"/>
          <w:szCs w:val="24"/>
          <w:rtl w:val="0"/>
        </w:rPr>
        <w:t xml:space="preserve">Scribonius Largus. </w:t>
      </w:r>
      <w:r>
        <w:rPr>
          <w:rFonts w:ascii="Verdana" w:hAnsi="Verdana"/>
          <w:b w:val="0"/>
          <w:bCs w:val="0"/>
          <w:i w:val="1"/>
          <w:iCs w:val="1"/>
          <w:sz w:val="24"/>
          <w:szCs w:val="24"/>
          <w:rtl w:val="0"/>
          <w:lang w:val="es-ES_tradnl"/>
        </w:rPr>
        <w:t>Compositiones</w:t>
      </w:r>
      <w:r>
        <w:rPr>
          <w:rFonts w:ascii="Verdana" w:hAnsi="Verdana"/>
          <w:b w:val="0"/>
          <w:bCs w:val="0"/>
          <w:sz w:val="24"/>
          <w:szCs w:val="24"/>
          <w:rtl w:val="0"/>
          <w:lang w:val="en-US"/>
        </w:rPr>
        <w:t>. Sections 11 and 162. c. 47 AD. Edited by S. Sconocchia. Leipzig: Teubner, 1983.</w:t>
      </w:r>
    </w:p>
    <w:p>
      <w:pPr>
        <w:pStyle w:val="Heading"/>
        <w:jc w:val="both"/>
        <w:rPr>
          <w:rFonts w:ascii="Verdana" w:cs="Verdana" w:hAnsi="Verdana" w:eastAsia="Verdana"/>
          <w:b w:val="0"/>
          <w:bCs w:val="0"/>
        </w:rPr>
      </w:pPr>
      <w:r>
        <w:rPr>
          <w:rFonts w:ascii="Verdana" w:hAnsi="Verdana"/>
          <w:b w:val="0"/>
          <w:bCs w:val="0"/>
          <w:sz w:val="24"/>
          <w:szCs w:val="24"/>
          <w:rtl w:val="0"/>
          <w:lang w:val="it-IT"/>
        </w:rPr>
        <w:t xml:space="preserve">Sturluson, Snorri. </w:t>
      </w:r>
      <w:r>
        <w:rPr>
          <w:rFonts w:ascii="Verdana" w:hAnsi="Verdana"/>
          <w:b w:val="0"/>
          <w:bCs w:val="0"/>
          <w:i w:val="1"/>
          <w:iCs w:val="1"/>
          <w:sz w:val="24"/>
          <w:szCs w:val="24"/>
          <w:rtl w:val="0"/>
        </w:rPr>
        <w:t>Prose Edda (Gylfaginning)</w:t>
      </w:r>
      <w:r>
        <w:rPr>
          <w:rFonts w:ascii="Verdana" w:hAnsi="Verdana"/>
          <w:b w:val="0"/>
          <w:bCs w:val="0"/>
          <w:sz w:val="24"/>
          <w:szCs w:val="24"/>
          <w:rtl w:val="0"/>
          <w:lang w:val="en-US"/>
        </w:rPr>
        <w:t>. c. 1220. Translated by Anthony Faulkes. London: Everyman, 1987.</w:t>
      </w:r>
    </w:p>
    <w:p>
      <w:pPr>
        <w:pStyle w:val="Heading"/>
        <w:jc w:val="both"/>
        <w:rPr>
          <w:rFonts w:ascii="Verdana" w:cs="Verdana" w:hAnsi="Verdana" w:eastAsia="Verdana"/>
          <w:b w:val="0"/>
          <w:bCs w:val="0"/>
        </w:rPr>
      </w:pPr>
      <w:r>
        <w:rPr>
          <w:rFonts w:ascii="Verdana" w:hAnsi="Verdana"/>
          <w:b w:val="0"/>
          <w:bCs w:val="0"/>
          <w:sz w:val="24"/>
          <w:szCs w:val="24"/>
          <w:rtl w:val="0"/>
        </w:rPr>
        <w:t xml:space="preserve">Theophrastus. </w:t>
      </w:r>
      <w:r>
        <w:rPr>
          <w:rFonts w:ascii="Verdana" w:hAnsi="Verdana"/>
          <w:b w:val="0"/>
          <w:bCs w:val="0"/>
          <w:i w:val="1"/>
          <w:iCs w:val="1"/>
          <w:sz w:val="24"/>
          <w:szCs w:val="24"/>
          <w:rtl w:val="0"/>
          <w:lang w:val="en-US"/>
        </w:rPr>
        <w:t>On Stones (Peri Lithon)</w:t>
      </w:r>
      <w:r>
        <w:rPr>
          <w:rFonts w:ascii="Verdana" w:hAnsi="Verdana"/>
          <w:b w:val="0"/>
          <w:bCs w:val="0"/>
          <w:sz w:val="24"/>
          <w:szCs w:val="24"/>
          <w:rtl w:val="0"/>
          <w:lang w:val="en-US"/>
        </w:rPr>
        <w:t>. c. 314 BCE. Translated by D.E. Eichholz. Oxford: Clarendon Press, 1965.</w:t>
      </w:r>
    </w:p>
    <w:p>
      <w:pPr>
        <w:pStyle w:val="Heading"/>
        <w:jc w:val="both"/>
        <w:rPr>
          <w:rFonts w:ascii="Verdana" w:cs="Verdana" w:hAnsi="Verdana" w:eastAsia="Verdana"/>
          <w:b w:val="0"/>
          <w:bCs w:val="0"/>
        </w:rPr>
      </w:pPr>
      <w:r>
        <w:rPr>
          <w:rFonts w:ascii="Verdana" w:hAnsi="Verdana"/>
          <w:b w:val="0"/>
          <w:bCs w:val="0"/>
          <w:sz w:val="24"/>
          <w:szCs w:val="24"/>
          <w:rtl w:val="0"/>
        </w:rPr>
        <w:t xml:space="preserve">Valmiki. </w:t>
      </w:r>
      <w:r>
        <w:rPr>
          <w:rFonts w:ascii="Verdana" w:hAnsi="Verdana"/>
          <w:b w:val="0"/>
          <w:bCs w:val="0"/>
          <w:i w:val="1"/>
          <w:iCs w:val="1"/>
          <w:sz w:val="24"/>
          <w:szCs w:val="24"/>
          <w:rtl w:val="0"/>
        </w:rPr>
        <w:t>Ramayana</w:t>
      </w:r>
      <w:r>
        <w:rPr>
          <w:rFonts w:ascii="Verdana" w:hAnsi="Verdana"/>
          <w:b w:val="0"/>
          <w:bCs w:val="0"/>
          <w:sz w:val="24"/>
          <w:szCs w:val="24"/>
          <w:rtl w:val="0"/>
          <w:lang w:val="en-US"/>
        </w:rPr>
        <w:t>. Yuddha Kanda. Translated by Robert P. Goldman et al. Princeton: Princeton University Press, 1984-2017.</w:t>
      </w:r>
    </w:p>
    <w:p>
      <w:pPr>
        <w:pStyle w:val="Heading"/>
        <w:jc w:val="both"/>
        <w:rPr>
          <w:rFonts w:ascii="Verdana" w:cs="Verdana" w:hAnsi="Verdana" w:eastAsia="Verdana"/>
          <w:b w:val="0"/>
          <w:bCs w:val="0"/>
        </w:rPr>
      </w:pPr>
      <w:r>
        <w:rPr>
          <w:rFonts w:ascii="Verdana" w:hAnsi="Verdana"/>
          <w:b w:val="0"/>
          <w:bCs w:val="0"/>
          <w:sz w:val="24"/>
          <w:szCs w:val="24"/>
          <w:rtl w:val="0"/>
        </w:rPr>
        <w:t xml:space="preserve">Vyasa. </w:t>
      </w:r>
      <w:r>
        <w:rPr>
          <w:rFonts w:ascii="Verdana" w:hAnsi="Verdana"/>
          <w:b w:val="0"/>
          <w:bCs w:val="0"/>
          <w:i w:val="1"/>
          <w:iCs w:val="1"/>
          <w:sz w:val="24"/>
          <w:szCs w:val="24"/>
          <w:rtl w:val="0"/>
          <w:lang w:val="de-DE"/>
        </w:rPr>
        <w:t>Mahabharata</w:t>
      </w:r>
      <w:r>
        <w:rPr>
          <w:rFonts w:ascii="Verdana" w:hAnsi="Verdana"/>
          <w:b w:val="0"/>
          <w:bCs w:val="0"/>
          <w:sz w:val="24"/>
          <w:szCs w:val="24"/>
          <w:rtl w:val="0"/>
          <w:lang w:val="en-US"/>
        </w:rPr>
        <w:t>. Drona Parva, chapters 192-200; Sauptika Parva. Translated by Kisari Mohan Ganguli. Calcutta: Bharata Press, 1884-1896.</w:t>
      </w:r>
    </w:p>
    <w:p>
      <w:pPr>
        <w:pStyle w:val="Heading"/>
        <w:jc w:val="both"/>
        <w:rPr>
          <w:rFonts w:ascii="Verdana" w:cs="Verdana" w:hAnsi="Verdana" w:eastAsia="Verdana"/>
          <w:b w:val="0"/>
          <w:bCs w:val="0"/>
          <w:i w:val="1"/>
          <w:iCs w:val="1"/>
        </w:rPr>
      </w:pPr>
      <w:r>
        <w:rPr>
          <w:rFonts w:ascii="Verdana" w:hAnsi="Verdana"/>
          <w:b w:val="0"/>
          <w:bCs w:val="0"/>
          <w:i w:val="1"/>
          <w:iCs w:val="1"/>
          <w:sz w:val="24"/>
          <w:szCs w:val="24"/>
          <w:rtl w:val="0"/>
          <w:lang w:val="en-US"/>
        </w:rPr>
        <w:t>Secondary Sources</w:t>
      </w:r>
    </w:p>
    <w:p>
      <w:pPr>
        <w:pStyle w:val="Heading"/>
        <w:jc w:val="both"/>
        <w:rPr>
          <w:rFonts w:ascii="Verdana" w:cs="Verdana" w:hAnsi="Verdana" w:eastAsia="Verdana"/>
          <w:b w:val="0"/>
          <w:bCs w:val="0"/>
        </w:rPr>
      </w:pPr>
      <w:r>
        <w:rPr>
          <w:rFonts w:ascii="Verdana" w:hAnsi="Verdana"/>
          <w:b w:val="0"/>
          <w:bCs w:val="0"/>
          <w:sz w:val="24"/>
          <w:szCs w:val="24"/>
          <w:rtl w:val="0"/>
        </w:rPr>
        <w:t xml:space="preserve">Dunn, Christopher. </w:t>
      </w:r>
      <w:r>
        <w:rPr>
          <w:rFonts w:ascii="Verdana" w:hAnsi="Verdana"/>
          <w:b w:val="0"/>
          <w:bCs w:val="0"/>
          <w:i w:val="1"/>
          <w:iCs w:val="1"/>
          <w:sz w:val="24"/>
          <w:szCs w:val="24"/>
          <w:rtl w:val="0"/>
          <w:lang w:val="en-US"/>
        </w:rPr>
        <w:t>The Giza Power Plant: Technologies of Ancient Egypt</w:t>
      </w:r>
      <w:r>
        <w:rPr>
          <w:rFonts w:ascii="Verdana" w:hAnsi="Verdana"/>
          <w:b w:val="0"/>
          <w:bCs w:val="0"/>
          <w:sz w:val="24"/>
          <w:szCs w:val="24"/>
          <w:rtl w:val="0"/>
          <w:lang w:val="en-US"/>
        </w:rPr>
        <w:t>. Rochester, VT: Bear and Company, 1998.</w:t>
      </w:r>
    </w:p>
    <w:p>
      <w:pPr>
        <w:pStyle w:val="Heading"/>
        <w:jc w:val="both"/>
        <w:rPr>
          <w:rFonts w:ascii="Verdana" w:cs="Verdana" w:hAnsi="Verdana" w:eastAsia="Verdana"/>
          <w:b w:val="0"/>
          <w:bCs w:val="0"/>
        </w:rPr>
      </w:pPr>
      <w:r>
        <w:rPr>
          <w:rFonts w:ascii="Verdana" w:hAnsi="Verdana"/>
          <w:b w:val="0"/>
          <w:bCs w:val="0"/>
          <w:sz w:val="24"/>
          <w:szCs w:val="24"/>
          <w:rtl w:val="0"/>
        </w:rPr>
        <w:t xml:space="preserve">Eliade, Mircea. </w:t>
      </w:r>
      <w:r>
        <w:rPr>
          <w:rFonts w:ascii="Verdana" w:hAnsi="Verdana"/>
          <w:b w:val="0"/>
          <w:bCs w:val="0"/>
          <w:i w:val="1"/>
          <w:iCs w:val="1"/>
          <w:sz w:val="24"/>
          <w:szCs w:val="24"/>
          <w:rtl w:val="0"/>
          <w:lang w:val="en-US"/>
        </w:rPr>
        <w:t>Patterns in Comparative Religion</w:t>
      </w:r>
      <w:r>
        <w:rPr>
          <w:rFonts w:ascii="Verdana" w:hAnsi="Verdana"/>
          <w:b w:val="0"/>
          <w:bCs w:val="0"/>
          <w:sz w:val="24"/>
          <w:szCs w:val="24"/>
          <w:rtl w:val="0"/>
          <w:lang w:val="en-US"/>
        </w:rPr>
        <w:t>. London: Sheed and Ward, 1958.</w:t>
      </w:r>
    </w:p>
    <w:p>
      <w:pPr>
        <w:pStyle w:val="Heading"/>
        <w:jc w:val="both"/>
        <w:rPr>
          <w:rFonts w:ascii="Verdana" w:cs="Verdana" w:hAnsi="Verdana" w:eastAsia="Verdana"/>
          <w:b w:val="0"/>
          <w:bCs w:val="0"/>
        </w:rPr>
      </w:pPr>
      <w:r>
        <w:rPr>
          <w:rFonts w:ascii="Verdana" w:hAnsi="Verdana"/>
          <w:b w:val="0"/>
          <w:bCs w:val="0"/>
          <w:sz w:val="24"/>
          <w:szCs w:val="24"/>
          <w:rtl w:val="0"/>
          <w:lang w:val="it-IT"/>
        </w:rPr>
        <w:t xml:space="preserve">Finger, Stanley, and Marco Piccolino. </w:t>
      </w:r>
      <w:r>
        <w:rPr>
          <w:rFonts w:ascii="Verdana" w:hAnsi="Verdana"/>
          <w:b w:val="0"/>
          <w:bCs w:val="0"/>
          <w:i w:val="1"/>
          <w:iCs w:val="1"/>
          <w:sz w:val="24"/>
          <w:szCs w:val="24"/>
          <w:rtl w:val="0"/>
          <w:lang w:val="en-US"/>
        </w:rPr>
        <w:t>The Shocking History of Electric Fishes: From Ancient Epochs to the Birth of Modern Neurophysiology</w:t>
      </w:r>
      <w:r>
        <w:rPr>
          <w:rFonts w:ascii="Verdana" w:hAnsi="Verdana"/>
          <w:b w:val="0"/>
          <w:bCs w:val="0"/>
          <w:sz w:val="24"/>
          <w:szCs w:val="24"/>
          <w:rtl w:val="0"/>
          <w:lang w:val="en-US"/>
        </w:rPr>
        <w:t>. Oxford: Oxford University Press, 2011.</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Gowlett, John A.J. "The Discovery of Fire by Humans: A Long and Convoluted Process." </w:t>
      </w:r>
      <w:r>
        <w:rPr>
          <w:rFonts w:ascii="Verdana" w:hAnsi="Verdana"/>
          <w:b w:val="0"/>
          <w:bCs w:val="0"/>
          <w:i w:val="1"/>
          <w:iCs w:val="1"/>
          <w:sz w:val="24"/>
          <w:szCs w:val="24"/>
          <w:rtl w:val="0"/>
          <w:lang w:val="en-US"/>
        </w:rPr>
        <w:t>Philosophical Transactions of the Royal Society B</w:t>
      </w:r>
      <w:r>
        <w:rPr>
          <w:rFonts w:ascii="Verdana" w:hAnsi="Verdana"/>
          <w:b w:val="0"/>
          <w:bCs w:val="0"/>
          <w:sz w:val="24"/>
          <w:szCs w:val="24"/>
          <w:rtl w:val="0"/>
        </w:rPr>
        <w:t xml:space="preserve"> 371, no. 1696 (2016): 20150164.</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Keyser, Paul T. "The Purpose of the Parthian Galvanic Cells: A First-Century A.D. Electric Battery Used for Analgesia." </w:t>
      </w:r>
      <w:r>
        <w:rPr>
          <w:rFonts w:ascii="Verdana" w:hAnsi="Verdana"/>
          <w:b w:val="0"/>
          <w:bCs w:val="0"/>
          <w:i w:val="1"/>
          <w:iCs w:val="1"/>
          <w:sz w:val="24"/>
          <w:szCs w:val="24"/>
          <w:rtl w:val="0"/>
          <w:lang w:val="en-US"/>
        </w:rPr>
        <w:t>Journal of Near Eastern Studies</w:t>
      </w:r>
      <w:r>
        <w:rPr>
          <w:rFonts w:ascii="Verdana" w:hAnsi="Verdana"/>
          <w:b w:val="0"/>
          <w:bCs w:val="0"/>
          <w:sz w:val="24"/>
          <w:szCs w:val="24"/>
          <w:rtl w:val="0"/>
        </w:rPr>
        <w:t xml:space="preserve"> 52, no. 2 (1993): 81-98. DOI: 10.1086/373610.</w:t>
      </w:r>
    </w:p>
    <w:p>
      <w:pPr>
        <w:pStyle w:val="Heading"/>
        <w:jc w:val="both"/>
        <w:rPr>
          <w:rFonts w:ascii="Verdana" w:cs="Verdana" w:hAnsi="Verdana" w:eastAsia="Verdana"/>
          <w:b w:val="0"/>
          <w:bCs w:val="0"/>
        </w:rPr>
      </w:pPr>
      <w:r>
        <w:rPr>
          <w:rFonts w:ascii="Verdana" w:hAnsi="Verdana"/>
          <w:b w:val="0"/>
          <w:bCs w:val="0"/>
          <w:sz w:val="24"/>
          <w:szCs w:val="24"/>
          <w:rtl w:val="0"/>
          <w:lang w:val="de-DE"/>
        </w:rPr>
        <w:t xml:space="preserve">Konig, Wilhelm. "Ein galvanisches Element aus der Partherzeit?" </w:t>
      </w:r>
      <w:r>
        <w:rPr>
          <w:rFonts w:ascii="Verdana" w:hAnsi="Verdana"/>
          <w:b w:val="0"/>
          <w:bCs w:val="0"/>
          <w:i w:val="1"/>
          <w:iCs w:val="1"/>
          <w:sz w:val="24"/>
          <w:szCs w:val="24"/>
          <w:rtl w:val="0"/>
          <w:lang w:val="de-DE"/>
        </w:rPr>
        <w:t>Forschungen und Fortschritte</w:t>
      </w:r>
      <w:r>
        <w:rPr>
          <w:rFonts w:ascii="Verdana" w:hAnsi="Verdana"/>
          <w:b w:val="0"/>
          <w:bCs w:val="0"/>
          <w:sz w:val="24"/>
          <w:szCs w:val="24"/>
          <w:rtl w:val="0"/>
        </w:rPr>
        <w:t xml:space="preserve"> 14, no. 8 (1938): 8-9.</w:t>
      </w:r>
    </w:p>
    <w:p>
      <w:pPr>
        <w:pStyle w:val="Heading"/>
        <w:jc w:val="both"/>
        <w:rPr>
          <w:rFonts w:ascii="Verdana" w:cs="Verdana" w:hAnsi="Verdana" w:eastAsia="Verdana"/>
          <w:b w:val="0"/>
          <w:bCs w:val="0"/>
        </w:rPr>
      </w:pPr>
      <w:r>
        <w:rPr>
          <w:rFonts w:ascii="Verdana" w:hAnsi="Verdana"/>
          <w:b w:val="0"/>
          <w:bCs w:val="0"/>
          <w:sz w:val="24"/>
          <w:szCs w:val="24"/>
          <w:rtl w:val="0"/>
          <w:lang w:val="da-DK"/>
        </w:rPr>
        <w:t xml:space="preserve">Kuhn, Thomas S. </w:t>
      </w:r>
      <w:r>
        <w:rPr>
          <w:rFonts w:ascii="Verdana" w:hAnsi="Verdana"/>
          <w:b w:val="0"/>
          <w:bCs w:val="0"/>
          <w:i w:val="1"/>
          <w:iCs w:val="1"/>
          <w:sz w:val="24"/>
          <w:szCs w:val="24"/>
          <w:rtl w:val="0"/>
          <w:lang w:val="en-US"/>
        </w:rPr>
        <w:t>The Structure of Scientific Revolutions</w:t>
      </w:r>
      <w:r>
        <w:rPr>
          <w:rFonts w:ascii="Verdana" w:hAnsi="Verdana"/>
          <w:b w:val="0"/>
          <w:bCs w:val="0"/>
          <w:sz w:val="24"/>
          <w:szCs w:val="24"/>
          <w:rtl w:val="0"/>
          <w:lang w:val="en-US"/>
        </w:rPr>
        <w:t>. Chicago: University of Chicago Press, 1962.</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McNutt, S.R., and E.R. Williams. "Volcanic Lightning: Global Statistics and Overview." </w:t>
      </w:r>
      <w:r>
        <w:rPr>
          <w:rFonts w:ascii="Verdana" w:hAnsi="Verdana"/>
          <w:b w:val="0"/>
          <w:bCs w:val="0"/>
          <w:i w:val="1"/>
          <w:iCs w:val="1"/>
          <w:sz w:val="24"/>
          <w:szCs w:val="24"/>
          <w:rtl w:val="0"/>
          <w:lang w:val="en-US"/>
        </w:rPr>
        <w:t>Journal of Volcanology and Geothermal Research</w:t>
      </w:r>
      <w:r>
        <w:rPr>
          <w:rFonts w:ascii="Verdana" w:hAnsi="Verdana"/>
          <w:b w:val="0"/>
          <w:bCs w:val="0"/>
          <w:sz w:val="24"/>
          <w:szCs w:val="24"/>
          <w:rtl w:val="0"/>
        </w:rPr>
        <w:t xml:space="preserve"> 102 (2010): 65-78.</w:t>
      </w:r>
    </w:p>
    <w:p>
      <w:pPr>
        <w:pStyle w:val="Heading"/>
        <w:jc w:val="both"/>
        <w:rPr>
          <w:rFonts w:ascii="Verdana" w:cs="Verdana" w:hAnsi="Verdana" w:eastAsia="Verdana"/>
          <w:b w:val="0"/>
          <w:bCs w:val="0"/>
        </w:rPr>
      </w:pPr>
      <w:r>
        <w:rPr>
          <w:rFonts w:ascii="Verdana" w:hAnsi="Verdana"/>
          <w:b w:val="0"/>
          <w:bCs w:val="0"/>
          <w:sz w:val="24"/>
          <w:szCs w:val="24"/>
          <w:rtl w:val="0"/>
        </w:rPr>
        <w:t xml:space="preserve">Puhvel, Jaan. </w:t>
      </w:r>
      <w:r>
        <w:rPr>
          <w:rFonts w:ascii="Verdana" w:hAnsi="Verdana"/>
          <w:b w:val="0"/>
          <w:bCs w:val="0"/>
          <w:i w:val="1"/>
          <w:iCs w:val="1"/>
          <w:sz w:val="24"/>
          <w:szCs w:val="24"/>
          <w:rtl w:val="0"/>
          <w:lang w:val="en-US"/>
        </w:rPr>
        <w:t>Comparative Mythology</w:t>
      </w:r>
      <w:r>
        <w:rPr>
          <w:rFonts w:ascii="Verdana" w:hAnsi="Verdana"/>
          <w:b w:val="0"/>
          <w:bCs w:val="0"/>
          <w:sz w:val="24"/>
          <w:szCs w:val="24"/>
          <w:rtl w:val="0"/>
          <w:lang w:val="en-US"/>
        </w:rPr>
        <w:t>. Baltimore: Johns Hopkins University Press, 1987.</w:t>
      </w:r>
    </w:p>
    <w:p>
      <w:pPr>
        <w:pStyle w:val="Heading"/>
        <w:jc w:val="both"/>
        <w:rPr>
          <w:rFonts w:ascii="Verdana" w:cs="Verdana" w:hAnsi="Verdana" w:eastAsia="Verdana"/>
          <w:b w:val="0"/>
          <w:bCs w:val="0"/>
        </w:rPr>
      </w:pPr>
      <w:r>
        <w:rPr>
          <w:rFonts w:ascii="Verdana" w:hAnsi="Verdana"/>
          <w:b w:val="0"/>
          <w:bCs w:val="0"/>
          <w:sz w:val="24"/>
          <w:szCs w:val="24"/>
          <w:rtl w:val="0"/>
          <w:lang w:val="de-DE"/>
        </w:rPr>
        <w:t xml:space="preserve">West, Martin L. </w:t>
      </w:r>
      <w:r>
        <w:rPr>
          <w:rFonts w:ascii="Verdana" w:hAnsi="Verdana"/>
          <w:b w:val="0"/>
          <w:bCs w:val="0"/>
          <w:i w:val="1"/>
          <w:iCs w:val="1"/>
          <w:sz w:val="24"/>
          <w:szCs w:val="24"/>
          <w:rtl w:val="0"/>
          <w:lang w:val="en-US"/>
        </w:rPr>
        <w:t>Indo-European Poetry and Myth</w:t>
      </w:r>
      <w:r>
        <w:rPr>
          <w:rFonts w:ascii="Verdana" w:hAnsi="Verdana"/>
          <w:b w:val="0"/>
          <w:bCs w:val="0"/>
          <w:sz w:val="24"/>
          <w:szCs w:val="24"/>
          <w:rtl w:val="0"/>
          <w:lang w:val="en-US"/>
        </w:rPr>
        <w:t>. Oxford: Oxford University Press, 2007.</w:t>
      </w:r>
    </w:p>
    <w:p>
      <w:pPr>
        <w:pStyle w:val="Heading"/>
        <w:jc w:val="both"/>
        <w:rPr>
          <w:rFonts w:ascii="Verdana" w:cs="Verdana" w:hAnsi="Verdana" w:eastAsia="Verdana"/>
          <w:b w:val="0"/>
          <w:bCs w:val="0"/>
        </w:rPr>
      </w:pPr>
      <w:r>
        <w:rPr>
          <w:rFonts w:ascii="Verdana" w:hAnsi="Verdana"/>
          <w:b w:val="0"/>
          <w:bCs w:val="0"/>
          <w:sz w:val="24"/>
          <w:szCs w:val="24"/>
          <w:rtl w:val="0"/>
          <w:lang w:val="de-DE"/>
        </w:rPr>
        <w:t xml:space="preserve">Wilkinson, Richard H. </w:t>
      </w:r>
      <w:r>
        <w:rPr>
          <w:rFonts w:ascii="Verdana" w:hAnsi="Verdana"/>
          <w:b w:val="0"/>
          <w:bCs w:val="0"/>
          <w:i w:val="1"/>
          <w:iCs w:val="1"/>
          <w:sz w:val="24"/>
          <w:szCs w:val="24"/>
          <w:rtl w:val="0"/>
          <w:lang w:val="en-US"/>
        </w:rPr>
        <w:t>The Complete Gods and Goddesses of Ancient Egypt</w:t>
      </w:r>
      <w:r>
        <w:rPr>
          <w:rFonts w:ascii="Verdana" w:hAnsi="Verdana"/>
          <w:b w:val="0"/>
          <w:bCs w:val="0"/>
          <w:sz w:val="24"/>
          <w:szCs w:val="24"/>
          <w:rtl w:val="0"/>
          <w:lang w:val="en-US"/>
        </w:rPr>
        <w:t>. London: Thames and Hudson, 2003.</w:t>
      </w:r>
    </w:p>
    <w:p>
      <w:pPr>
        <w:pStyle w:val="Heading"/>
        <w:jc w:val="both"/>
        <w:rPr>
          <w:rFonts w:ascii="Verdana" w:cs="Verdana" w:hAnsi="Verdana" w:eastAsia="Verdana"/>
          <w:b w:val="0"/>
          <w:bCs w:val="0"/>
          <w:i w:val="1"/>
          <w:iCs w:val="1"/>
        </w:rPr>
      </w:pPr>
      <w:r>
        <w:rPr>
          <w:rFonts w:ascii="Verdana" w:hAnsi="Verdana"/>
          <w:b w:val="0"/>
          <w:bCs w:val="0"/>
          <w:i w:val="1"/>
          <w:iCs w:val="1"/>
          <w:sz w:val="24"/>
          <w:szCs w:val="24"/>
          <w:rtl w:val="0"/>
          <w:lang w:val="en-US"/>
        </w:rPr>
        <w:t>Works by the Author (DSSM Corpus)</w:t>
      </w:r>
    </w:p>
    <w:p>
      <w:pPr>
        <w:pStyle w:val="Heading"/>
        <w:jc w:val="both"/>
        <w:rPr>
          <w:rFonts w:ascii="Verdana" w:cs="Verdana" w:hAnsi="Verdana" w:eastAsia="Verdana"/>
          <w:b w:val="0"/>
          <w:bCs w:val="0"/>
        </w:rPr>
      </w:pPr>
      <w:r>
        <w:rPr>
          <w:rFonts w:ascii="Verdana" w:hAnsi="Verdana"/>
          <w:b w:val="0"/>
          <w:bCs w:val="0"/>
          <w:sz w:val="24"/>
          <w:szCs w:val="24"/>
          <w:rtl w:val="0"/>
          <w:lang w:val="en-US"/>
        </w:rPr>
        <w:t>Vondoom, Anthony. "Civilization is Rehearsed: The Deep Symbolic Systems Model." Zenodo, 2026. DOI: 10.5281/zenodo.19170162.</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Vondoom, Anthony. "Cognitive Foundations of Early Egyptian Civilization: Insights from the Deep Symbolic Systems Model (DSSM)." </w:t>
      </w:r>
      <w:r>
        <w:rPr>
          <w:rFonts w:ascii="Verdana" w:hAnsi="Verdana"/>
          <w:b w:val="0"/>
          <w:bCs w:val="0"/>
          <w:i w:val="1"/>
          <w:iCs w:val="1"/>
          <w:sz w:val="24"/>
          <w:szCs w:val="24"/>
          <w:rtl w:val="0"/>
          <w:lang w:val="en-US"/>
        </w:rPr>
        <w:t>IWNW: Journal of Archaeology</w:t>
      </w:r>
      <w:r>
        <w:rPr>
          <w:rFonts w:ascii="Verdana" w:hAnsi="Verdana"/>
          <w:b w:val="0"/>
          <w:bCs w:val="0"/>
          <w:sz w:val="24"/>
          <w:szCs w:val="24"/>
          <w:rtl w:val="0"/>
        </w:rPr>
        <w:t xml:space="preserve"> 6 (2027, IN PRESS). DOI: 10.21608/IWNW.2026.464676.1075.</w:t>
      </w:r>
    </w:p>
    <w:p>
      <w:pPr>
        <w:pStyle w:val="Heading"/>
        <w:jc w:val="both"/>
      </w:pPr>
      <w:r>
        <w:rPr>
          <w:rFonts w:ascii="Verdana" w:hAnsi="Verdana"/>
          <w:b w:val="0"/>
          <w:bCs w:val="0"/>
          <w:sz w:val="24"/>
          <w:szCs w:val="24"/>
          <w:rtl w:val="0"/>
          <w:lang w:val="en-US"/>
        </w:rPr>
        <w:t>Vondoom, Anthony. "Stacked Contingency: Chromosomal Fusion, Climate Mosaics, and Niche Construction in the Divergence of Hominins from Other Great Apes." Figshare, 2026. DOI: 10.6084/m9.figshare.32719968.</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Word Default Style"/>
      </w:pPr>
      <w:r>
        <w:rPr>
          <w:rStyle w:val="footnote reference"/>
        </w:rPr>
        <w:footnoteRef/>
      </w:r>
      <w:r>
        <w:rPr>
          <w:rFonts w:ascii="Arial" w:hAnsi="Arial"/>
          <w:rtl w:val="0"/>
          <w:lang w:val="en-US"/>
        </w:rPr>
        <w:t>Anthony Vondoom, "Civilization is Rehearsed: The Deep Symbolic Systems Model," Zenodo (2026), DOI: 10.5281/zenodo.19170162. Cross-domain pattern matching under high-salience conditions is identified as the Stage 1 mechanism of symbolic familiarity.</w:t>
      </w:r>
    </w:p>
  </w:footnote>
  <w:footnote w:id="2">
    <w:p>
      <w:pPr>
        <w:pStyle w:val="Word Default Style"/>
      </w:pPr>
      <w:r>
        <w:rPr>
          <w:rStyle w:val="footnote reference"/>
        </w:rPr>
        <w:footnoteRef/>
      </w:r>
      <w:r>
        <w:rPr>
          <w:rFonts w:ascii="Arial" w:hAnsi="Arial"/>
          <w:rtl w:val="0"/>
          <w:lang w:val="en-US"/>
        </w:rPr>
        <w:t xml:space="preserve">John A.J. Gowlett, "The Discovery of Fire by Humans: A Long and Convoluted Process," </w:t>
      </w:r>
      <w:r>
        <w:rPr>
          <w:rFonts w:ascii="Arial" w:hAnsi="Arial"/>
          <w:i w:val="1"/>
          <w:iCs w:val="1"/>
          <w:rtl w:val="0"/>
          <w:lang w:val="en-US"/>
        </w:rPr>
        <w:t>Philosophical Transactions of the Royal Society B</w:t>
      </w:r>
      <w:r>
        <w:rPr>
          <w:rFonts w:ascii="Arial" w:hAnsi="Arial"/>
          <w:rtl w:val="0"/>
        </w:rPr>
        <w:t xml:space="preserve"> 371, no. 1696 (2016): 20150164.</w:t>
      </w:r>
    </w:p>
  </w:footnote>
  <w:footnote w:id="3">
    <w:p>
      <w:pPr>
        <w:pStyle w:val="Word Default Style"/>
      </w:pPr>
      <w:r>
        <w:rPr>
          <w:rStyle w:val="footnote reference"/>
        </w:rPr>
        <w:footnoteRef/>
      </w:r>
      <w:r>
        <w:rPr>
          <w:rFonts w:ascii="Arial" w:hAnsi="Arial"/>
          <w:rtl w:val="0"/>
          <w:lang w:val="en-US"/>
        </w:rPr>
        <w:t>Anthony Vondoom, "Stacked Contingency: Chromosomal Fusion, Climate Mosaics, and Niche Construction in the Divergence of Hominins from Other Great Apes," Figshare (2026), DOI: 10.6084/m9.figshare.32719968. Section 5 develops the niche construction and Baldwin effect mechanisms.</w:t>
      </w:r>
    </w:p>
  </w:footnote>
  <w:footnote w:id="4">
    <w:p>
      <w:pPr>
        <w:pStyle w:val="Word Default Style"/>
      </w:pPr>
      <w:r>
        <w:rPr>
          <w:rStyle w:val="footnote reference"/>
        </w:rPr>
        <w:footnoteRef/>
      </w:r>
      <w:r>
        <w:rPr>
          <w:rFonts w:ascii="Arial" w:hAnsi="Arial"/>
          <w:rtl w:val="0"/>
          <w:lang w:val="en-US"/>
        </w:rPr>
        <w:t>Vondoom, "Civilization is Rehearsed," DOI: 10.5281/zenodo.19170162, Section 3. The DSSM Stage 1 mechanism is embodied familiarity generated through repeated cross-contextual recognition of shared signatures.</w:t>
      </w:r>
    </w:p>
  </w:footnote>
  <w:footnote w:id="5">
    <w:p>
      <w:pPr>
        <w:pStyle w:val="Word Default Style"/>
      </w:pPr>
      <w:r>
        <w:rPr>
          <w:rStyle w:val="footnote reference"/>
        </w:rPr>
        <w:footnoteRef/>
      </w:r>
      <w:r>
        <w:rPr>
          <w:rFonts w:ascii="Arial" w:hAnsi="Arial"/>
          <w:rtl w:val="0"/>
          <w:lang w:val="it-IT"/>
        </w:rPr>
        <w:t xml:space="preserve">Stanley Finger and Marco Piccolino, </w:t>
      </w:r>
      <w:r>
        <w:rPr>
          <w:rFonts w:ascii="Arial" w:hAnsi="Arial"/>
          <w:i w:val="1"/>
          <w:iCs w:val="1"/>
          <w:rtl w:val="0"/>
          <w:lang w:val="en-US"/>
        </w:rPr>
        <w:t>The Shocking History of Electric Fishes: From Ancient Epochs to the Birth of Modern Neurophysiology</w:t>
      </w:r>
      <w:r>
        <w:rPr>
          <w:rFonts w:ascii="Arial" w:hAnsi="Arial"/>
          <w:rtl w:val="0"/>
          <w:lang w:val="en-US"/>
        </w:rPr>
        <w:t xml:space="preserve"> (Oxford: Oxford University Press, 2011). Chapter 1 documents the depiction of </w:t>
      </w:r>
      <w:r>
        <w:rPr>
          <w:rFonts w:ascii="Arial" w:hAnsi="Arial"/>
          <w:i w:val="1"/>
          <w:iCs w:val="1"/>
          <w:rtl w:val="0"/>
        </w:rPr>
        <w:t>Malapterurus electricus</w:t>
      </w:r>
      <w:r>
        <w:rPr>
          <w:rFonts w:ascii="Arial" w:hAnsi="Arial"/>
          <w:rtl w:val="0"/>
          <w:lang w:val="en-US"/>
        </w:rPr>
        <w:t xml:space="preserve"> in Egyptian tomb art from the predynastic period and reviews the evidence for deliberate electrical fish use in pain management. The figure of up to 350 volts for </w:t>
      </w:r>
      <w:r>
        <w:rPr>
          <w:rFonts w:ascii="Arial" w:hAnsi="Arial"/>
          <w:i w:val="1"/>
          <w:iCs w:val="1"/>
          <w:rtl w:val="0"/>
        </w:rPr>
        <w:t>Malapterurus electricus</w:t>
      </w:r>
      <w:r>
        <w:rPr>
          <w:rFonts w:ascii="Arial" w:hAnsi="Arial"/>
          <w:rtl w:val="0"/>
          <w:lang w:val="en-US"/>
        </w:rPr>
        <w:t xml:space="preserve"> discharge capacity is a commonly cited estimate; some literature places the figure higher. The precise voltage is not material to the argument; what is material is that the discharge capacity is sufficient to cause an unmistakable shock response in any human in proximity, which is not in dispute.</w:t>
      </w:r>
    </w:p>
  </w:footnote>
  <w:footnote w:id="6">
    <w:p>
      <w:pPr>
        <w:pStyle w:val="Word Default Style"/>
      </w:pPr>
      <w:r>
        <w:rPr>
          <w:rStyle w:val="footnote reference"/>
        </w:rPr>
        <w:footnoteRef/>
      </w:r>
      <w:r>
        <w:rPr>
          <w:rFonts w:ascii="Arial" w:hAnsi="Arial"/>
          <w:rtl w:val="0"/>
          <w:lang w:val="en-US"/>
        </w:rPr>
        <w:t xml:space="preserve">The Narmer Palette (c. 3100 BCE) depicts the electric catfish in a central compositional position on both faces. See Finger and Piccolino, </w:t>
      </w:r>
      <w:r>
        <w:rPr>
          <w:rFonts w:ascii="Arial" w:hAnsi="Arial"/>
          <w:i w:val="1"/>
          <w:iCs w:val="1"/>
          <w:rtl w:val="0"/>
          <w:lang w:val="en-US"/>
        </w:rPr>
        <w:t>The Shocking History of Electric Fishes</w:t>
      </w:r>
      <w:r>
        <w:rPr>
          <w:rFonts w:ascii="Arial" w:hAnsi="Arial"/>
          <w:rtl w:val="0"/>
        </w:rPr>
        <w:t>, pp. 3-8.</w:t>
      </w:r>
    </w:p>
  </w:footnote>
  <w:footnote w:id="7">
    <w:p>
      <w:pPr>
        <w:pStyle w:val="Word Default Style"/>
      </w:pPr>
      <w:r>
        <w:rPr>
          <w:rStyle w:val="footnote reference"/>
        </w:rPr>
        <w:footnoteRef/>
      </w:r>
      <w:r>
        <w:rPr>
          <w:rFonts w:ascii="Arial" w:hAnsi="Arial"/>
          <w:rtl w:val="0"/>
          <w:lang w:val="en-US"/>
        </w:rPr>
        <w:t xml:space="preserve">The Mastaba of Ti at Saqqara (c. 2750 BCE, Fifth Dynasty) and the Mastaba of Kagemni (c. 2340 BCE, Sixth Dynasty) both contain fishing scenes in which the electric catfish is identifiable. Ancient Egyptian papyri also record the use of the electric fish for pain relief; readers seeking the specific papyrus references are directed to Finger and Piccolino's primary source citations. See Finger and Piccolino, </w:t>
      </w:r>
      <w:r>
        <w:rPr>
          <w:rFonts w:ascii="Arial" w:hAnsi="Arial"/>
          <w:i w:val="1"/>
          <w:iCs w:val="1"/>
          <w:rtl w:val="0"/>
          <w:lang w:val="en-US"/>
        </w:rPr>
        <w:t>The Shocking History of Electric Fishes</w:t>
      </w:r>
      <w:r>
        <w:rPr>
          <w:rFonts w:ascii="Arial" w:hAnsi="Arial"/>
          <w:rtl w:val="0"/>
        </w:rPr>
        <w:t>, pp. 5-9.</w:t>
      </w:r>
    </w:p>
  </w:footnote>
  <w:footnote w:id="8">
    <w:p>
      <w:pPr>
        <w:pStyle w:val="Word Default Style"/>
      </w:pPr>
      <w:r>
        <w:rPr>
          <w:rStyle w:val="footnote reference"/>
        </w:rPr>
        <w:footnoteRef/>
      </w:r>
      <w:r>
        <w:rPr>
          <w:rFonts w:ascii="Arial" w:hAnsi="Arial"/>
          <w:rtl w:val="0"/>
        </w:rPr>
        <w:t xml:space="preserve">Aristotle, </w:t>
      </w:r>
      <w:r>
        <w:rPr>
          <w:rFonts w:ascii="Arial" w:hAnsi="Arial"/>
          <w:i w:val="1"/>
          <w:iCs w:val="1"/>
          <w:rtl w:val="0"/>
          <w:lang w:val="it-IT"/>
        </w:rPr>
        <w:t>De Anima</w:t>
      </w:r>
      <w:r>
        <w:rPr>
          <w:rFonts w:ascii="Arial" w:hAnsi="Arial"/>
          <w:rtl w:val="0"/>
          <w:lang w:val="en-US"/>
        </w:rPr>
        <w:t>, I.2, 405a19-21. Aristotle attributes to Thales of Miletus (c. 624-546 BCE) the observation that amber, when rubbed, attracts light objects. This is the earliest surviving textual record of the static electricity phenomenon.</w:t>
      </w:r>
    </w:p>
  </w:footnote>
  <w:footnote w:id="9">
    <w:p>
      <w:pPr>
        <w:pStyle w:val="Word Default Style"/>
      </w:pPr>
      <w:r>
        <w:rPr>
          <w:rStyle w:val="footnote reference"/>
        </w:rPr>
        <w:footnoteRef/>
      </w:r>
      <w:r>
        <w:rPr>
          <w:rFonts w:ascii="Arial" w:hAnsi="Arial"/>
          <w:rtl w:val="0"/>
          <w:lang w:val="en-US"/>
        </w:rPr>
        <w:t xml:space="preserve">The Greek term </w:t>
      </w:r>
      <w:r>
        <w:rPr>
          <w:rFonts w:ascii="Arial" w:hAnsi="Arial"/>
          <w:i w:val="1"/>
          <w:iCs w:val="1"/>
          <w:rtl w:val="0"/>
        </w:rPr>
        <w:t>elektron</w:t>
      </w:r>
      <w:r>
        <w:rPr>
          <w:rFonts w:ascii="Arial" w:hAnsi="Arial"/>
          <w:rtl w:val="0"/>
          <w:lang w:val="en-US"/>
        </w:rPr>
        <w:t xml:space="preserve"> (amber) became the root of the modern English word "electricity" through William Gilbert's </w:t>
      </w:r>
      <w:r>
        <w:rPr>
          <w:rFonts w:ascii="Arial" w:hAnsi="Arial"/>
          <w:i w:val="1"/>
          <w:iCs w:val="1"/>
          <w:rtl w:val="0"/>
          <w:lang w:val="it-IT"/>
        </w:rPr>
        <w:t>De Magnete</w:t>
      </w:r>
      <w:r>
        <w:rPr>
          <w:rFonts w:ascii="Arial" w:hAnsi="Arial"/>
          <w:rtl w:val="0"/>
          <w:lang w:val="en-US"/>
        </w:rPr>
        <w:t xml:space="preserve"> (1600), in which Gilbert coined the term </w:t>
      </w:r>
      <w:r>
        <w:rPr>
          <w:rFonts w:ascii="Arial" w:hAnsi="Arial"/>
          <w:i w:val="1"/>
          <w:iCs w:val="1"/>
          <w:rtl w:val="0"/>
        </w:rPr>
        <w:t>electricus</w:t>
      </w:r>
      <w:r>
        <w:rPr>
          <w:rFonts w:ascii="Arial" w:hAnsi="Arial"/>
          <w:rtl w:val="0"/>
          <w:lang w:val="en-US"/>
        </w:rPr>
        <w:t>. The nomenclature encodes the ancient observation.</w:t>
      </w:r>
    </w:p>
  </w:footnote>
  <w:footnote w:id="10">
    <w:p>
      <w:pPr>
        <w:pStyle w:val="Word Default Style"/>
      </w:pPr>
      <w:r>
        <w:rPr>
          <w:rStyle w:val="footnote reference"/>
        </w:rPr>
        <w:footnoteRef/>
      </w:r>
      <w:r>
        <w:rPr>
          <w:rFonts w:ascii="Arial" w:hAnsi="Arial"/>
          <w:rtl w:val="0"/>
          <w:lang w:val="en-US"/>
        </w:rPr>
        <w:t xml:space="preserve">Scribonius Largus, </w:t>
      </w:r>
      <w:r>
        <w:rPr>
          <w:rFonts w:ascii="Arial" w:hAnsi="Arial"/>
          <w:i w:val="1"/>
          <w:iCs w:val="1"/>
          <w:rtl w:val="0"/>
          <w:lang w:val="es-ES_tradnl"/>
        </w:rPr>
        <w:t>Compositiones</w:t>
      </w:r>
      <w:r>
        <w:rPr>
          <w:rFonts w:ascii="Arial" w:hAnsi="Arial"/>
          <w:rtl w:val="0"/>
          <w:lang w:val="it-IT"/>
        </w:rPr>
        <w:t xml:space="preserve">, S.11 (headache) and S.162 (gout), c. 47 AD. Edition: S. Sconocchia, ed., </w:t>
      </w:r>
      <w:r>
        <w:rPr>
          <w:rFonts w:ascii="Arial" w:hAnsi="Arial"/>
          <w:i w:val="1"/>
          <w:iCs w:val="1"/>
          <w:rtl w:val="0"/>
        </w:rPr>
        <w:t>Scribonii Largi Compositiones</w:t>
      </w:r>
      <w:r>
        <w:rPr>
          <w:rFonts w:ascii="Arial" w:hAnsi="Arial"/>
          <w:rtl w:val="0"/>
          <w:lang w:val="en-US"/>
        </w:rPr>
        <w:t xml:space="preserve"> (Leipzig: Teubner, 1983). Largus prescribes placing a live black torpedo fish (</w:t>
      </w:r>
      <w:r>
        <w:rPr>
          <w:rFonts w:ascii="Arial" w:hAnsi="Arial"/>
          <w:i w:val="1"/>
          <w:iCs w:val="1"/>
          <w:rtl w:val="0"/>
          <w:lang w:val="it-IT"/>
        </w:rPr>
        <w:t>Torpedo nobiliana</w:t>
      </w:r>
      <w:r>
        <w:rPr>
          <w:rFonts w:ascii="Arial" w:hAnsi="Arial"/>
          <w:rtl w:val="0"/>
          <w:lang w:val="en-US"/>
        </w:rPr>
        <w:t>) on the site of pain until the area becomes numb.</w:t>
      </w:r>
    </w:p>
  </w:footnote>
  <w:footnote w:id="11">
    <w:p>
      <w:pPr>
        <w:pStyle w:val="Word Default Style"/>
      </w:pPr>
      <w:r>
        <w:rPr>
          <w:rStyle w:val="footnote reference"/>
        </w:rPr>
        <w:footnoteRef/>
      </w:r>
      <w:r>
        <w:rPr>
          <w:rFonts w:ascii="Arial" w:hAnsi="Arial"/>
          <w:rtl w:val="0"/>
          <w:lang w:val="en-US"/>
        </w:rPr>
        <w:t xml:space="preserve">Pliny the Elder, </w:t>
      </w:r>
      <w:r>
        <w:rPr>
          <w:rFonts w:ascii="Arial" w:hAnsi="Arial"/>
          <w:i w:val="1"/>
          <w:iCs w:val="1"/>
          <w:rtl w:val="0"/>
          <w:lang w:val="pt-PT"/>
        </w:rPr>
        <w:t>Naturalis Historia</w:t>
      </w:r>
      <w:r>
        <w:rPr>
          <w:rFonts w:ascii="Arial" w:hAnsi="Arial"/>
          <w:rtl w:val="0"/>
          <w:lang w:val="en-US"/>
        </w:rPr>
        <w:t>, XXXII.1-7. Pliny describes the torpedo fish's capacity to transmit its numbing effect through water, through a fishing line, and through a held wooden pole.</w:t>
      </w:r>
    </w:p>
  </w:footnote>
  <w:footnote w:id="12">
    <w:p>
      <w:pPr>
        <w:pStyle w:val="Word Default Style"/>
      </w:pPr>
      <w:r>
        <w:rPr>
          <w:rStyle w:val="footnote reference"/>
        </w:rPr>
        <w:footnoteRef/>
      </w:r>
      <w:r>
        <w:rPr>
          <w:rFonts w:ascii="Arial" w:hAnsi="Arial"/>
          <w:rtl w:val="0"/>
          <w:lang w:val="en-US"/>
        </w:rPr>
        <w:t>Anthony Vondoom, "Civilization is Rehearsed: The Deep Symbolic Systems Model," Zenodo (2026), DOI: 10.5281/zenodo.19170162. Cross-domain pattern matching under high-salience conditions is identified as the Stage 1 mechanism of symbolic familiarity.</w:t>
      </w:r>
    </w:p>
  </w:footnote>
  <w:footnote w:id="13">
    <w:p>
      <w:pPr>
        <w:pStyle w:val="Word Default Style"/>
      </w:pPr>
      <w:r>
        <w:rPr>
          <w:rStyle w:val="footnote reference"/>
        </w:rPr>
        <w:footnoteRef/>
      </w:r>
      <w:r>
        <w:rPr>
          <w:rFonts w:ascii="Arial" w:hAnsi="Arial"/>
          <w:rtl w:val="0"/>
        </w:rPr>
        <w:t xml:space="preserve">Mircea Eliade, </w:t>
      </w:r>
      <w:r>
        <w:rPr>
          <w:rFonts w:ascii="Arial" w:hAnsi="Arial"/>
          <w:i w:val="1"/>
          <w:iCs w:val="1"/>
          <w:rtl w:val="0"/>
          <w:lang w:val="en-US"/>
        </w:rPr>
        <w:t>Patterns in Comparative Religion</w:t>
      </w:r>
      <w:r>
        <w:rPr>
          <w:rFonts w:ascii="Arial" w:hAnsi="Arial"/>
          <w:rtl w:val="0"/>
          <w:lang w:val="en-US"/>
        </w:rPr>
        <w:t xml:space="preserve"> (London: Sheed and Ward, 1958), chapters 2-3. Eliade's framework for reading mythological systems as encoded experiences of natural phenomena provides the methodological basis for treating cross-cultural weapon encoding as behavioral data.</w:t>
      </w:r>
    </w:p>
  </w:footnote>
  <w:footnote w:id="14">
    <w:p>
      <w:pPr>
        <w:pStyle w:val="Word Default Style"/>
      </w:pPr>
      <w:r>
        <w:rPr>
          <w:rStyle w:val="footnote reference"/>
        </w:rPr>
        <w:footnoteRef/>
      </w:r>
      <w:r>
        <w:rPr>
          <w:rFonts w:ascii="Arial" w:hAnsi="Arial"/>
          <w:rtl w:val="0"/>
          <w:lang w:val="de-DE"/>
        </w:rPr>
        <w:t xml:space="preserve">Hesiod, </w:t>
      </w:r>
      <w:r>
        <w:rPr>
          <w:rFonts w:ascii="Arial" w:hAnsi="Arial"/>
          <w:i w:val="1"/>
          <w:iCs w:val="1"/>
          <w:rtl w:val="0"/>
        </w:rPr>
        <w:t>Theogony</w:t>
      </w:r>
      <w:r>
        <w:rPr>
          <w:rFonts w:ascii="Arial" w:hAnsi="Arial"/>
          <w:rtl w:val="0"/>
          <w:lang w:val="en-US"/>
        </w:rPr>
        <w:t>, 687-712. The thunderbolts are described as physical objects manufactured by the Cyclopes, capable of burning, blinding, and destroying on contact.</w:t>
      </w:r>
    </w:p>
  </w:footnote>
  <w:footnote w:id="15">
    <w:p>
      <w:pPr>
        <w:pStyle w:val="Word Default Style"/>
      </w:pPr>
      <w:r>
        <w:rPr>
          <w:rStyle w:val="footnote reference"/>
        </w:rPr>
        <w:footnoteRef/>
      </w:r>
      <w:r>
        <w:rPr>
          <w:rFonts w:ascii="Arial" w:hAnsi="Arial"/>
          <w:rtl w:val="0"/>
          <w:lang w:val="en-US"/>
        </w:rPr>
        <w:t>Rigveda 1.32 (the Vritra hymn). The vajra produces effects - paralysis, destruction, splitting of solid matter - that no conventional weapon replicates. See also Rigveda 2.12, 8.6, and 10.89.</w:t>
      </w:r>
    </w:p>
  </w:footnote>
  <w:footnote w:id="16">
    <w:p>
      <w:pPr>
        <w:pStyle w:val="Word Default Style"/>
      </w:pPr>
      <w:r>
        <w:rPr>
          <w:rStyle w:val="footnote reference"/>
        </w:rPr>
        <w:footnoteRef/>
      </w:r>
      <w:r>
        <w:rPr>
          <w:rFonts w:ascii="Arial" w:hAnsi="Arial"/>
          <w:rtl w:val="0"/>
        </w:rPr>
        <w:t xml:space="preserve">Snorri Sturluson, </w:t>
      </w:r>
      <w:r>
        <w:rPr>
          <w:rFonts w:ascii="Arial" w:hAnsi="Arial"/>
          <w:i w:val="1"/>
          <w:iCs w:val="1"/>
          <w:rtl w:val="0"/>
        </w:rPr>
        <w:t>Prose Edda (Gylfaginning)</w:t>
      </w:r>
      <w:r>
        <w:rPr>
          <w:rFonts w:ascii="Arial" w:hAnsi="Arial"/>
          <w:rtl w:val="0"/>
          <w:lang w:val="en-US"/>
        </w:rPr>
        <w:t>, c. 1220. Translated by Anthony Faulkes. London: Everyman, 1987.</w:t>
      </w:r>
    </w:p>
  </w:footnote>
  <w:footnote w:id="17">
    <w:p>
      <w:pPr>
        <w:pStyle w:val="Word Default Style"/>
      </w:pPr>
      <w:r>
        <w:rPr>
          <w:rStyle w:val="footnote reference"/>
        </w:rPr>
        <w:footnoteRef/>
      </w:r>
      <w:r>
        <w:rPr>
          <w:rFonts w:ascii="Arial" w:hAnsi="Arial"/>
          <w:rtl w:val="0"/>
          <w:lang w:val="en-US"/>
        </w:rPr>
        <w:t>The convergence across Mesoamerican (Tlaloc, Chaac), Slavic (Perun), Celtic (Taranis), and Japanese (Raijin) traditions cannot be explained by diffusion from a shared Indo-European source. The independent convergence on weapon-not-tool encoding constitutes evidence of a shared underlying experience.</w:t>
      </w:r>
    </w:p>
  </w:footnote>
  <w:footnote w:id="18">
    <w:p>
      <w:pPr>
        <w:pStyle w:val="Word Default Style"/>
      </w:pPr>
      <w:r>
        <w:rPr>
          <w:rStyle w:val="footnote reference"/>
        </w:rPr>
        <w:footnoteRef/>
      </w:r>
      <w:r>
        <w:rPr>
          <w:rFonts w:ascii="Arial" w:hAnsi="Arial"/>
          <w:rtl w:val="0"/>
          <w:lang w:val="de-DE"/>
        </w:rPr>
        <w:t xml:space="preserve">Martin L. West, </w:t>
      </w:r>
      <w:r>
        <w:rPr>
          <w:rFonts w:ascii="Arial" w:hAnsi="Arial"/>
          <w:i w:val="1"/>
          <w:iCs w:val="1"/>
          <w:rtl w:val="0"/>
          <w:lang w:val="en-US"/>
        </w:rPr>
        <w:t>Indo-European Poetry and Myth</w:t>
      </w:r>
      <w:r>
        <w:rPr>
          <w:rFonts w:ascii="Arial" w:hAnsi="Arial"/>
          <w:rtl w:val="0"/>
          <w:lang w:val="en-US"/>
        </w:rPr>
        <w:t xml:space="preserve"> (Oxford: Oxford University Press, 2007), pp. 240-260. West documents the shared thunderbolt-wielding figure across the Indo-European tradition, demonstrating structural and lexical parallels between the Greek </w:t>
      </w:r>
      <w:r>
        <w:rPr>
          <w:rFonts w:ascii="Arial" w:hAnsi="Arial"/>
          <w:i w:val="1"/>
          <w:iCs w:val="1"/>
          <w:rtl w:val="0"/>
        </w:rPr>
        <w:t>keraunos</w:t>
      </w:r>
      <w:r>
        <w:rPr>
          <w:rFonts w:ascii="Arial" w:hAnsi="Arial"/>
          <w:rtl w:val="0"/>
          <w:lang w:val="en-US"/>
        </w:rPr>
        <w:t xml:space="preserve">, the Vedic </w:t>
      </w:r>
      <w:r>
        <w:rPr>
          <w:rFonts w:ascii="Arial" w:hAnsi="Arial"/>
          <w:i w:val="1"/>
          <w:iCs w:val="1"/>
          <w:rtl w:val="0"/>
        </w:rPr>
        <w:t>vajra</w:t>
      </w:r>
      <w:r>
        <w:rPr>
          <w:rFonts w:ascii="Arial" w:hAnsi="Arial"/>
          <w:rtl w:val="0"/>
          <w:lang w:val="en-US"/>
        </w:rPr>
        <w:t>, and cognate terms in Baltic, Slavic, and Celtic traditions.</w:t>
      </w:r>
    </w:p>
  </w:footnote>
  <w:footnote w:id="19">
    <w:p>
      <w:pPr>
        <w:pStyle w:val="Word Default Style"/>
      </w:pPr>
      <w:r>
        <w:rPr>
          <w:rStyle w:val="footnote reference"/>
        </w:rPr>
        <w:footnoteRef/>
      </w:r>
      <w:r>
        <w:rPr>
          <w:rFonts w:ascii="Arial" w:hAnsi="Arial"/>
          <w:rtl w:val="0"/>
        </w:rPr>
        <w:t xml:space="preserve">Jaan Puhvel, </w:t>
      </w:r>
      <w:r>
        <w:rPr>
          <w:rFonts w:ascii="Arial" w:hAnsi="Arial"/>
          <w:i w:val="1"/>
          <w:iCs w:val="1"/>
          <w:rtl w:val="0"/>
          <w:lang w:val="en-US"/>
        </w:rPr>
        <w:t>Comparative Mythology</w:t>
      </w:r>
      <w:r>
        <w:rPr>
          <w:rFonts w:ascii="Arial" w:hAnsi="Arial"/>
          <w:rtl w:val="0"/>
          <w:lang w:val="en-US"/>
        </w:rPr>
        <w:t xml:space="preserve"> (Baltimore: Johns Hopkins University Press, 1987), pp. 60-90.</w:t>
      </w:r>
    </w:p>
  </w:footnote>
  <w:footnote w:id="20">
    <w:p>
      <w:pPr>
        <w:pStyle w:val="Word Default Style"/>
      </w:pPr>
      <w:r>
        <w:rPr>
          <w:rStyle w:val="footnote reference"/>
        </w:rPr>
        <w:footnoteRef/>
      </w:r>
      <w:r>
        <w:rPr>
          <w:rFonts w:ascii="Arial" w:hAnsi="Arial"/>
          <w:rtl w:val="0"/>
          <w:lang w:val="en-US"/>
        </w:rPr>
        <w:t>In the mythological record, fire is both sacred and domestic: Prometheus gives it to humans; Agni is hearth-god and cosmic deity simultaneously. Lightning is not domesticated in any tradition surveyed. The asymmetry in cultural encoding tracks a real asymmetry in the human relationship to each phenomenon.</w:t>
      </w:r>
    </w:p>
  </w:footnote>
  <w:footnote w:id="21">
    <w:p>
      <w:pPr>
        <w:pStyle w:val="Word Default Style"/>
      </w:pPr>
      <w:r>
        <w:rPr>
          <w:rStyle w:val="footnote reference"/>
        </w:rPr>
        <w:footnoteRef/>
      </w:r>
      <w:r>
        <w:rPr>
          <w:rFonts w:ascii="Arial" w:hAnsi="Arial"/>
          <w:rtl w:val="0"/>
          <w:lang w:val="en-US"/>
        </w:rPr>
        <w:t xml:space="preserve">Volcanic lightning is a documented physical phenomenon generated by the triboelectric charging of ash, rock, and ice particles colliding in volcanic eruption plumes. The mechanism - charge separation through particle friction - is physically identical to the triboelectric mechanism that generates static electricity when amber is rubbed against fur or wool. See S.R. McNutt and E.R. Williams, "Volcanic Lightning: Global Statistics and Overview," </w:t>
      </w:r>
      <w:r>
        <w:rPr>
          <w:rFonts w:ascii="Arial" w:hAnsi="Arial"/>
          <w:i w:val="1"/>
          <w:iCs w:val="1"/>
          <w:rtl w:val="0"/>
          <w:lang w:val="en-US"/>
        </w:rPr>
        <w:t>Journal of Volcanology and Geothermal Research</w:t>
      </w:r>
      <w:r>
        <w:rPr>
          <w:rFonts w:ascii="Arial" w:hAnsi="Arial"/>
          <w:rtl w:val="0"/>
          <w:lang w:val="en-US"/>
        </w:rPr>
        <w:t xml:space="preserve"> 102 (2010): 65-78; and the review in R. Behnke et al., "Overview of the 2009 Redoubt Volcano Eruption, Alaska," </w:t>
      </w:r>
      <w:r>
        <w:rPr>
          <w:rFonts w:ascii="Arial" w:hAnsi="Arial"/>
          <w:i w:val="1"/>
          <w:iCs w:val="1"/>
          <w:rtl w:val="0"/>
          <w:lang w:val="en-US"/>
        </w:rPr>
        <w:t>Journal of Volcanology and Geothermal Research</w:t>
      </w:r>
      <w:r>
        <w:rPr>
          <w:rFonts w:ascii="Arial" w:hAnsi="Arial"/>
          <w:rtl w:val="0"/>
          <w:lang w:val="en-US"/>
        </w:rPr>
        <w:t xml:space="preserve"> 259 (2013): 2-15. The key evidential point is that ancient witnesses to volcanic eruptions would have observed lightning as a consistent and prominent component of the event, arising from the same physical process they could replicate at small scale with amber or electric fish.</w:t>
      </w:r>
    </w:p>
  </w:footnote>
  <w:footnote w:id="22">
    <w:p>
      <w:pPr>
        <w:pStyle w:val="Word Default Style"/>
      </w:pPr>
      <w:r>
        <w:rPr>
          <w:rStyle w:val="footnote reference"/>
        </w:rPr>
        <w:footnoteRef/>
      </w:r>
      <w:r>
        <w:rPr>
          <w:rFonts w:ascii="Arial" w:hAnsi="Arial"/>
          <w:rtl w:val="0"/>
          <w:lang w:val="en-US"/>
        </w:rPr>
        <w:t xml:space="preserve">Pliny the Younger, Letters VI.16 and VI.20, addressed to Tacitus, c. 104-107 AD. These two letters constitute the earliest surviving eyewitness account of a volcanic eruption and include explicit description of lightning and electrical phenomena within the ash column above Vesuvius during the eruption of 79 AD. The standard edition and translation is Betty Radice, </w:t>
      </w:r>
      <w:r>
        <w:rPr>
          <w:rFonts w:ascii="Arial" w:hAnsi="Arial"/>
          <w:i w:val="1"/>
          <w:iCs w:val="1"/>
          <w:rtl w:val="0"/>
          <w:lang w:val="en-US"/>
        </w:rPr>
        <w:t>The Letters of the Younger Pliny</w:t>
      </w:r>
      <w:r>
        <w:rPr>
          <w:rFonts w:ascii="Arial" w:hAnsi="Arial"/>
          <w:rtl w:val="0"/>
          <w:lang w:val="en-US"/>
        </w:rPr>
        <w:t xml:space="preserve"> (London: Penguin Classics, 1963).</w:t>
      </w:r>
    </w:p>
  </w:footnote>
  <w:footnote w:id="23">
    <w:p>
      <w:pPr>
        <w:pStyle w:val="Word Default Style"/>
      </w:pPr>
      <w:r>
        <w:rPr>
          <w:rStyle w:val="footnote reference"/>
        </w:rPr>
        <w:footnoteRef/>
      </w:r>
      <w:r>
        <w:rPr>
          <w:rFonts w:ascii="Arial" w:hAnsi="Arial"/>
          <w:rtl w:val="0"/>
        </w:rPr>
        <w:t xml:space="preserve">Valmiki, </w:t>
      </w:r>
      <w:r>
        <w:rPr>
          <w:rFonts w:ascii="Arial" w:hAnsi="Arial"/>
          <w:i w:val="1"/>
          <w:iCs w:val="1"/>
          <w:rtl w:val="0"/>
        </w:rPr>
        <w:t>Ramayana</w:t>
      </w:r>
      <w:r>
        <w:rPr>
          <w:rFonts w:ascii="Arial" w:hAnsi="Arial"/>
          <w:rtl w:val="0"/>
          <w:lang w:val="en-US"/>
        </w:rPr>
        <w:t xml:space="preserve">, Yuddha Kanda, chapters 89-90; </w:t>
      </w:r>
      <w:r>
        <w:rPr>
          <w:rFonts w:ascii="Arial" w:hAnsi="Arial"/>
          <w:i w:val="1"/>
          <w:iCs w:val="1"/>
          <w:rtl w:val="0"/>
          <w:lang w:val="de-DE"/>
        </w:rPr>
        <w:t>Mahabharata</w:t>
      </w:r>
      <w:r>
        <w:rPr>
          <w:rFonts w:ascii="Arial" w:hAnsi="Arial"/>
          <w:rtl w:val="0"/>
          <w:lang w:val="en-US"/>
        </w:rPr>
        <w:t>, Drona Parva, chapters 192-200. The Astras are exclusively gifted from divine to heroic figures; activated through specific invocation; described as producing blinding light, destructive heat, and area-wide incapacitation. The specific incident of Ashwatthama's unrecalled Brahmastra deployment and its catastrophic consequences is described in the Sauptika Parva; see footnote 22.</w:t>
      </w:r>
    </w:p>
  </w:footnote>
  <w:footnote w:id="24">
    <w:p>
      <w:pPr>
        <w:pStyle w:val="Word Default Style"/>
      </w:pPr>
      <w:r>
        <w:rPr>
          <w:rStyle w:val="footnote reference"/>
        </w:rPr>
        <w:footnoteRef/>
      </w:r>
      <w:r>
        <w:rPr>
          <w:rFonts w:ascii="Arial" w:hAnsi="Arial"/>
          <w:rtl w:val="0"/>
          <w:lang w:val="de-DE"/>
        </w:rPr>
        <w:t xml:space="preserve">Pseudo-Apollodorus, </w:t>
      </w:r>
      <w:r>
        <w:rPr>
          <w:rFonts w:ascii="Arial" w:hAnsi="Arial"/>
          <w:i w:val="1"/>
          <w:iCs w:val="1"/>
          <w:rtl w:val="0"/>
          <w:lang w:val="en-US"/>
        </w:rPr>
        <w:t>Bibliotheca</w:t>
      </w:r>
      <w:r>
        <w:rPr>
          <w:rFonts w:ascii="Arial" w:hAnsi="Arial"/>
          <w:rtl w:val="0"/>
          <w:lang w:val="en-US"/>
        </w:rPr>
        <w:t xml:space="preserve">, 1.9.7: Salmoneus "by dragging dried hides, with bronze kettles, at his chariot, said that he thundered, and by flinging lighted torches at the sky said that he lightened. But Zeus struck him with a thunderbolt, and wiped out the city he had founded with all its inhabitants." The story also appears in Hyginus, </w:t>
      </w:r>
      <w:r>
        <w:rPr>
          <w:rFonts w:ascii="Arial" w:hAnsi="Arial"/>
          <w:i w:val="1"/>
          <w:iCs w:val="1"/>
          <w:rtl w:val="0"/>
        </w:rPr>
        <w:t>Fabulae</w:t>
      </w:r>
      <w:r>
        <w:rPr>
          <w:rFonts w:ascii="Arial" w:hAnsi="Arial"/>
          <w:rtl w:val="0"/>
          <w:lang w:val="en-US"/>
        </w:rPr>
        <w:t xml:space="preserve">, 60-61, and Virgil, </w:t>
      </w:r>
      <w:r>
        <w:rPr>
          <w:rFonts w:ascii="Arial" w:hAnsi="Arial"/>
          <w:i w:val="1"/>
          <w:iCs w:val="1"/>
          <w:rtl w:val="0"/>
          <w:lang w:val="de-DE"/>
        </w:rPr>
        <w:t>Aeneid</w:t>
      </w:r>
      <w:r>
        <w:rPr>
          <w:rFonts w:ascii="Arial" w:hAnsi="Arial"/>
          <w:rtl w:val="0"/>
        </w:rPr>
        <w:t>, VI.585.</w:t>
      </w:r>
    </w:p>
  </w:footnote>
  <w:footnote w:id="25">
    <w:p>
      <w:pPr>
        <w:pStyle w:val="Word Default Style"/>
      </w:pPr>
      <w:r>
        <w:rPr>
          <w:rStyle w:val="footnote reference"/>
        </w:rPr>
        <w:footnoteRef/>
      </w:r>
      <w:r>
        <w:rPr>
          <w:rFonts w:ascii="Arial" w:hAnsi="Arial"/>
          <w:rtl w:val="0"/>
          <w:lang w:val="en-US"/>
        </w:rPr>
        <w:t>The Mahabharata's Sauptika Parva describes Ashwatthama deploying the Brahmastra in rage after Kurukshetra. Unable to recall it - he lacked the knowledge of withdrawal - he was cursed by Krishna and the weapon produced effects that could not be reversed. The Brahmastra is explicitly described as destroying its user if deployed without the complete knowledge of its invocation and recall sequence. For the broader context of Astra exchanges during the Kurukshetra war, see footnote 18 and the Drona Parva citations therein.</w:t>
      </w:r>
    </w:p>
  </w:footnote>
  <w:footnote w:id="26">
    <w:p>
      <w:pPr>
        <w:pStyle w:val="Word Default Style"/>
      </w:pPr>
      <w:r>
        <w:rPr>
          <w:rStyle w:val="footnote reference"/>
        </w:rPr>
        <w:footnoteRef/>
      </w:r>
      <w:r>
        <w:rPr>
          <w:rFonts w:ascii="Arial" w:hAnsi="Arial"/>
          <w:rtl w:val="0"/>
          <w:lang w:val="en-US"/>
        </w:rPr>
        <w:t xml:space="preserve">Capaneus: see Aeschylus, </w:t>
      </w:r>
      <w:r>
        <w:rPr>
          <w:rFonts w:ascii="Arial" w:hAnsi="Arial"/>
          <w:i w:val="1"/>
          <w:iCs w:val="1"/>
          <w:rtl w:val="0"/>
          <w:lang w:val="en-US"/>
        </w:rPr>
        <w:t>Seven Against Thebes</w:t>
      </w:r>
      <w:r>
        <w:rPr>
          <w:rFonts w:ascii="Arial" w:hAnsi="Arial"/>
          <w:rtl w:val="0"/>
          <w:lang w:val="en-US"/>
        </w:rPr>
        <w:t xml:space="preserve">, lines 422-456, for the boast and its consequences; and Apollodorus, </w:t>
      </w:r>
      <w:r>
        <w:rPr>
          <w:rFonts w:ascii="Arial" w:hAnsi="Arial"/>
          <w:i w:val="1"/>
          <w:iCs w:val="1"/>
          <w:rtl w:val="0"/>
          <w:lang w:val="en-US"/>
        </w:rPr>
        <w:t>Bibliotheca</w:t>
      </w:r>
      <w:r>
        <w:rPr>
          <w:rFonts w:ascii="Arial" w:hAnsi="Arial"/>
          <w:rtl w:val="0"/>
          <w:lang w:val="en-US"/>
        </w:rPr>
        <w:t xml:space="preserve">, 3.6.7, for the narrative account. Capaneus declared that not even Zeus could prevent him from sacking Thebes. Zeus struck him from the walls with a thunderbolt as he was climbing. The story is also referenced in Euripides, </w:t>
      </w:r>
      <w:r>
        <w:rPr>
          <w:rFonts w:ascii="Arial" w:hAnsi="Arial"/>
          <w:i w:val="1"/>
          <w:iCs w:val="1"/>
          <w:rtl w:val="0"/>
          <w:lang w:val="en-US"/>
        </w:rPr>
        <w:t>Suppliants</w:t>
      </w:r>
      <w:r>
        <w:rPr>
          <w:rFonts w:ascii="Arial" w:hAnsi="Arial"/>
          <w:rtl w:val="0"/>
          <w:lang w:val="en-US"/>
        </w:rPr>
        <w:t>, lines 496-499. In all versions the thunderbolt is the instrument and the hubris of attempting to override divine authority is the cause - the same structural encoding as the Salmoneus myth.</w:t>
      </w:r>
    </w:p>
  </w:footnote>
  <w:footnote w:id="27">
    <w:p>
      <w:pPr>
        <w:pStyle w:val="Word Default Style"/>
      </w:pPr>
      <w:r>
        <w:rPr>
          <w:rStyle w:val="footnote reference"/>
        </w:rPr>
        <w:footnoteRef/>
      </w:r>
      <w:r>
        <w:rPr>
          <w:rFonts w:ascii="Arial" w:hAnsi="Arial"/>
          <w:rtl w:val="0"/>
          <w:lang w:val="en-US"/>
        </w:rPr>
        <w:t xml:space="preserve">Anthony Vondoom, "Cognitive Foundations of Early Egyptian Civilization: Insights from the Deep Symbolic Systems Model (DSSM)," </w:t>
      </w:r>
      <w:r>
        <w:rPr>
          <w:rFonts w:ascii="Arial" w:hAnsi="Arial"/>
          <w:i w:val="1"/>
          <w:iCs w:val="1"/>
          <w:rtl w:val="0"/>
          <w:lang w:val="en-US"/>
        </w:rPr>
        <w:t>IWNW: Journal of Archaeology</w:t>
      </w:r>
      <w:r>
        <w:rPr>
          <w:rFonts w:ascii="Arial" w:hAnsi="Arial"/>
          <w:rtl w:val="0"/>
        </w:rPr>
        <w:t xml:space="preserve"> 6 (2027, IN PRESS), DOI: 10.21608/IWNW.2026.464676.1075.</w:t>
      </w:r>
    </w:p>
  </w:footnote>
  <w:footnote w:id="28">
    <w:p>
      <w:pPr>
        <w:pStyle w:val="Word Default Style"/>
      </w:pPr>
      <w:r>
        <w:rPr>
          <w:rStyle w:val="footnote reference"/>
        </w:rPr>
        <w:footnoteRef/>
      </w:r>
      <w:r>
        <w:rPr>
          <w:rFonts w:ascii="Arial" w:hAnsi="Arial"/>
          <w:rtl w:val="0"/>
          <w:lang w:val="de-DE"/>
        </w:rPr>
        <w:t xml:space="preserve">Richard H. Wilkinson, </w:t>
      </w:r>
      <w:r>
        <w:rPr>
          <w:rFonts w:ascii="Arial" w:hAnsi="Arial"/>
          <w:i w:val="1"/>
          <w:iCs w:val="1"/>
          <w:rtl w:val="0"/>
          <w:lang w:val="en-US"/>
        </w:rPr>
        <w:t>The Complete Gods and Goddesses of Ancient Egypt</w:t>
      </w:r>
      <w:r>
        <w:rPr>
          <w:rFonts w:ascii="Arial" w:hAnsi="Arial"/>
          <w:rtl w:val="0"/>
          <w:lang w:val="en-US"/>
        </w:rPr>
        <w:t xml:space="preserve"> (London: Thames and Hudson, 2003), pp. 133-136. The Djed pillar's association with Osiris is documented in the Pyramid Texts (Utterances 220, 236, 548). The raising of the Djed ceremony (</w:t>
      </w:r>
      <w:r>
        <w:rPr>
          <w:rFonts w:ascii="Arial" w:hAnsi="Arial"/>
          <w:i w:val="1"/>
          <w:iCs w:val="1"/>
          <w:rtl w:val="0"/>
        </w:rPr>
        <w:t>Inedjed</w:t>
      </w:r>
      <w:r>
        <w:rPr>
          <w:rFonts w:ascii="Arial" w:hAnsi="Arial"/>
          <w:rtl w:val="0"/>
          <w:lang w:val="en-US"/>
        </w:rPr>
        <w:t>) is among the most important royal rituals of the Egyptian calendar.</w:t>
      </w:r>
    </w:p>
  </w:footnote>
  <w:footnote w:id="29">
    <w:p>
      <w:pPr>
        <w:pStyle w:val="Word Default Style"/>
      </w:pPr>
      <w:r>
        <w:rPr>
          <w:rStyle w:val="footnote reference"/>
        </w:rPr>
        <w:footnoteRef/>
      </w:r>
      <w:r>
        <w:rPr>
          <w:rFonts w:ascii="Arial" w:hAnsi="Arial"/>
          <w:rtl w:val="0"/>
          <w:lang w:val="en-US"/>
        </w:rPr>
        <w:t xml:space="preserve">The Dendera reliefs are located in the inner crypts of the Temple of Hathor at Dendera (Ptolemaic period, c. 50 BCE). The mainstream Egyptological interpretation - documented in the Wikipedia article on the Dendera Light and reviewed in Egyptological literature - identifies the elongated objects as representations of the deity Harsomtus (a form of Horus) as a snake emerging from a lotus inside a naos-vessel (hn), sometimes supported by a Djed pillar. See also the alternative engineering interpretation in Christopher Dunn, </w:t>
      </w:r>
      <w:r>
        <w:rPr>
          <w:rFonts w:ascii="Arial" w:hAnsi="Arial"/>
          <w:i w:val="1"/>
          <w:iCs w:val="1"/>
          <w:rtl w:val="0"/>
          <w:lang w:val="en-US"/>
        </w:rPr>
        <w:t>The Giza Power Plant</w:t>
      </w:r>
      <w:r>
        <w:rPr>
          <w:rFonts w:ascii="Arial" w:hAnsi="Arial"/>
          <w:rtl w:val="0"/>
          <w:lang w:val="en-US"/>
        </w:rPr>
        <w:t xml:space="preserve"> (Rochester, VT: Bear and Company, 1998). This paper notes both interpretations.</w:t>
      </w:r>
    </w:p>
  </w:footnote>
  <w:footnote w:id="30">
    <w:p>
      <w:pPr>
        <w:pStyle w:val="Word Default Style"/>
      </w:pPr>
      <w:r>
        <w:rPr>
          <w:rStyle w:val="footnote reference"/>
        </w:rPr>
        <w:footnoteRef/>
      </w:r>
      <w:r>
        <w:rPr>
          <w:rFonts w:ascii="Arial" w:hAnsi="Arial"/>
          <w:rtl w:val="0"/>
          <w:lang w:val="en-US"/>
        </w:rPr>
        <w:t>The evidential status of the soot argument is genuinely contested. Proponents of the alternative interpretation cite the relative cleanliness of the inner crypts as inconsistent with sustained torch use. The mainstream response invokes clean-burning sesame oil lamps with specially designed wicks capable of minimal smoke production, combined with ventilation systems of the kind documented in other Egyptian tomb and temple contexts. Neither position has been settled by systematic controlled experiment specific to the Dendera inner crypts. This paper treats the soot observation as an open question rather than a confirmed finding.</w:t>
      </w:r>
    </w:p>
  </w:footnote>
  <w:footnote w:id="31">
    <w:p>
      <w:pPr>
        <w:pStyle w:val="Word Default Style"/>
      </w:pPr>
      <w:r>
        <w:rPr>
          <w:rStyle w:val="footnote reference"/>
        </w:rPr>
        <w:footnoteRef/>
      </w:r>
      <w:r>
        <w:rPr>
          <w:rFonts w:ascii="Arial" w:hAnsi="Arial"/>
          <w:rtl w:val="0"/>
          <w:lang w:val="en-US"/>
        </w:rPr>
        <w:t>On the restricted access to the Dendera crypts: the crypts were physically inaccessible to ordinary worshippers and were used exclusively by the highest priestly personnel. The combination of restricted access and exclusively sacred function provides the structural conditions for knowledge loss: no redundancy in the transmission chain, no external verification, and no popular reproduction of whatever technique was employed within them.</w:t>
      </w:r>
    </w:p>
  </w:footnote>
  <w:footnote w:id="32">
    <w:p>
      <w:pPr>
        <w:pStyle w:val="Word Default Style"/>
      </w:pPr>
      <w:r>
        <w:rPr>
          <w:rStyle w:val="footnote reference"/>
        </w:rPr>
        <w:footnoteRef/>
      </w:r>
      <w:r>
        <w:rPr>
          <w:rFonts w:ascii="Arial" w:hAnsi="Arial"/>
          <w:rtl w:val="0"/>
          <w:lang w:val="en-US"/>
        </w:rPr>
        <w:t>The analogy to Egyptian blue pigment is directly relevant. Egyptian blue (calcium copper silicate, CaCuSi2O6) was produced with extraordinary sophistication for over 3,000 years and was the first known synthetic pigment. Its production technology was lost completely in late antiquity - no manufacturing records survived the disruption of the priestly and artisanal networks that held the knowledge - and it was not chemically reconstructed until the 19th century. Technologies held within specialized non-writing-based knowledge networks, without popular reproduction, are precisely the most vulnerable to permanent loss through demographic disruption.</w:t>
      </w:r>
    </w:p>
  </w:footnote>
  <w:footnote w:id="33">
    <w:p>
      <w:pPr>
        <w:pStyle w:val="Word Default Style"/>
      </w:pPr>
      <w:r>
        <w:rPr>
          <w:rStyle w:val="footnote reference"/>
        </w:rPr>
        <w:footnoteRef/>
      </w:r>
      <w:r>
        <w:rPr>
          <w:rFonts w:ascii="Arial" w:hAnsi="Arial"/>
          <w:rtl w:val="0"/>
          <w:lang w:val="en-US"/>
        </w:rPr>
        <w:t>A functional galvanic cell constructed from a ceramic vessel, copper cylinder, iron rod, and acidic electrolyte leaves a recognizable material signature only because three of its four components are inorganic. An equivalent device using a wooden vessel survives as nothing. Archaeological absence in this domain is a function of preservation bias, not production frequency.</w:t>
      </w:r>
    </w:p>
  </w:footnote>
  <w:footnote w:id="34">
    <w:p>
      <w:pPr>
        <w:pStyle w:val="Word Default Style"/>
      </w:pPr>
      <w:r>
        <w:rPr>
          <w:rStyle w:val="footnote reference"/>
        </w:rPr>
        <w:footnoteRef/>
      </w:r>
      <w:r>
        <w:rPr>
          <w:rFonts w:ascii="Arial" w:hAnsi="Arial"/>
          <w:rtl w:val="0"/>
          <w:lang w:val="de-DE"/>
        </w:rPr>
        <w:t xml:space="preserve">Wilhelm Konig, "Ein galvanisches Element aus der Partherzeit?" </w:t>
      </w:r>
      <w:r>
        <w:rPr>
          <w:rFonts w:ascii="Arial" w:hAnsi="Arial"/>
          <w:i w:val="1"/>
          <w:iCs w:val="1"/>
          <w:rtl w:val="0"/>
          <w:lang w:val="de-DE"/>
        </w:rPr>
        <w:t>Forschungen und Fortschritte</w:t>
      </w:r>
      <w:r>
        <w:rPr>
          <w:rFonts w:ascii="Arial" w:hAnsi="Arial"/>
          <w:rtl w:val="0"/>
          <w:lang w:val="en-US"/>
        </w:rPr>
        <w:t xml:space="preserve"> 14, no. 8 (1938): 8-9. The Khujut Rabu excavation was prompted by flooding-related clay extraction ordered by the Iraqi Health Ministry for malaria prevention near ancient Ctesiphon.</w:t>
      </w:r>
    </w:p>
  </w:footnote>
  <w:footnote w:id="35">
    <w:p>
      <w:pPr>
        <w:pStyle w:val="Word Default Style"/>
      </w:pPr>
      <w:r>
        <w:rPr>
          <w:rStyle w:val="footnote reference"/>
        </w:rPr>
        <w:footnoteRef/>
      </w:r>
      <w:r>
        <w:rPr>
          <w:rFonts w:ascii="Arial" w:hAnsi="Arial"/>
          <w:rtl w:val="0"/>
          <w:lang w:val="en-US"/>
        </w:rPr>
        <w:t xml:space="preserve">Paul T. Keyser, "The Purpose of the Parthian Galvanic Cells: A First-Century A.D. Electric Battery Used for Analgesia," </w:t>
      </w:r>
      <w:r>
        <w:rPr>
          <w:rFonts w:ascii="Arial" w:hAnsi="Arial"/>
          <w:i w:val="1"/>
          <w:iCs w:val="1"/>
          <w:rtl w:val="0"/>
          <w:lang w:val="en-US"/>
        </w:rPr>
        <w:t>Journal of Near Eastern Studies</w:t>
      </w:r>
      <w:r>
        <w:rPr>
          <w:rFonts w:ascii="Arial" w:hAnsi="Arial"/>
          <w:rtl w:val="0"/>
          <w:lang w:val="en-US"/>
        </w:rPr>
        <w:t xml:space="preserve"> 52, no. 2 (1993): 81-98, DOI: 10.1086/373610. Keyser notes the existence of similar artifacts at Tel Umar and other Mesopotamian sites, indicating the Baghdad Battery is a type rather than a unique specimen.</w:t>
      </w:r>
    </w:p>
  </w:footnote>
  <w:footnote w:id="36">
    <w:p>
      <w:pPr>
        <w:pStyle w:val="Word Default Style"/>
      </w:pPr>
      <w:r>
        <w:rPr>
          <w:rStyle w:val="footnote reference"/>
        </w:rPr>
        <w:footnoteRef/>
      </w:r>
      <w:r>
        <w:rPr>
          <w:rFonts w:ascii="Arial" w:hAnsi="Arial"/>
          <w:rtl w:val="0"/>
          <w:lang w:val="en-US"/>
        </w:rPr>
        <w:t>Vondoom, "Civilization is Rehearsed," DOI: 10.5281/zenodo.19170162, Section 7. The DSSM Technology as Fossilized Ritual argument: technologies emerge through the stabilization of embodied practice into transmissible protocol, and are lost when the protocol chain is severed by the loss of its practitioners.</w:t>
      </w:r>
    </w:p>
  </w:footnote>
  <w:footnote w:id="37">
    <w:p>
      <w:pPr>
        <w:pStyle w:val="Word Default Style"/>
      </w:pPr>
      <w:r>
        <w:rPr>
          <w:rStyle w:val="footnote reference"/>
        </w:rPr>
        <w:footnoteRef/>
      </w:r>
      <w:r>
        <w:rPr>
          <w:rFonts w:ascii="Arial" w:hAnsi="Arial"/>
          <w:rtl w:val="0"/>
        </w:rPr>
        <w:t xml:space="preserve">Aristotle, </w:t>
      </w:r>
      <w:r>
        <w:rPr>
          <w:rFonts w:ascii="Arial" w:hAnsi="Arial"/>
          <w:i w:val="1"/>
          <w:iCs w:val="1"/>
          <w:rtl w:val="0"/>
          <w:lang w:val="it-IT"/>
        </w:rPr>
        <w:t>De Anima</w:t>
      </w:r>
      <w:r>
        <w:rPr>
          <w:rFonts w:ascii="Arial" w:hAnsi="Arial"/>
          <w:rtl w:val="0"/>
          <w:lang w:val="en-US"/>
        </w:rPr>
        <w:t>, I.2, 405a19-21. Aristotle attributes to Thales of Miletus (c. 624-546 BCE) the observation that amber, when rubbed, attracts light objects. This is the earliest surviving textual record of the static electricity phenomenon.</w:t>
      </w:r>
    </w:p>
  </w:footnote>
  <w:footnote w:id="38">
    <w:p>
      <w:pPr>
        <w:pStyle w:val="Word Default Style"/>
      </w:pPr>
      <w:r>
        <w:rPr>
          <w:rStyle w:val="footnote reference"/>
        </w:rPr>
        <w:footnoteRef/>
      </w:r>
      <w:r>
        <w:rPr>
          <w:rFonts w:ascii="Arial" w:hAnsi="Arial"/>
          <w:rtl w:val="0"/>
        </w:rPr>
        <w:t xml:space="preserve">Theophrastus, </w:t>
      </w:r>
      <w:r>
        <w:rPr>
          <w:rFonts w:ascii="Arial" w:hAnsi="Arial"/>
          <w:i w:val="1"/>
          <w:iCs w:val="1"/>
          <w:rtl w:val="0"/>
          <w:lang w:val="en-US"/>
        </w:rPr>
        <w:t>On Stones (Peri Lithon)</w:t>
      </w:r>
      <w:r>
        <w:rPr>
          <w:rFonts w:ascii="Arial" w:hAnsi="Arial"/>
          <w:rtl w:val="0"/>
          <w:lang w:val="en-US"/>
        </w:rPr>
        <w:t xml:space="preserve">, c. 314 BCE, sections 28-29. Theophrastus observed that both amber and lyngourion attracted light objects when rubbed. The identification of lyngourion with tourmaline is the standard scholarly identification made by Eichholz in his translation commentary (D.E. Eichholz, </w:t>
      </w:r>
      <w:r>
        <w:rPr>
          <w:rFonts w:ascii="Arial" w:hAnsi="Arial"/>
          <w:i w:val="1"/>
          <w:iCs w:val="1"/>
          <w:rtl w:val="0"/>
        </w:rPr>
        <w:t>Theophrastus: De Lapidibus</w:t>
      </w:r>
      <w:r>
        <w:rPr>
          <w:rFonts w:ascii="Arial" w:hAnsi="Arial"/>
          <w:rtl w:val="0"/>
          <w:lang w:val="en-US"/>
        </w:rPr>
        <w:t>, Oxford: Clarendon Press, 1965, pp. 88-92), though the identification remains debated in specialist literature. What is not debated is that Theophrastus identified a second mineral with electrostatic properties, demonstrating that Greek natural philosophy recognized the phenomenon as extending beyond amber.</w:t>
      </w:r>
    </w:p>
  </w:footnote>
  <w:footnote w:id="39">
    <w:p>
      <w:pPr>
        <w:pStyle w:val="Word Default Style"/>
      </w:pPr>
      <w:r>
        <w:rPr>
          <w:rStyle w:val="footnote reference"/>
        </w:rPr>
        <w:footnoteRef/>
      </w:r>
      <w:r>
        <w:rPr>
          <w:rFonts w:ascii="Arial" w:hAnsi="Arial"/>
          <w:rtl w:val="0"/>
          <w:lang w:val="de-DE"/>
        </w:rPr>
        <w:t xml:space="preserve">Wilhelm Konig, "Ein galvanisches Element aus der Partherzeit?" </w:t>
      </w:r>
      <w:r>
        <w:rPr>
          <w:rFonts w:ascii="Arial" w:hAnsi="Arial"/>
          <w:i w:val="1"/>
          <w:iCs w:val="1"/>
          <w:rtl w:val="0"/>
          <w:lang w:val="de-DE"/>
        </w:rPr>
        <w:t>Forschungen und Fortschritte</w:t>
      </w:r>
      <w:r>
        <w:rPr>
          <w:rFonts w:ascii="Arial" w:hAnsi="Arial"/>
          <w:rtl w:val="0"/>
          <w:lang w:val="en-US"/>
        </w:rPr>
        <w:t xml:space="preserve"> 14, no. 8 (1938): 8-9. The Khujut Rabu excavation was prompted by flooding-related clay extraction ordered by the Iraqi Health Ministry for malaria prevention near ancient Ctesiphon.</w:t>
      </w:r>
    </w:p>
  </w:footnote>
  <w:footnote w:id="40">
    <w:p>
      <w:pPr>
        <w:pStyle w:val="Word Default Style"/>
      </w:pPr>
      <w:r>
        <w:rPr>
          <w:rStyle w:val="footnote reference"/>
        </w:rPr>
        <w:footnoteRef/>
      </w:r>
      <w:r>
        <w:rPr>
          <w:rFonts w:ascii="Arial" w:hAnsi="Arial"/>
          <w:rtl w:val="0"/>
          <w:lang w:val="it-IT"/>
        </w:rPr>
        <w:t xml:space="preserve">The degradation sequence is documented in Finger and Piccolino, </w:t>
      </w:r>
      <w:r>
        <w:rPr>
          <w:rFonts w:ascii="Arial" w:hAnsi="Arial"/>
          <w:i w:val="1"/>
          <w:iCs w:val="1"/>
          <w:rtl w:val="0"/>
          <w:lang w:val="en-US"/>
        </w:rPr>
        <w:t>The Shocking History of Electric Fishes</w:t>
      </w:r>
      <w:r>
        <w:rPr>
          <w:rFonts w:ascii="Arial" w:hAnsi="Arial"/>
          <w:rtl w:val="0"/>
          <w:lang w:val="en-US"/>
        </w:rPr>
        <w:t>, pp. 15-40: from Egyptian therapeutic use through Hippocratic notation, Scribonius Largus (47 CE), Pliny (77 CE), Galen (second century CE), and Ibn Sina (eleventh century CE) - a thread spanning approximately 3,000 years in which the application is progressively more medical and less technological.</w:t>
      </w:r>
    </w:p>
  </w:footnote>
  <w:footnote w:id="41">
    <w:p>
      <w:pPr>
        <w:pStyle w:val="Word Default Style"/>
      </w:pPr>
      <w:r>
        <w:rPr>
          <w:rStyle w:val="footnote reference"/>
        </w:rPr>
        <w:footnoteRef/>
      </w:r>
      <w:r>
        <w:rPr>
          <w:rFonts w:ascii="Arial" w:hAnsi="Arial"/>
          <w:rtl w:val="0"/>
          <w:lang w:val="da-DK"/>
        </w:rPr>
        <w:t xml:space="preserve">Thomas S. Kuhn, </w:t>
      </w:r>
      <w:r>
        <w:rPr>
          <w:rFonts w:ascii="Arial" w:hAnsi="Arial"/>
          <w:i w:val="1"/>
          <w:iCs w:val="1"/>
          <w:rtl w:val="0"/>
          <w:lang w:val="en-US"/>
        </w:rPr>
        <w:t>The Structure of Scientific Revolutions</w:t>
      </w:r>
      <w:r>
        <w:rPr>
          <w:rFonts w:ascii="Arial" w:hAnsi="Arial"/>
          <w:rtl w:val="0"/>
          <w:lang w:val="en-US"/>
        </w:rPr>
        <w:t xml:space="preserve"> (Chicago: University of Chicago Press, 1962). What changes in a scientific paradigm shift is not the availability of the phenomenon but the availability of a conceptual framework capable of generating systematic exploitation.</w:t>
      </w:r>
    </w:p>
  </w:footnote>
  <w:footnote w:id="42">
    <w:p>
      <w:pPr>
        <w:pStyle w:val="Word Default Style"/>
      </w:pPr>
      <w:r>
        <w:rPr>
          <w:rStyle w:val="footnote reference"/>
        </w:rPr>
        <w:footnoteRef/>
      </w:r>
      <w:r>
        <w:rPr>
          <w:rFonts w:ascii="Arial" w:hAnsi="Arial"/>
          <w:rtl w:val="0"/>
          <w:lang w:val="en-US"/>
        </w:rPr>
        <w:t>Vondoom, "Stacked Contingency," DOI: 10.6084/m9.figshare.32719968, Section 5. Cumulative knowledge systems collapse when the transmission chain is severed by demographic disruption, military conquest, or the disappearance of the practitioners who hold embodied rather than written knowledge.</w:t>
      </w:r>
    </w:p>
  </w:footnote>
  <w:footnote w:id="43">
    <w:p>
      <w:pPr>
        <w:pStyle w:val="Word Default Style"/>
      </w:pPr>
      <w:r>
        <w:rPr>
          <w:rStyle w:val="footnote reference"/>
        </w:rPr>
        <w:footnoteRef/>
      </w:r>
      <w:r>
        <w:rPr>
          <w:rFonts w:ascii="Arial" w:hAnsi="Arial"/>
          <w:rtl w:val="0"/>
          <w:lang w:val="en-US"/>
        </w:rPr>
        <w:t>Anthony Vondoom, "Civilization is Rehearsed: The Deep Symbolic Systems Model," Zenodo (2026), DOI: 10.5281/zenodo.19170162. Cross-domain pattern matching under high-salience conditions is identified as the Stage 1 mechanism of symbolic familiarity.</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60" w:after="2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de-DE"/>
      <w14:textOutline>
        <w14:noFill/>
      </w14:textOutline>
      <w14:textFill>
        <w14:solidFill>
          <w14:srgbClr w14:val="000000"/>
        </w14:solidFill>
      </w14:textFill>
    </w:rPr>
  </w:style>
  <w:style w:type="paragraph" w:styleId="Word Default Style">
    <w:name w:val="Word Default Style"/>
    <w:next w:val="Word Default Sty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14:textFill>
        <w14:solidFill>
          <w14:srgbClr w14:val="000000"/>
        </w14:solidFill>
      </w14:textFill>
    </w:rPr>
  </w:style>
  <w:style w:type="character" w:styleId="footnote reference">
    <w:name w:val="footnote reference"/>
    <w:rPr>
      <w:vertAlign w:val="superscrip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