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70"/>
          <w:szCs w:val="70"/>
        </w:rPr>
      </w:pPr>
      <w:r>
        <w:rPr>
          <w:rFonts w:ascii="Verdana" w:hAnsi="Verdana"/>
          <w:sz w:val="70"/>
          <w:szCs w:val="70"/>
          <w:u w:color="000000"/>
          <w:rtl w:val="0"/>
          <w:lang w:val="de-DE"/>
        </w:rPr>
        <w:t>STACKED CONTINGENCY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u w:color="000000"/>
        </w:rPr>
      </w:pPr>
      <w:r>
        <w:rPr>
          <w:rFonts w:ascii="Verdana" w:hAnsi="Verdana"/>
          <w:i w:val="1"/>
          <w:iCs w:val="1"/>
          <w:sz w:val="24"/>
          <w:szCs w:val="24"/>
          <w:u w:color="000000"/>
          <w:rtl w:val="0"/>
          <w:lang w:val="en-US"/>
        </w:rPr>
        <w:t>Chromosomal Fusion, Climate Mosaics, and Niche Construction in the Divergence of Hominins from Other Great Apes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u w:color="000000"/>
        </w:rPr>
      </w:pPr>
      <w:r>
        <w:rPr>
          <w:rFonts w:ascii="Verdana" w:hAnsi="Verdana"/>
          <w:i w:val="1"/>
          <w:iCs w:val="1"/>
          <w:sz w:val="24"/>
          <w:szCs w:val="24"/>
          <w:u w:color="000000"/>
          <w:rtl w:val="0"/>
          <w:lang w:val="it-IT"/>
        </w:rPr>
        <w:t xml:space="preserve">Figshare </w:t>
      </w:r>
      <w:r>
        <w:rPr>
          <w:rStyle w:val="Hyperlink.0"/>
          <w:rFonts w:ascii="Verdana" w:cs="Verdana" w:hAnsi="Verdana" w:eastAsia="Verdana"/>
          <w:sz w:val="24"/>
          <w:szCs w:val="24"/>
        </w:rPr>
        <w:fldChar w:fldCharType="begin" w:fldLock="0"/>
      </w:r>
      <w:r>
        <w:rPr>
          <w:rStyle w:val="Hyperlink.0"/>
          <w:rFonts w:ascii="Verdana" w:cs="Verdana" w:hAnsi="Verdana" w:eastAsia="Verdana"/>
          <w:sz w:val="24"/>
          <w:szCs w:val="24"/>
        </w:rPr>
        <w:instrText xml:space="preserve"> HYPERLINK "https://doi.org/10.6084/m9.figshare.32719968"</w:instrText>
      </w:r>
      <w:r>
        <w:rPr>
          <w:rStyle w:val="Hyperlink.0"/>
          <w:rFonts w:ascii="Verdana" w:cs="Verdana" w:hAnsi="Verdana" w:eastAsia="Verdana"/>
          <w:sz w:val="24"/>
          <w:szCs w:val="24"/>
        </w:rPr>
        <w:fldChar w:fldCharType="separate" w:fldLock="0"/>
      </w:r>
      <w:r>
        <w:rPr>
          <w:rStyle w:val="Hyperlink.0"/>
          <w:rFonts w:ascii="Verdana" w:hAnsi="Verdana"/>
          <w:sz w:val="24"/>
          <w:szCs w:val="24"/>
          <w:rtl w:val="0"/>
          <w:lang w:val="en-US"/>
        </w:rPr>
        <w:t>https://doi.org/10.6084/m9.figshare.32719968</w:t>
      </w:r>
      <w:r>
        <w:rPr>
          <w:rFonts w:ascii="Verdana" w:cs="Verdana" w:hAnsi="Verdana" w:eastAsia="Verdana"/>
          <w:sz w:val="24"/>
          <w:szCs w:val="24"/>
        </w:rPr>
        <w:fldChar w:fldCharType="end" w:fldLock="0"/>
      </w:r>
      <w:r>
        <w:rPr>
          <w:rFonts w:ascii="Verdana" w:hAnsi="Verdana"/>
          <w:i w:val="1"/>
          <w:iCs w:val="1"/>
          <w:sz w:val="24"/>
          <w:szCs w:val="24"/>
          <w:u w:color="000000"/>
          <w:rtl w:val="0"/>
          <w:lang w:val="it-IT"/>
        </w:rPr>
        <w:t xml:space="preserve">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sz w:val="24"/>
          <w:szCs w:val="24"/>
          <w:u w:color="000000"/>
          <w:rtl w:val="0"/>
          <w:lang w:val="en-US"/>
        </w:rPr>
        <w:t>Anthony Vondoom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u w:color="000000"/>
          <w:rtl w:val="0"/>
          <w:lang w:val="en-US"/>
        </w:rPr>
        <w:t>Independent Researcher in Cognitive Archaeology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u w:color="000000"/>
          <w:rtl w:val="0"/>
          <w:lang w:val="it-IT"/>
        </w:rPr>
        <w:t>Sirmione, Italy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i w:val="1"/>
          <w:iCs w:val="1"/>
          <w:sz w:val="20"/>
          <w:szCs w:val="20"/>
          <w:u w:color="000000"/>
          <w:rtl w:val="0"/>
          <w:lang w:val="en-US"/>
        </w:rPr>
        <w:t>AI Disclosure: This paper was developed in collaboration with Claude (Anthropic) as a research and drafting partner. All intellectual framing, theoretical argumentation, and editorial decisions are those of the author.</w:t>
      </w:r>
    </w:p>
    <w:p>
      <w:pPr>
        <w:pStyle w:val="Heading"/>
        <w:rPr>
          <w:rFonts w:ascii="Verdana" w:cs="Verdana" w:hAnsi="Verdana" w:eastAsia="Verdana"/>
          <w:b w:val="0"/>
          <w:bCs w:val="0"/>
        </w:rPr>
      </w:pPr>
      <w:r>
        <w:rPr>
          <w:rFonts w:ascii="Verdana" w:hAnsi="Verdana"/>
          <w:b w:val="0"/>
          <w:bCs w:val="0"/>
          <w:rtl w:val="0"/>
          <w:lang w:val="de-DE"/>
        </w:rPr>
        <w:t>ABSTRACT</w:t>
      </w:r>
    </w:p>
    <w:p>
      <w:pPr>
        <w:pStyle w:val="Heading"/>
        <w:rPr>
          <w:rFonts w:ascii="Verdana" w:cs="Verdana" w:hAnsi="Verdana" w:eastAsia="Verdana"/>
          <w:b w:val="0"/>
          <w:bCs w:val="0"/>
        </w:rPr>
      </w:pPr>
      <w:r>
        <w:rPr>
          <w:rFonts w:ascii="Verdana" w:hAnsi="Verdana"/>
          <w:b w:val="0"/>
          <w:bCs w:val="0"/>
          <w:sz w:val="24"/>
          <w:szCs w:val="24"/>
          <w:rtl w:val="0"/>
          <w:lang w:val="en-US"/>
        </w:rPr>
        <w:t xml:space="preserve">Why did one great ape lineage accumulate bipedalism, an expanded forebrain, articulate speech, and cumulative symbolic culture, while sister lineages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under their own real and continuous selective pressures across the same multi-million-year span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did not converge on the same outcome? This paper argues that hominin divergence is better modeled as a stack of independently low-probability events than as a directional or inevitable trajectory. Six components are examined: the ancestral chromosome 2A/2B fusion event that produced human chromosome 2; bipedal locomotion as the anatomical precondition that freed the forelimb for sustained manipulation; the variability selection pressures of Plio-Pleistocene East African climate cycling; niche construction through tool use and controlled fire, which reshaped selection on randomly-arising genetic variants rather than causing them; the contested timing of FOXP2-mediated articulatory control on chromosome 7, whose fixation date does not cleanly align with the archaeological emergence of symbolic behavior; and the comparative hominin record, which shows that cognitive infrastructure accumulated across multiple lineages </w:t>
      </w:r>
      <w:r>
        <w:rPr>
          <w:rFonts w:ascii="Verdana" w:hAnsi="Verdana" w:hint="default"/>
          <w:b w:val="0"/>
          <w:bCs w:val="0"/>
          <w:sz w:val="24"/>
          <w:szCs w:val="24"/>
          <w:rtl w:val="0"/>
          <w:lang w:val="en-US"/>
        </w:rPr>
        <w:t xml:space="preserve">— </w:t>
      </w:r>
      <w:r>
        <w:rPr>
          <w:rFonts w:ascii="Verdana" w:hAnsi="Verdana"/>
          <w:b w:val="0"/>
          <w:bCs w:val="0"/>
          <w:sz w:val="24"/>
          <w:szCs w:val="24"/>
          <w:rtl w:val="0"/>
          <w:lang w:val="nl-NL"/>
        </w:rPr>
        <w:t xml:space="preserve">Homo erectus, Homo heidelbergensis, and Neanderthals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rather than within Homo sapiens alone.</w:t>
      </w:r>
    </w:p>
    <w:p>
      <w:pPr>
        <w:pStyle w:val="Heading"/>
        <w:rPr>
          <w:rFonts w:ascii="Verdana" w:cs="Verdana" w:hAnsi="Verdana" w:eastAsia="Verdana"/>
          <w:b w:val="0"/>
          <w:bCs w:val="0"/>
        </w:rPr>
      </w:pPr>
      <w:r>
        <w:rPr>
          <w:rFonts w:ascii="Verdana" w:hAnsi="Verdana"/>
          <w:b w:val="0"/>
          <w:bCs w:val="0"/>
          <w:sz w:val="24"/>
          <w:szCs w:val="24"/>
          <w:rtl w:val="0"/>
          <w:lang w:val="en-US"/>
        </w:rPr>
        <w:t>The paper engages directly with the contingency</w:t>
      </w:r>
      <w:r>
        <w:rPr>
          <w:rFonts w:ascii="Verdana" w:hAnsi="Verdana" w:hint="default"/>
          <w:b w:val="0"/>
          <w:bCs w:val="0"/>
          <w:sz w:val="24"/>
          <w:szCs w:val="24"/>
          <w:rtl w:val="0"/>
        </w:rPr>
        <w:t>–</w:t>
      </w:r>
      <w:r>
        <w:rPr>
          <w:rFonts w:ascii="Verdana" w:hAnsi="Verdana"/>
          <w:b w:val="0"/>
          <w:bCs w:val="0"/>
          <w:sz w:val="24"/>
          <w:szCs w:val="24"/>
          <w:rtl w:val="0"/>
          <w:lang w:val="en-US"/>
        </w:rPr>
        <w:t xml:space="preserve">convergence debate in evolutionary biology, situating its argument nearer to Gould's contingency thesis than to Conway Morris's convergence thesis, while presenting both fairly. It also takes up an unresolved directionality question in language evolution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whether symbolic cognition preceded and was later externalized through vocal articulation, or whether vocal articulatory capacity itself was the directly selected trait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presenting both the gestural-origin and social-communicative positions without resolving the disagreement. A recent CRISPR-based functional study (Yang et al., 2025/2026) is introduced as direct evidence that deleting the chromosome 2 fusion locus alters the expression of dozens of genes in a human cell line, establishing for the first time that the locus is not transcriptionally inert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though the experiment was conducted in a generic kidney-derived cell line rather than neural tissue, and the affected pathway is a general transcriptional-regulation category rather than anything specific to brain development, a distinction this paper states plainly rather than overstating. The paper closes by extending the demographic-absorption logic already developed in this author's prior work on Neanderthal extinction one step further back: hominins did not out-compete other apes through destined cognitive superiority, any more than Homo sapiens out-competed Neanderthals through cognitive superiority. In both cases, a contingent, non-repeating stack of circumstances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not teleology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explains the outcome.</w:t>
      </w:r>
    </w:p>
    <w:p>
      <w:pPr>
        <w:pStyle w:val="Heading"/>
        <w:rPr>
          <w:rFonts w:ascii="Verdana" w:cs="Verdana" w:hAnsi="Verdana" w:eastAsia="Verdana"/>
          <w:b w:val="0"/>
          <w:bCs w:val="0"/>
        </w:rPr>
      </w:pPr>
      <w:r>
        <w:rPr>
          <w:rFonts w:ascii="Verdana" w:hAnsi="Verdana"/>
          <w:b w:val="0"/>
          <w:bCs w:val="0"/>
          <w:i w:val="1"/>
          <w:iCs w:val="1"/>
          <w:sz w:val="24"/>
          <w:szCs w:val="24"/>
          <w:rtl w:val="0"/>
          <w:lang w:val="en-US"/>
        </w:rPr>
        <w:t>Keywords: chromosome 2 fusion; bipedalism; variability selection hypothesis; niche construction; Baldwin effect; contingency; convergent evolution; FOXP2; Deep Symbolic Systems Model</w:t>
      </w:r>
    </w:p>
    <w:p>
      <w:pPr>
        <w:pStyle w:val="Heading"/>
        <w:rPr>
          <w:rFonts w:ascii="Verdana" w:cs="Verdana" w:hAnsi="Verdana" w:eastAsia="Verdana"/>
          <w:b w:val="0"/>
          <w:bCs w:val="0"/>
        </w:rPr>
      </w:pPr>
      <w:r>
        <w:rPr>
          <w:rFonts w:ascii="Verdana" w:hAnsi="Verdana"/>
          <w:b w:val="0"/>
          <w:bCs w:val="0"/>
          <w:rtl w:val="0"/>
          <w:lang w:val="fr-FR"/>
        </w:rPr>
        <w:t>1. Introduction</w:t>
      </w:r>
    </w:p>
    <w:p>
      <w:pPr>
        <w:pStyle w:val="Heading"/>
        <w:rPr>
          <w:rFonts w:ascii="Verdana" w:cs="Verdana" w:hAnsi="Verdana" w:eastAsia="Verdana"/>
          <w:b w:val="0"/>
          <w:bCs w:val="0"/>
        </w:rPr>
      </w:pPr>
      <w:r>
        <w:rPr>
          <w:rFonts w:ascii="Verdana" w:hAnsi="Verdana"/>
          <w:b w:val="0"/>
          <w:bCs w:val="0"/>
          <w:sz w:val="24"/>
          <w:szCs w:val="24"/>
          <w:rtl w:val="0"/>
          <w:lang w:val="en-US"/>
        </w:rPr>
        <w:t xml:space="preserve">The question of why humans diverged so markedly from other great apes is frequently posed as though it demands a single answer: a unique trait, a singular leap, a destined trajectory. This paper takes a different position. It treats the question as a request to explain why a specific, narrow stack of independently occurring changes accumulated in one lineage among several viable ones, none of which were </w:t>
      </w:r>
      <w:r>
        <w:rPr>
          <w:rFonts w:ascii="Verdana" w:hAnsi="Verdana" w:hint="default"/>
          <w:b w:val="0"/>
          <w:bCs w:val="0"/>
          <w:sz w:val="24"/>
          <w:szCs w:val="24"/>
          <w:rtl w:val="1"/>
          <w:lang w:val="ar-SA" w:bidi="ar-SA"/>
        </w:rPr>
        <w:t>“</w:t>
      </w:r>
      <w:r>
        <w:rPr>
          <w:rFonts w:ascii="Verdana" w:hAnsi="Verdana"/>
          <w:b w:val="0"/>
          <w:bCs w:val="0"/>
          <w:sz w:val="24"/>
          <w:szCs w:val="24"/>
          <w:rtl w:val="0"/>
          <w:lang w:val="en-US"/>
        </w:rPr>
        <w:t>failing</w:t>
      </w:r>
      <w:r>
        <w:rPr>
          <w:rFonts w:ascii="Verdana" w:hAnsi="Verdana" w:hint="default"/>
          <w:b w:val="0"/>
          <w:bCs w:val="0"/>
          <w:sz w:val="24"/>
          <w:szCs w:val="24"/>
          <w:rtl w:val="0"/>
        </w:rPr>
        <w:t xml:space="preserve">” </w:t>
      </w:r>
      <w:r>
        <w:rPr>
          <w:rFonts w:ascii="Verdana" w:hAnsi="Verdana"/>
          <w:b w:val="0"/>
          <w:bCs w:val="0"/>
          <w:sz w:val="24"/>
          <w:szCs w:val="24"/>
          <w:rtl w:val="0"/>
          <w:lang w:val="en-US"/>
        </w:rPr>
        <w:t xml:space="preserve">to become human. Chimpanzee, gorilla, and orangutan lineages are not arrested or incomplete versions of early hominins; they are the products of their own continuous selection across the same timescale, directed toward different ecological solutions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arboreal specialization, knuckle-walking locomotion, and social structures suited to their respective niches. Any account of hominin divergence that implies otherwise misrepresents the comparative evidence and should be corrected on sight.</w:t>
      </w:r>
    </w:p>
    <w:p>
      <w:pPr>
        <w:pStyle w:val="Heading"/>
        <w:rPr>
          <w:rFonts w:ascii="Verdana" w:cs="Verdana" w:hAnsi="Verdana" w:eastAsia="Verdana"/>
          <w:b w:val="0"/>
          <w:bCs w:val="0"/>
        </w:rPr>
      </w:pPr>
      <w:r>
        <w:rPr>
          <w:rFonts w:ascii="Verdana" w:hAnsi="Verdana"/>
          <w:b w:val="0"/>
          <w:bCs w:val="0"/>
          <w:sz w:val="24"/>
          <w:szCs w:val="24"/>
          <w:rtl w:val="0"/>
          <w:lang w:val="en-US"/>
        </w:rPr>
        <w:t xml:space="preserve">The argument advanced here is that each individual step in the hominin trajectory has a documented, naturalistic mechanism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no step requires anything outside ordinary evolutionary process. The explanatory burden is not whether each step is possible, since each is independently attested elsewhere in the mammalian record, but why this particular stack of changes co-occurred in this particular lineage. The paper's position, stated early, is that the human outcome was not inevitable. It was a compounding sequence of low-probability events: a chromosomal fusion of uncertain functional consequence at the time it occurred; a bipedal anatomy that freed the hand; an unusually unstable climate regime that rewarded behavioral flexibility over fixed adaptation; a pair of behavioral innovations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sustained tool use and controlled fire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that reshaped the selective landscape acting on whatever genetic variation happened to arise; and an articulate speech capacity whose own genetic and anatomical timing, as Section 6 details, does not resolve into a single clean date either. Removing any one piece plausibly removes the outcome.</w:t>
      </w:r>
    </w:p>
    <w:p>
      <w:pPr>
        <w:pStyle w:val="Heading"/>
        <w:rPr>
          <w:rFonts w:ascii="Verdana" w:cs="Verdana" w:hAnsi="Verdana" w:eastAsia="Verdana"/>
          <w:b w:val="0"/>
          <w:bCs w:val="0"/>
        </w:rPr>
      </w:pPr>
    </w:p>
    <w:p>
      <w:pPr>
        <w:pStyle w:val="Heading"/>
        <w:rPr>
          <w:rFonts w:ascii="Verdana" w:cs="Verdana" w:hAnsi="Verdana" w:eastAsia="Verdana"/>
          <w:b w:val="0"/>
          <w:bCs w:val="0"/>
        </w:rPr>
      </w:pPr>
      <w:r>
        <w:rPr>
          <w:rFonts w:ascii="Verdana" w:hAnsi="Verdana"/>
          <w:b w:val="0"/>
          <w:bCs w:val="0"/>
          <w:rtl w:val="0"/>
          <w:lang w:val="en-US"/>
        </w:rPr>
        <w:t>2. The Chromosome 2A/2B Fusion</w:t>
      </w:r>
    </w:p>
    <w:p>
      <w:pPr>
        <w:pStyle w:val="Heading"/>
        <w:rPr>
          <w:rFonts w:ascii="Verdana" w:cs="Verdana" w:hAnsi="Verdana" w:eastAsia="Verdana"/>
          <w:b w:val="0"/>
          <w:bCs w:val="0"/>
        </w:rPr>
      </w:pPr>
      <w:r>
        <w:rPr>
          <w:rFonts w:ascii="Verdana" w:hAnsi="Verdana"/>
          <w:b w:val="0"/>
          <w:bCs w:val="0"/>
          <w:sz w:val="24"/>
          <w:szCs w:val="24"/>
          <w:rtl w:val="0"/>
          <w:lang w:val="en-US"/>
        </w:rPr>
        <w:t>Human chromosome 2 (HSA2) formed from the end-to-end fusion of two ancestral chromosomes, designated 2A and 2B in the revised comparative nomenclature and corresponding to chimpanzee chromosomes 12 and 13 in the older chimp-specific designation (Ijdo et al., 1991). The fusion site has been mapped to single-base-pair resolution at chr2:113,940,058</w:t>
      </w:r>
      <w:r>
        <w:rPr>
          <w:rFonts w:ascii="Verdana" w:hAnsi="Verdana" w:hint="default"/>
          <w:b w:val="0"/>
          <w:bCs w:val="0"/>
          <w:sz w:val="24"/>
          <w:szCs w:val="24"/>
          <w:rtl w:val="0"/>
        </w:rPr>
        <w:t>–</w:t>
      </w:r>
      <w:r>
        <w:rPr>
          <w:rFonts w:ascii="Verdana" w:hAnsi="Verdana"/>
          <w:b w:val="0"/>
          <w:bCs w:val="0"/>
          <w:sz w:val="24"/>
          <w:szCs w:val="24"/>
          <w:rtl w:val="0"/>
          <w:lang w:val="en-US"/>
        </w:rPr>
        <w:t>114,049,496 (GRCh38), situated within an intron of the non-coding gene DDX11L2, with a degenerate relic of one of the two ancestral centromeres persisting at 2q21.2 (Miga, 2017). Dating estimates for the fusion span a wide range, roughly 0.74 to 4.5 million years ago, predating the divergence of the Neanderthal and Denisovan lineages from the lineage leading to Homo sapiens.</w:t>
      </w:r>
    </w:p>
    <w:p>
      <w:pPr>
        <w:pStyle w:val="Heading"/>
        <w:rPr>
          <w:rFonts w:ascii="Verdana" w:cs="Verdana" w:hAnsi="Verdana" w:eastAsia="Verdana"/>
          <w:b w:val="0"/>
          <w:bCs w:val="0"/>
        </w:rPr>
      </w:pPr>
      <w:r>
        <w:rPr>
          <w:rFonts w:ascii="Verdana" w:hAnsi="Verdana"/>
          <w:b w:val="0"/>
          <w:bCs w:val="0"/>
          <w:sz w:val="24"/>
          <w:szCs w:val="24"/>
          <w:rtl w:val="0"/>
          <w:lang w:val="en-US"/>
        </w:rPr>
        <w:t xml:space="preserve">The mechanism is unremarkable by the standards of mammalian chromosomal evolution. Telomere erosion exposes chromosome ends to non-homologous end joining, producing a dicentric intermediate; subsequent inactivation of one centromere stabilizes the fusion into a single functional chromosome. This is not a unique or anomalous event invoked solely to explain human origins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it is a recurring mutational class documented directly in living species. Muntjac deer provide the clearest case: closely related species within the genus range from forty-six chromosomes down to as few as six to eight, almost entirely through repeated fusion events observed in extant populations, not merely inferred from the fossil record. Equid species show comparable fusion-and-fission variation among close relatives. The chromosome 2 fusion, in other words, required no special pleading to occur naturally.</w:t>
      </w:r>
    </w:p>
    <w:p>
      <w:pPr>
        <w:pStyle w:val="Heading"/>
        <w:rPr>
          <w:rFonts w:ascii="Verdana" w:cs="Verdana" w:hAnsi="Verdana" w:eastAsia="Verdana"/>
          <w:b w:val="0"/>
          <w:bCs w:val="0"/>
        </w:rPr>
      </w:pPr>
      <w:r>
        <w:rPr>
          <w:rFonts w:ascii="Verdana" w:hAnsi="Verdana"/>
          <w:b w:val="0"/>
          <w:bCs w:val="0"/>
          <w:sz w:val="24"/>
          <w:szCs w:val="24"/>
          <w:rtl w:val="0"/>
          <w:lang w:val="en-US"/>
        </w:rPr>
        <w:t xml:space="preserve">What the fusion did not do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and this distinction must be held precisely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is cause cognitive expansion by itself. Until recently, the connection between the fusion and any cognitive outcome rested on a hypothesis proposed by Stankiewicz (2016), who concluded that </w:t>
      </w:r>
      <w:r>
        <w:rPr>
          <w:rFonts w:ascii="Verdana" w:hAnsi="Verdana" w:hint="default"/>
          <w:b w:val="0"/>
          <w:bCs w:val="0"/>
          <w:sz w:val="24"/>
          <w:szCs w:val="24"/>
          <w:rtl w:val="1"/>
          <w:lang w:val="ar-SA" w:bidi="ar-SA"/>
        </w:rPr>
        <w:t>“</w:t>
      </w:r>
      <w:r>
        <w:rPr>
          <w:rFonts w:ascii="Verdana" w:hAnsi="Verdana"/>
          <w:b w:val="0"/>
          <w:bCs w:val="0"/>
          <w:sz w:val="24"/>
          <w:szCs w:val="24"/>
          <w:rtl w:val="0"/>
          <w:lang w:val="en-US"/>
        </w:rPr>
        <w:t>the origin of HSA2 might have been a critical evolutionary event influencing higher cognitive functions,</w:t>
      </w:r>
      <w:r>
        <w:rPr>
          <w:rFonts w:ascii="Verdana" w:hAnsi="Verdana" w:hint="default"/>
          <w:b w:val="0"/>
          <w:bCs w:val="0"/>
          <w:sz w:val="24"/>
          <w:szCs w:val="24"/>
          <w:rtl w:val="0"/>
        </w:rPr>
        <w:t xml:space="preserve">” </w:t>
      </w:r>
      <w:r>
        <w:rPr>
          <w:rFonts w:ascii="Verdana" w:hAnsi="Verdana"/>
          <w:b w:val="0"/>
          <w:bCs w:val="0"/>
          <w:sz w:val="24"/>
          <w:szCs w:val="24"/>
          <w:rtl w:val="0"/>
          <w:lang w:val="en-US"/>
        </w:rPr>
        <w:t xml:space="preserve">while attributing the proposed evolutionary advantage primarily to genomic loss at the fusion site rather than to deregulation of flanking gene expression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a narrower and distinct mechanism from the one explored in the present paper, and one not supported at the time by direct functional data. A more recent study (Yang, Zhang, Jiang, Eichler, Mao, and colleagues, 2025/2026, Cell Genomics) tested the locus directly using CRISPR-Cas9 to delete the fusion site in HEK293T cells, a standard kidney-derived epithelial cell line used for functional genomics rather than a neural or brain-derived line. The deletion altered the expression of 37 genes upward and 71 genes downward, with the affected set significantly enriched for genes involved in the general regulation of transcription by RNA polymerase II (p = 2.2 </w:t>
      </w:r>
      <w:r>
        <w:rPr>
          <w:rFonts w:ascii="Verdana" w:hAnsi="Verdana" w:hint="default"/>
          <w:b w:val="0"/>
          <w:bCs w:val="0"/>
          <w:sz w:val="24"/>
          <w:szCs w:val="24"/>
          <w:rtl w:val="0"/>
        </w:rPr>
        <w:t xml:space="preserve">× </w:t>
      </w:r>
      <w:r>
        <w:rPr>
          <w:rFonts w:ascii="Verdana" w:hAnsi="Verdana"/>
          <w:b w:val="0"/>
          <w:bCs w:val="0"/>
          <w:sz w:val="24"/>
          <w:szCs w:val="24"/>
          <w:rtl w:val="0"/>
        </w:rPr>
        <w:t>10</w:t>
      </w:r>
      <w:r>
        <w:rPr>
          <w:rFonts w:ascii="Arial Unicode MS" w:cs="Arial Unicode MS" w:hAnsi="Arial Unicode MS" w:eastAsia="Arial Unicode MS" w:hint="default"/>
          <w:b w:val="0"/>
          <w:bCs w:val="0"/>
          <w:i w:val="0"/>
          <w:iCs w:val="0"/>
          <w:sz w:val="24"/>
          <w:szCs w:val="24"/>
          <w:rtl w:val="0"/>
        </w:rPr>
        <w:t>⁻</w:t>
      </w:r>
      <w:r>
        <w:rPr>
          <w:rFonts w:ascii="Verdana" w:hAnsi="Verdana" w:hint="default"/>
          <w:b w:val="0"/>
          <w:bCs w:val="0"/>
          <w:sz w:val="24"/>
          <w:szCs w:val="24"/>
          <w:rtl w:val="0"/>
        </w:rPr>
        <w:t>³</w:t>
      </w:r>
      <w:r>
        <w:rPr>
          <w:rFonts w:ascii="Verdana" w:hAnsi="Verdana"/>
          <w:b w:val="0"/>
          <w:bCs w:val="0"/>
          <w:sz w:val="24"/>
          <w:szCs w:val="24"/>
          <w:rtl w:val="0"/>
        </w:rPr>
        <w:t>).</w:t>
      </w:r>
    </w:p>
    <w:p>
      <w:pPr>
        <w:pStyle w:val="Heading"/>
        <w:rPr>
          <w:rFonts w:ascii="Verdana" w:cs="Verdana" w:hAnsi="Verdana" w:eastAsia="Verdana"/>
          <w:b w:val="0"/>
          <w:bCs w:val="0"/>
        </w:rPr>
      </w:pPr>
      <w:r>
        <w:rPr>
          <w:rFonts w:ascii="Verdana" w:hAnsi="Verdana"/>
          <w:b w:val="0"/>
          <w:bCs w:val="0"/>
          <w:sz w:val="24"/>
          <w:szCs w:val="24"/>
          <w:rtl w:val="0"/>
          <w:lang w:val="en-US"/>
        </w:rPr>
        <w:t>This result should not be overstated in either direction. It does not demonstrate that the ancestral fusion event 0.74</w:t>
      </w:r>
      <w:r>
        <w:rPr>
          <w:rFonts w:ascii="Verdana" w:hAnsi="Verdana" w:hint="default"/>
          <w:b w:val="0"/>
          <w:bCs w:val="0"/>
          <w:sz w:val="24"/>
          <w:szCs w:val="24"/>
          <w:rtl w:val="0"/>
        </w:rPr>
        <w:t>–</w:t>
      </w:r>
      <w:r>
        <w:rPr>
          <w:rFonts w:ascii="Verdana" w:hAnsi="Verdana"/>
          <w:b w:val="0"/>
          <w:bCs w:val="0"/>
          <w:sz w:val="24"/>
          <w:szCs w:val="24"/>
          <w:rtl w:val="0"/>
          <w:lang w:val="en-US"/>
        </w:rPr>
        <w:t xml:space="preserve">4.5 million years ago caused the cognitive trajectory that followed in the hominin lineage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no comparative human-versus-chimpanzee chromatin or expression study has tested that historical claim, and the experiment that does exist was not conducted in neural tissue at all. What it does demonstrate, modestly, is that the fusion locus is not transcriptionally silent: removing it measurably perturbs gene expression in at least one human cell type, which is a meaningful baseline fact but falls well short of evidence for a brain-specific or cognition-specific regulatory role. The fusion-cognition link therefore remains substantially where it was before this study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an open hypothesis, now accompanied by confirmation that the locus is functionally active rather than inert, but still awaiting the kind of neural-tissue, comparative human-chimpanzee experiment that would actually speak to the question this paper is asking.</w:t>
      </w:r>
    </w:p>
    <w:p>
      <w:pPr>
        <w:pStyle w:val="Heading"/>
        <w:rPr>
          <w:rFonts w:ascii="Verdana" w:cs="Verdana" w:hAnsi="Verdana" w:eastAsia="Verdana"/>
          <w:b w:val="0"/>
          <w:bCs w:val="0"/>
        </w:rPr>
      </w:pPr>
      <w:r>
        <w:rPr>
          <w:rFonts w:ascii="Verdana" w:hAnsi="Verdana"/>
          <w:b w:val="0"/>
          <w:bCs w:val="0"/>
          <w:rtl w:val="0"/>
          <w:lang w:val="en-US"/>
        </w:rPr>
        <w:t>3. Bipedalism as Anatomical Precondition</w:t>
      </w:r>
    </w:p>
    <w:p>
      <w:pPr>
        <w:pStyle w:val="Heading"/>
        <w:rPr>
          <w:rFonts w:ascii="Verdana" w:cs="Verdana" w:hAnsi="Verdana" w:eastAsia="Verdana"/>
          <w:b w:val="0"/>
          <w:bCs w:val="0"/>
        </w:rPr>
      </w:pPr>
      <w:r>
        <w:rPr>
          <w:rFonts w:ascii="Verdana" w:hAnsi="Verdana"/>
          <w:b w:val="0"/>
          <w:bCs w:val="0"/>
          <w:sz w:val="24"/>
          <w:szCs w:val="24"/>
          <w:rtl w:val="0"/>
          <w:lang w:val="en-US"/>
        </w:rPr>
        <w:t>Independent of and prior to any cognitive consequence, bipedal locomotion freed the forelimb from its locomotor role, converting the hand into an organ available for sustained, fine manipulation. This is the anatomical precondition without which subsequent tool-based niche construction (Section 5) would not have had a viable physical substrate to act on. The timing of bipedal adaptation in early Australopithecus broadly overlaps the wide dating window for the chromosome 2 fusion, but the relationship between the two remains, at present, a matter of correlated timing rather than demonstrated mechanism. This paper does not assert that the fusion caused bipedalism, or that bipedalism caused the fusion's persistence; both are noted as components of the same compounding window without claiming a causal arrow between them that the evidence does not yet support.</w:t>
      </w:r>
    </w:p>
    <w:p>
      <w:pPr>
        <w:pStyle w:val="Heading"/>
        <w:rPr>
          <w:rFonts w:ascii="Verdana" w:cs="Verdana" w:hAnsi="Verdana" w:eastAsia="Verdana"/>
          <w:b w:val="0"/>
          <w:bCs w:val="0"/>
        </w:rPr>
      </w:pPr>
      <w:r>
        <w:rPr>
          <w:rFonts w:ascii="Verdana" w:hAnsi="Verdana"/>
          <w:b w:val="0"/>
          <w:bCs w:val="0"/>
          <w:rtl w:val="0"/>
          <w:lang w:val="en-US"/>
        </w:rPr>
        <w:t>4. The Climatic Mosaic</w:t>
      </w:r>
    </w:p>
    <w:p>
      <w:pPr>
        <w:pStyle w:val="Heading"/>
        <w:rPr>
          <w:rFonts w:ascii="Verdana" w:cs="Verdana" w:hAnsi="Verdana" w:eastAsia="Verdana"/>
          <w:b w:val="0"/>
          <w:bCs w:val="0"/>
        </w:rPr>
      </w:pPr>
      <w:r>
        <w:rPr>
          <w:rFonts w:ascii="Verdana" w:hAnsi="Verdana"/>
          <w:b w:val="0"/>
          <w:bCs w:val="0"/>
          <w:sz w:val="24"/>
          <w:szCs w:val="24"/>
          <w:rtl w:val="0"/>
          <w:lang w:val="en-US"/>
        </w:rPr>
        <w:t>Potts (2012) and earlier formulations of the variability selection hypothesis argue that hominin evolution was shaped less by any single directional environmental pressure than by the East African Rift's repeated, unpredictable oscillation between wetter and drier conditions across the Plio-Pleistocene. Under this model, selection favored behavioral flexibility, social cooperation, and dietary breadth over any single fixed morphological specialization, because no single specialization remained advantageous across the full range of conditions a population would encounter within a few generations.</w:t>
      </w:r>
    </w:p>
    <w:p>
      <w:pPr>
        <w:pStyle w:val="Heading"/>
        <w:rPr>
          <w:rFonts w:ascii="Verdana" w:cs="Verdana" w:hAnsi="Verdana" w:eastAsia="Verdana"/>
          <w:b w:val="0"/>
          <w:bCs w:val="0"/>
        </w:rPr>
      </w:pPr>
      <w:r>
        <w:rPr>
          <w:rFonts w:ascii="Verdana" w:hAnsi="Verdana"/>
          <w:b w:val="0"/>
          <w:bCs w:val="0"/>
          <w:sz w:val="24"/>
          <w:szCs w:val="24"/>
          <w:rtl w:val="0"/>
          <w:lang w:val="en-US"/>
        </w:rPr>
        <w:t>This factor is significant to the present argument for a reason beyond its role in earlier accounts of hominin cognition, already established in this author's prior work (Vondoom, Cognitive Preconditions for the Deep Symbolic Systems Model, OSF, 2026). The specific climatic sequence that produced this selection regime is itself non-repeating. Contemporary and future climate dynamics, shaped by entirely different continental configurations, ocean circulation patterns, and orbital forcing phases, do not reproduce the Plio-Pleistocene East African mosaic. If hominin divergence required this particular climatic sequence as one necessary component, then the sequence's irreproducibility is itself an argument for contingency over inevitability: the same outcome cannot be expected to recur simply because cognitive capacity exists elsewhere in the animal kingdom, because the specific environmental trigger that interacted with that capacity in the hominin case will not recur.</w:t>
      </w:r>
    </w:p>
    <w:p>
      <w:pPr>
        <w:pStyle w:val="Heading"/>
        <w:rPr>
          <w:rFonts w:ascii="Verdana" w:cs="Verdana" w:hAnsi="Verdana" w:eastAsia="Verdana"/>
          <w:b w:val="0"/>
          <w:bCs w:val="0"/>
        </w:rPr>
      </w:pPr>
      <w:r>
        <w:rPr>
          <w:rFonts w:ascii="Verdana" w:hAnsi="Verdana"/>
          <w:b w:val="0"/>
          <w:bCs w:val="0"/>
          <w:rtl w:val="0"/>
          <w:lang w:val="en-US"/>
        </w:rPr>
        <w:t>5. Niche Construction: Tools and Fire as the Mutation</w:t>
      </w:r>
      <w:r>
        <w:rPr>
          <w:rFonts w:ascii="Verdana" w:hAnsi="Verdana" w:hint="default"/>
          <w:b w:val="0"/>
          <w:bCs w:val="0"/>
          <w:rtl w:val="0"/>
        </w:rPr>
        <w:t>–</w:t>
      </w:r>
      <w:r>
        <w:rPr>
          <w:rFonts w:ascii="Verdana" w:hAnsi="Verdana"/>
          <w:b w:val="0"/>
          <w:bCs w:val="0"/>
          <w:rtl w:val="0"/>
          <w:lang w:val="en-US"/>
        </w:rPr>
        <w:t>Selection Bridge</w:t>
      </w:r>
    </w:p>
    <w:p>
      <w:pPr>
        <w:pStyle w:val="Heading"/>
        <w:rPr>
          <w:rFonts w:ascii="Verdana" w:cs="Verdana" w:hAnsi="Verdana" w:eastAsia="Verdana"/>
          <w:b w:val="0"/>
          <w:bCs w:val="0"/>
        </w:rPr>
      </w:pPr>
      <w:r>
        <w:rPr>
          <w:rFonts w:ascii="Verdana" w:hAnsi="Verdana"/>
          <w:b w:val="0"/>
          <w:bCs w:val="0"/>
          <w:sz w:val="24"/>
          <w:szCs w:val="24"/>
          <w:rtl w:val="0"/>
          <w:lang w:val="en-US"/>
        </w:rPr>
        <w:t xml:space="preserve">A precise distinction must be maintained here. Tool use and controlled fire did not cause genetic mutations; mutations arise through ordinary, undirected replication error, independent of behavior. What sustained tool use and fire control did was reshape the selective environment so that mutations conferring advantages relevant to those behaviors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finer manual control, sustained attention, metabolic efficiency under a cooked-food diet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were more likely to be retained and fixed once they happened to arise. This is the standard mechanism of niche construction and gene-culture coevolution, sometimes referred to as the Baldwin effect, and it requires no exception to ordinary selection theory.</w:t>
      </w:r>
    </w:p>
    <w:p>
      <w:pPr>
        <w:pStyle w:val="Heading"/>
        <w:rPr>
          <w:rFonts w:ascii="Verdana" w:cs="Verdana" w:hAnsi="Verdana" w:eastAsia="Verdana"/>
          <w:b w:val="0"/>
          <w:bCs w:val="0"/>
        </w:rPr>
      </w:pPr>
      <w:r>
        <w:rPr>
          <w:rFonts w:ascii="Verdana" w:hAnsi="Verdana"/>
          <w:b w:val="0"/>
          <w:bCs w:val="0"/>
          <w:sz w:val="24"/>
          <w:szCs w:val="24"/>
          <w:rtl w:val="0"/>
          <w:lang w:val="en-US"/>
        </w:rPr>
        <w:t xml:space="preserve">Acheulean toolkits, persisting from approximately 1.7 million to 300,000 years ago, already provide direct evidence of multi-stage planning, standardized production templates, and socially transmitted manufacturing schemas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a foundation laid out in detail in this author's earlier work (Vondoom, Cognitive Preconditions for the Deep Symbolic Systems Model, OSF, 2026), which need not be re-derived here. Wrangham's cooking hypothesis (2009) proposes that controlled use of fire for cooking increased the caloric availability of the hominin diet sufficiently to permit gut size reduction and a corresponding reallocation of metabolic energy toward an increasingly expensive brain. The dating of controlled fire use remains genuinely contested: solid evidence places habitual fire use at approximately one million years ago (Wonderwerk Cave, South Africa), with disputed claims pushing the date earlier, toward 1.5 to 2 million years ago. This uncertainty should be stated plainly rather than resolved by selecting whichever date best supports a tidy narrative; Gowlett (2009), cited in this author's earlier work, similarly treats the timing as an open empirical question rather than a settled fact.</w:t>
      </w:r>
    </w:p>
    <w:p>
      <w:pPr>
        <w:pStyle w:val="Heading"/>
        <w:rPr>
          <w:rFonts w:ascii="Verdana" w:cs="Verdana" w:hAnsi="Verdana" w:eastAsia="Verdana"/>
          <w:b w:val="0"/>
          <w:bCs w:val="0"/>
        </w:rPr>
      </w:pPr>
      <w:r>
        <w:rPr>
          <w:rFonts w:ascii="Verdana" w:hAnsi="Verdana"/>
          <w:b w:val="0"/>
          <w:bCs w:val="0"/>
          <w:sz w:val="24"/>
          <w:szCs w:val="24"/>
          <w:rtl w:val="0"/>
          <w:lang w:val="en-US"/>
        </w:rPr>
        <w:t xml:space="preserve">The compounding logic that this section contributes to the paper's overall thesis is as follows: two independent, low-probability behavioral innovations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sustained tool tradition and controlled fire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had to co-occur with the chromosomal, anatomical, and climatic factors already described. Each additional independently-occurring requirement compounds the improbability of the full stack recurring elsewhere, strengthening the contingency position over the convergence position addressed in the next section.</w:t>
      </w:r>
    </w:p>
    <w:p>
      <w:pPr>
        <w:pStyle w:val="Heading"/>
        <w:rPr>
          <w:rFonts w:ascii="Verdana" w:cs="Verdana" w:hAnsi="Verdana" w:eastAsia="Verdana"/>
          <w:b w:val="0"/>
          <w:bCs w:val="0"/>
        </w:rPr>
      </w:pPr>
      <w:r>
        <w:rPr>
          <w:rFonts w:ascii="Verdana" w:hAnsi="Verdana"/>
          <w:b w:val="0"/>
          <w:bCs w:val="0"/>
          <w:rtl w:val="0"/>
          <w:lang w:val="en-US"/>
        </w:rPr>
        <w:t>6. FOXP2 and the Contested Timing of Articulate Speech</w:t>
      </w:r>
    </w:p>
    <w:p>
      <w:pPr>
        <w:pStyle w:val="Heading"/>
        <w:rPr>
          <w:rFonts w:ascii="Verdana" w:cs="Verdana" w:hAnsi="Verdana" w:eastAsia="Verdana"/>
          <w:b w:val="0"/>
          <w:bCs w:val="0"/>
        </w:rPr>
      </w:pPr>
      <w:r>
        <w:rPr>
          <w:rFonts w:ascii="Verdana" w:hAnsi="Verdana"/>
          <w:b w:val="0"/>
          <w:bCs w:val="0"/>
          <w:sz w:val="24"/>
          <w:szCs w:val="24"/>
          <w:rtl w:val="0"/>
          <w:lang w:val="en-US"/>
        </w:rPr>
        <w:t xml:space="preserve">FOXP2, located on chromosome 7, encodes a transcription factor that regulates a network of downstream genes involved in fine motor coordination of the orofacial musculature. It is not, contrary to frequent shorthand, a </w:t>
      </w:r>
      <w:r>
        <w:rPr>
          <w:rFonts w:ascii="Verdana" w:hAnsi="Verdana" w:hint="default"/>
          <w:b w:val="0"/>
          <w:bCs w:val="0"/>
          <w:sz w:val="24"/>
          <w:szCs w:val="24"/>
          <w:rtl w:val="1"/>
          <w:lang w:val="ar-SA" w:bidi="ar-SA"/>
        </w:rPr>
        <w:t>“</w:t>
      </w:r>
      <w:r>
        <w:rPr>
          <w:rFonts w:ascii="Verdana" w:hAnsi="Verdana"/>
          <w:b w:val="0"/>
          <w:bCs w:val="0"/>
          <w:sz w:val="24"/>
          <w:szCs w:val="24"/>
          <w:rtl w:val="0"/>
          <w:lang w:val="en-US"/>
        </w:rPr>
        <w:t>language gene</w:t>
      </w:r>
      <w:r>
        <w:rPr>
          <w:rFonts w:ascii="Verdana" w:hAnsi="Verdana" w:hint="default"/>
          <w:b w:val="0"/>
          <w:bCs w:val="0"/>
          <w:sz w:val="24"/>
          <w:szCs w:val="24"/>
          <w:rtl w:val="0"/>
        </w:rPr>
        <w:t xml:space="preserve">” </w:t>
      </w:r>
      <w:r>
        <w:rPr>
          <w:rFonts w:ascii="Verdana" w:hAnsi="Verdana"/>
          <w:b w:val="0"/>
          <w:bCs w:val="0"/>
          <w:sz w:val="24"/>
          <w:szCs w:val="24"/>
          <w:rtl w:val="0"/>
          <w:lang w:val="en-US"/>
        </w:rPr>
        <w:t xml:space="preserve">in any broad sense; its well-documented role is narrower and more mechanical, governing the rapid, precisely sequenced articulatory movements that fluent speech requires. Two amino acid substitutions distinguish the human FOXP2 protein from the chimpanzee version. Enard et al. (2002), applying a molecular-clock analysis to the mutation pattern surrounding these substitutions, estimated that the human variant was fixed under positive selection within roughly the last two hundred thousand years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an estimate widely interpreted at the time as coinciding with the emergence of anatomically modern Homo sapiens.</w:t>
      </w:r>
    </w:p>
    <w:p>
      <w:pPr>
        <w:pStyle w:val="Heading"/>
        <w:rPr>
          <w:rFonts w:ascii="Verdana" w:cs="Verdana" w:hAnsi="Verdana" w:eastAsia="Verdana"/>
          <w:b w:val="0"/>
          <w:bCs w:val="0"/>
        </w:rPr>
      </w:pPr>
      <w:r>
        <w:rPr>
          <w:rFonts w:ascii="Verdana" w:hAnsi="Verdana"/>
          <w:b w:val="0"/>
          <w:bCs w:val="0"/>
          <w:sz w:val="24"/>
          <w:szCs w:val="24"/>
          <w:rtl w:val="0"/>
          <w:lang w:val="en-US"/>
        </w:rPr>
        <w:t>That interpretation became substantially more complicated five years later. Krause et al. (2007) sequenced the FOXP2 gene from Neanderthal fossil remains at El Sidr</w:t>
      </w:r>
      <w:r>
        <w:rPr>
          <w:rFonts w:ascii="Verdana" w:hAnsi="Verdana" w:hint="default"/>
          <w:b w:val="0"/>
          <w:bCs w:val="0"/>
          <w:sz w:val="24"/>
          <w:szCs w:val="24"/>
          <w:rtl w:val="0"/>
          <w:lang w:val="es-ES_tradnl"/>
        </w:rPr>
        <w:t>ó</w:t>
      </w:r>
      <w:r>
        <w:rPr>
          <w:rFonts w:ascii="Verdana" w:hAnsi="Verdana"/>
          <w:b w:val="0"/>
          <w:bCs w:val="0"/>
          <w:sz w:val="24"/>
          <w:szCs w:val="24"/>
          <w:rtl w:val="0"/>
          <w:lang w:val="en-US"/>
        </w:rPr>
        <w:t>n, Spain, and found that Neanderthals carried the same two human-specific substitutions. The shared variant implies that the underlying selection event occurred before the Neanderthal and Homo sapiens lineages diverged, pushing the plausible fixation date from Enard's original two-hundred-thousand-year estimate back toward approximately three hundred and fifty thousand years ago. The dating of FOXP2 fixation is, as a direct consequence, an unresolved question in the literature rather than a settled one, and this paper states that uncertainty plainly rather than selecting whichever figure best supports a clean narrative.</w:t>
      </w:r>
    </w:p>
    <w:p>
      <w:pPr>
        <w:pStyle w:val="Heading"/>
        <w:rPr>
          <w:rFonts w:ascii="Verdana" w:cs="Verdana" w:hAnsi="Verdana" w:eastAsia="Verdana"/>
          <w:b w:val="0"/>
          <w:bCs w:val="0"/>
        </w:rPr>
      </w:pPr>
      <w:r>
        <w:rPr>
          <w:rFonts w:ascii="Verdana" w:hAnsi="Verdana"/>
          <w:b w:val="0"/>
          <w:bCs w:val="0"/>
          <w:sz w:val="24"/>
          <w:szCs w:val="24"/>
          <w:rtl w:val="0"/>
          <w:lang w:val="en-US"/>
        </w:rPr>
        <w:t>A further line of evidence adds to the uncertainty rather than resolving it. A hyoid bone recovered from Atapuerca, Spain, and associated with Homo heidelbergensis at approximately five hundred thousand years ago, more closely resembles the modern human hyoid than the ape configuration, suggesting that some components of vocal tract anatomy may have shifted earlier than the genetic evidence for fine articulatory control would imply. This anatomical signal is itself contested as evidence of functional speech capacity, and is presented here as a further open question rather than a corroborating data point treated as settled.</w:t>
      </w:r>
    </w:p>
    <w:p>
      <w:pPr>
        <w:pStyle w:val="Heading"/>
        <w:rPr>
          <w:rFonts w:ascii="Verdana" w:cs="Verdana" w:hAnsi="Verdana" w:eastAsia="Verdana"/>
          <w:b w:val="0"/>
          <w:bCs w:val="0"/>
        </w:rPr>
      </w:pPr>
      <w:r>
        <w:rPr>
          <w:rFonts w:ascii="Verdana" w:hAnsi="Verdana"/>
          <w:b w:val="0"/>
          <w:bCs w:val="0"/>
          <w:sz w:val="24"/>
          <w:szCs w:val="24"/>
          <w:rtl w:val="0"/>
          <w:lang w:val="en-US"/>
        </w:rPr>
        <w:t>The practical consequence for this paper's argument is that FOXP2 fixation does not align cleanly with the archaeological emergence of robust symbolic behavior, which this author's prior work places at approximately fifty thousand years ago at sites such as Blombos Cave (Vondoom, Cognitive Preconditions for the Deep Symbolic Systems Model, OSF, 2026). Whether FOXP2 fixation occurred two hundred thousand years ago or considerably earlier, a substantial gap of well over a hundred thousand years separates the genetic infrastructure for fine articulatory control from the archaeological signature of fully stabilized symbolic culture. This gap is informative rather than embarrassing to the paper's thesis: it indicates that FOXP2-mediated articulatory capacity was necessary infrastructure for fluent speech but was not, by itself, sufficient to produce the cumulative symbolic systems that appear far later in the material record. The capacity and its full cultural deployment are separable events, consistent with the multi-phase model already developed in this author's earlier work, and the unresolved dating of the capacity itself is one further instance of this paper's broader argument: the hominin trajectory does not resolve into a single clean moment, genetic or otherwise, but into a series of independently-dated components whose precise alignment remains an open empirical question.</w:t>
      </w:r>
    </w:p>
    <w:p>
      <w:pPr>
        <w:pStyle w:val="Heading"/>
        <w:rPr>
          <w:rFonts w:ascii="Verdana" w:cs="Verdana" w:hAnsi="Verdana" w:eastAsia="Verdana"/>
          <w:b w:val="0"/>
          <w:bCs w:val="0"/>
        </w:rPr>
      </w:pPr>
      <w:r>
        <w:rPr>
          <w:rFonts w:ascii="Verdana" w:hAnsi="Verdana"/>
          <w:b w:val="0"/>
          <w:bCs w:val="0"/>
          <w:rtl w:val="0"/>
          <w:lang w:val="en-US"/>
        </w:rPr>
        <w:t>7. Cognition-First or Articulation-First? The Directionality Question</w:t>
      </w:r>
    </w:p>
    <w:p>
      <w:pPr>
        <w:pStyle w:val="Heading"/>
        <w:rPr>
          <w:rFonts w:ascii="Verdana" w:cs="Verdana" w:hAnsi="Verdana" w:eastAsia="Verdana"/>
          <w:b w:val="0"/>
          <w:bCs w:val="0"/>
        </w:rPr>
      </w:pPr>
      <w:r>
        <w:rPr>
          <w:rFonts w:ascii="Verdana" w:hAnsi="Verdana"/>
          <w:b w:val="0"/>
          <w:bCs w:val="0"/>
          <w:sz w:val="24"/>
          <w:szCs w:val="24"/>
          <w:rtl w:val="0"/>
          <w:lang w:val="en-US"/>
        </w:rPr>
        <w:t>Section 6 establishes that FOXP2-mediated articulatory capacity preceded the archaeological emergence of stabilized symbolic culture by well over a hundred thousand years, treating the capacity and its cultural deployment as separable events. That framing leaves an important question unaddressed: did the prior availability of fine vocal-motor control create the conditions under which symbolic cognition then developed, or did a substantial degree of symbolic cognition already exist through some other channel, later conscripting vocal articulation once it became available? These are different claims, and the literature on language evolution has not settled which, if either, is correct.</w:t>
      </w:r>
    </w:p>
    <w:p>
      <w:pPr>
        <w:pStyle w:val="Heading"/>
        <w:rPr>
          <w:rFonts w:ascii="Verdana" w:cs="Verdana" w:hAnsi="Verdana" w:eastAsia="Verdana"/>
          <w:b w:val="0"/>
          <w:bCs w:val="0"/>
        </w:rPr>
      </w:pPr>
      <w:r>
        <w:rPr>
          <w:rFonts w:ascii="Verdana" w:hAnsi="Verdana"/>
          <w:b w:val="0"/>
          <w:bCs w:val="0"/>
          <w:sz w:val="24"/>
          <w:szCs w:val="24"/>
          <w:rtl w:val="0"/>
          <w:lang w:val="en-US"/>
        </w:rPr>
        <w:t xml:space="preserve">One line of argument favors symbolic cognition preceding vocal speech. Corballis (2002) proposes that language may have originated substantially in manual and gestural communication, since voluntary cortical control over the hands was already well established through the bipedal and tool-use trajectory described in Sections 3 and 5, well before comparable fine control over the vocal apparatus was in place. Donald (1991) describes a </w:t>
      </w:r>
      <w:r>
        <w:rPr>
          <w:rFonts w:ascii="Verdana" w:hAnsi="Verdana" w:hint="default"/>
          <w:b w:val="0"/>
          <w:bCs w:val="0"/>
          <w:sz w:val="24"/>
          <w:szCs w:val="24"/>
          <w:rtl w:val="1"/>
          <w:lang w:val="ar-SA" w:bidi="ar-SA"/>
        </w:rPr>
        <w:t>“</w:t>
      </w:r>
      <w:r>
        <w:rPr>
          <w:rFonts w:ascii="Verdana" w:hAnsi="Verdana"/>
          <w:b w:val="0"/>
          <w:bCs w:val="0"/>
          <w:sz w:val="24"/>
          <w:szCs w:val="24"/>
          <w:rtl w:val="0"/>
          <w:lang w:val="fr-FR"/>
        </w:rPr>
        <w:t>mimetic</w:t>
      </w:r>
      <w:r>
        <w:rPr>
          <w:rFonts w:ascii="Verdana" w:hAnsi="Verdana" w:hint="default"/>
          <w:b w:val="0"/>
          <w:bCs w:val="0"/>
          <w:sz w:val="24"/>
          <w:szCs w:val="24"/>
          <w:rtl w:val="0"/>
        </w:rPr>
        <w:t xml:space="preserve">” </w:t>
      </w:r>
      <w:r>
        <w:rPr>
          <w:rFonts w:ascii="Verdana" w:hAnsi="Verdana"/>
          <w:b w:val="0"/>
          <w:bCs w:val="0"/>
          <w:sz w:val="24"/>
          <w:szCs w:val="24"/>
          <w:rtl w:val="0"/>
          <w:lang w:val="en-US"/>
        </w:rPr>
        <w:t xml:space="preserve">stage of hominin culture, characterized by ritualized gesture, imitation, and enactment, which he positions as a genuine precursor to fully linguistic culture rather than a cognitively impoverished placeholder for it. Chomsky and Berwick (2016) make the strongest version of this case from a different direction, arguing that language is fundamentally a computational capacity for recursive combination, and that vocal speech is merely one possible channel for externalizing an already-formed internal system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a position substantially supported by the existence of sign languages, which display the same grammatical and recursive complexity as spoken languages despite using no vocal articulation at all. On this family of views, the relevant cognitive substrate plausibly existed before, and independently of, vocal articulation, and what FOXP2 fixation provided was a new channel for an existing capacity rather than the cause of the capacity itself.</w:t>
      </w:r>
    </w:p>
    <w:p>
      <w:pPr>
        <w:pStyle w:val="Heading"/>
        <w:rPr>
          <w:rFonts w:ascii="Verdana" w:cs="Verdana" w:hAnsi="Verdana" w:eastAsia="Verdana"/>
          <w:b w:val="0"/>
          <w:bCs w:val="0"/>
        </w:rPr>
      </w:pPr>
      <w:r>
        <w:rPr>
          <w:rFonts w:ascii="Verdana" w:hAnsi="Verdana"/>
          <w:b w:val="0"/>
          <w:bCs w:val="0"/>
          <w:sz w:val="24"/>
          <w:szCs w:val="24"/>
          <w:rtl w:val="0"/>
          <w:lang w:val="en-US"/>
        </w:rPr>
        <w:t>A competing line of argument treats vocal communication itself as the evolutionarily significant target, not merely an interchangeable externalization channel. Dunbar (1996) argues that vocal language emerged as a low-cost substitute for physical grooming as social group sizes grew beyond what grooming could sustain, making the vocal channel specifically, rather than symbolic cognition in general, the trait under direct selection. Pinker and Bloom (1990) argue more broadly that language, including its articulatory machinery, is an adaptation shaped by ordinary natural selection for communicative function in essentially the same manner as any other complex biological trait, rather than a by-product or secondary externalization of some more general cognitive faculty. If this family of views is correct, the strong, specific selection pressure on FOXP2 is better explained as direct selection for vocal communication itself than as an incidental channel for pre-existing thought.</w:t>
      </w:r>
    </w:p>
    <w:p>
      <w:pPr>
        <w:pStyle w:val="Heading"/>
        <w:rPr>
          <w:rFonts w:ascii="Verdana" w:cs="Verdana" w:hAnsi="Verdana" w:eastAsia="Verdana"/>
          <w:b w:val="0"/>
          <w:bCs w:val="0"/>
        </w:rPr>
      </w:pPr>
      <w:r>
        <w:rPr>
          <w:rFonts w:ascii="Verdana" w:hAnsi="Verdana"/>
          <w:b w:val="0"/>
          <w:bCs w:val="0"/>
          <w:sz w:val="24"/>
          <w:szCs w:val="24"/>
          <w:rtl w:val="0"/>
          <w:lang w:val="en-US"/>
        </w:rPr>
        <w:t>This paper does not resolve the disagreement, and presents both positions fairly rather than adopting one. What can be said is that the evidence does not point cleanly in a single direction: the capacity of sign languages to carry full linguistic complexity without vocal articulation lends real support to a cognition-first, modality-secondary account, while the apparent strength and specificity of selection on FOXP2 for vocal-motor control is more easily explained if the vocal channel carried independent fitness value of its own. Rather than treating this as a defect in the paper's argument, it is best read as a further instance of its central claim: the human language faculty does not resolve into one settled causal story any more than its dating does. It is one additional layer of an already-stacked, only partially understood sequence, not a clean point of origin.</w:t>
      </w:r>
    </w:p>
    <w:p>
      <w:pPr>
        <w:pStyle w:val="Heading"/>
        <w:rPr>
          <w:rFonts w:ascii="Verdana" w:cs="Verdana" w:hAnsi="Verdana" w:eastAsia="Verdana"/>
          <w:b w:val="0"/>
          <w:bCs w:val="0"/>
        </w:rPr>
      </w:pPr>
      <w:r>
        <w:rPr>
          <w:rFonts w:ascii="Verdana" w:hAnsi="Verdana"/>
          <w:b w:val="0"/>
          <w:bCs w:val="0"/>
          <w:rtl w:val="0"/>
          <w:lang w:val="en-US"/>
        </w:rPr>
        <w:t>8. The Contingency</w:t>
      </w:r>
      <w:r>
        <w:rPr>
          <w:rFonts w:ascii="Verdana" w:hAnsi="Verdana" w:hint="default"/>
          <w:b w:val="0"/>
          <w:bCs w:val="0"/>
          <w:rtl w:val="0"/>
        </w:rPr>
        <w:t>–</w:t>
      </w:r>
      <w:r>
        <w:rPr>
          <w:rFonts w:ascii="Verdana" w:hAnsi="Verdana"/>
          <w:b w:val="0"/>
          <w:bCs w:val="0"/>
          <w:rtl w:val="0"/>
          <w:lang w:val="en-US"/>
        </w:rPr>
        <w:t>Convergence Debate</w:t>
      </w:r>
    </w:p>
    <w:p>
      <w:pPr>
        <w:pStyle w:val="Heading"/>
        <w:rPr>
          <w:rFonts w:ascii="Verdana" w:cs="Verdana" w:hAnsi="Verdana" w:eastAsia="Verdana"/>
          <w:b w:val="0"/>
          <w:bCs w:val="0"/>
        </w:rPr>
      </w:pPr>
      <w:r>
        <w:rPr>
          <w:rFonts w:ascii="Verdana" w:hAnsi="Verdana"/>
          <w:b w:val="0"/>
          <w:bCs w:val="0"/>
          <w:sz w:val="24"/>
          <w:szCs w:val="24"/>
          <w:rtl w:val="0"/>
          <w:lang w:val="en-US"/>
        </w:rPr>
        <w:t xml:space="preserve">This paper's argument intersects directly with a long-standing and unresolved disagreement in evolutionary biology. Gould (1989), in Wonderful Life, argued through the </w:t>
      </w:r>
      <w:r>
        <w:rPr>
          <w:rFonts w:ascii="Verdana" w:hAnsi="Verdana" w:hint="default"/>
          <w:b w:val="0"/>
          <w:bCs w:val="0"/>
          <w:sz w:val="24"/>
          <w:szCs w:val="24"/>
          <w:rtl w:val="1"/>
          <w:lang w:val="ar-SA" w:bidi="ar-SA"/>
        </w:rPr>
        <w:t>“</w:t>
      </w:r>
      <w:r>
        <w:rPr>
          <w:rFonts w:ascii="Verdana" w:hAnsi="Verdana"/>
          <w:b w:val="0"/>
          <w:bCs w:val="0"/>
          <w:sz w:val="24"/>
          <w:szCs w:val="24"/>
          <w:rtl w:val="0"/>
          <w:lang w:val="en-US"/>
        </w:rPr>
        <w:t>replay the tape of life</w:t>
      </w:r>
      <w:r>
        <w:rPr>
          <w:rFonts w:ascii="Verdana" w:hAnsi="Verdana" w:hint="default"/>
          <w:b w:val="0"/>
          <w:bCs w:val="0"/>
          <w:sz w:val="24"/>
          <w:szCs w:val="24"/>
          <w:rtl w:val="0"/>
        </w:rPr>
        <w:t xml:space="preserve">” </w:t>
      </w:r>
      <w:r>
        <w:rPr>
          <w:rFonts w:ascii="Verdana" w:hAnsi="Verdana"/>
          <w:b w:val="0"/>
          <w:bCs w:val="0"/>
          <w:sz w:val="24"/>
          <w:szCs w:val="24"/>
          <w:rtl w:val="0"/>
          <w:lang w:val="en-US"/>
        </w:rPr>
        <w:t>thought experiment that evolutionary history is so contingent on chance events that re-running it under similar starting conditions would plausibly produce a radically different outcome; human-like intelligence, on this view, was a low-probability accident rather than a destination the evolutionary process was likely to reach. Conway Morris (2003), in Life's Solution, argued the opposite: that the adaptive landscape repeatedly funnels organisms toward a limited set of effective solutions, such that something resembling complex intelligence would plausibly re-emerge given comparable selective pressures, even from an unrelated starting lineage.</w:t>
      </w:r>
    </w:p>
    <w:p>
      <w:pPr>
        <w:pStyle w:val="Heading"/>
        <w:rPr>
          <w:rFonts w:ascii="Verdana" w:cs="Verdana" w:hAnsi="Verdana" w:eastAsia="Verdana"/>
          <w:b w:val="0"/>
          <w:bCs w:val="0"/>
        </w:rPr>
      </w:pPr>
      <w:r>
        <w:rPr>
          <w:rFonts w:ascii="Verdana" w:hAnsi="Verdana"/>
          <w:b w:val="0"/>
          <w:bCs w:val="0"/>
          <w:sz w:val="24"/>
          <w:szCs w:val="24"/>
          <w:rtl w:val="0"/>
          <w:lang w:val="en-US"/>
        </w:rPr>
        <w:t>There is genuine partial evidence for convergence, but it operates at the level of complex cognition in general rather than at the level of the specific human package. Corvids have independently evolved sophisticated tool use, causal reasoning, and social cognition through a neural architecture entirely unlike the mammalian cortex (Emery and Clayton, 2004). Octopuses display complex, flexible problem-solving despite a decentralized nervous system with no clear analogue to a vertebrate brain. Elephants pass mirror self-recognition tests and display long-term social memory (Plotnik, de Waal, and Reiss, 2006). These cases support Conway Morris's claim that complex cognition is not a uniquely mammalian, still less uniquely primate, achievement. None of these species, however, are converging toward anything resembling the specific human package of bipedal locomotion, vocal anatomy suited to articulate speech, fine manual precision, and cumulative symbolic culture. The convergence evidence supports cognition as a recurring solution; it does not support the human configuration as a recurring solution.</w:t>
      </w:r>
    </w:p>
    <w:p>
      <w:pPr>
        <w:pStyle w:val="Heading"/>
        <w:rPr>
          <w:rFonts w:ascii="Verdana" w:cs="Verdana" w:hAnsi="Verdana" w:eastAsia="Verdana"/>
          <w:b w:val="0"/>
          <w:bCs w:val="0"/>
        </w:rPr>
      </w:pPr>
      <w:r>
        <w:rPr>
          <w:rFonts w:ascii="Verdana" w:hAnsi="Verdana"/>
          <w:b w:val="0"/>
          <w:bCs w:val="0"/>
          <w:sz w:val="24"/>
          <w:szCs w:val="24"/>
          <w:rtl w:val="0"/>
          <w:lang w:val="en-US"/>
        </w:rPr>
        <w:t>Taken together with the climatic, behavioral, and articulatory irreproducibility argued in Sections 4, 5, and 6, this paper's position sits closer to Gould's contingency thesis than to Conway Morris's convergence thesis, while acknowledging that the debate remains genuinely unresolved in the field and that both positions are presented here fairly rather than as a foregone conclusion.</w:t>
      </w:r>
    </w:p>
    <w:p>
      <w:pPr>
        <w:pStyle w:val="Heading"/>
        <w:rPr>
          <w:rFonts w:ascii="Verdana" w:cs="Verdana" w:hAnsi="Verdana" w:eastAsia="Verdana"/>
          <w:b w:val="0"/>
          <w:bCs w:val="0"/>
        </w:rPr>
      </w:pPr>
      <w:r>
        <w:rPr>
          <w:rFonts w:ascii="Verdana" w:hAnsi="Verdana"/>
          <w:b w:val="0"/>
          <w:bCs w:val="0"/>
          <w:rtl w:val="0"/>
          <w:lang w:val="en-US"/>
        </w:rPr>
        <w:t>9. Why Other Great Apes Did Not Converge on the Hominin Trajectory</w:t>
      </w:r>
    </w:p>
    <w:p>
      <w:pPr>
        <w:pStyle w:val="Heading"/>
        <w:rPr>
          <w:rFonts w:ascii="Verdana" w:cs="Verdana" w:hAnsi="Verdana" w:eastAsia="Verdana"/>
          <w:b w:val="0"/>
          <w:bCs w:val="0"/>
        </w:rPr>
      </w:pPr>
      <w:r>
        <w:rPr>
          <w:rFonts w:ascii="Verdana" w:hAnsi="Verdana"/>
          <w:b w:val="0"/>
          <w:bCs w:val="0"/>
          <w:sz w:val="24"/>
          <w:szCs w:val="24"/>
          <w:rtl w:val="0"/>
          <w:lang w:val="en-US"/>
        </w:rPr>
        <w:t>A common but imprecise explanation holds that other great apes have not evolved toward a human-like configuration simply because humans now occupy the relevant ecological niche and have altered the planet in ways that foreclose the option. This explanation is too strong. Chimpanzee, gorilla, and orangutan lineages were already committed to different anatomical and ecological starting points well before any plausible competitive exclusion by hominins could have applied: arboreal specialization, knuckle-walking forelimb anatomy, and social structures adapted to forest or mixed-forest environments. These commitments constrain the available evolutionary pathways independently of human presence.</w:t>
      </w:r>
    </w:p>
    <w:p>
      <w:pPr>
        <w:pStyle w:val="Heading"/>
        <w:rPr>
          <w:rFonts w:ascii="Verdana" w:cs="Verdana" w:hAnsi="Verdana" w:eastAsia="Verdana"/>
          <w:b w:val="0"/>
          <w:bCs w:val="0"/>
        </w:rPr>
      </w:pPr>
      <w:r>
        <w:rPr>
          <w:rFonts w:ascii="Verdana" w:hAnsi="Verdana"/>
          <w:b w:val="0"/>
          <w:bCs w:val="0"/>
          <w:sz w:val="24"/>
          <w:szCs w:val="24"/>
          <w:rtl w:val="0"/>
          <w:lang w:val="en-US"/>
        </w:rPr>
        <w:t>More importantly, the hominin trajectory described in this paper required the specific, non-repeating climatic mosaic detailed in Section 4 to co-occur with the anatomical, behavioral, and articulatory factors in Sections 2, 3, 5, and 6. The absence of a comparable trajectory in other apes is therefore not adequately explained by competitive exclusion alone. It is more precisely explained by the simple fact that the full stack of contingent factors did not co-occur in those lineages, regardless of whether hominins existed alongside them or not.</w:t>
      </w:r>
    </w:p>
    <w:p>
      <w:pPr>
        <w:pStyle w:val="Heading"/>
        <w:rPr>
          <w:rFonts w:ascii="Verdana" w:cs="Verdana" w:hAnsi="Verdana" w:eastAsia="Verdana"/>
          <w:b w:val="0"/>
          <w:bCs w:val="0"/>
        </w:rPr>
      </w:pPr>
      <w:r>
        <w:rPr>
          <w:rFonts w:ascii="Verdana" w:hAnsi="Verdana"/>
          <w:b w:val="0"/>
          <w:bCs w:val="0"/>
          <w:rtl w:val="0"/>
          <w:lang w:val="en-US"/>
        </w:rPr>
        <w:t>10. Cross-Lineage Credit: It Was Not Only Homo Sapiens</w:t>
      </w:r>
    </w:p>
    <w:p>
      <w:pPr>
        <w:pStyle w:val="Heading"/>
        <w:rPr>
          <w:rFonts w:ascii="Verdana" w:cs="Verdana" w:hAnsi="Verdana" w:eastAsia="Verdana"/>
          <w:b w:val="0"/>
          <w:bCs w:val="0"/>
        </w:rPr>
      </w:pPr>
      <w:r>
        <w:rPr>
          <w:rFonts w:ascii="Verdana" w:hAnsi="Verdana"/>
          <w:b w:val="0"/>
          <w:bCs w:val="0"/>
          <w:sz w:val="24"/>
          <w:szCs w:val="24"/>
          <w:rtl w:val="0"/>
          <w:lang w:val="en-US"/>
        </w:rPr>
        <w:t>The cognitive and behavioral infrastructure that culminated in Homo sapiens did not emerge solely within the lineage that produced our own species. This author's earlier comparative survey of hominin neuroanatomy (Vondoom, Neural Evolution and Symbolic Stabilization, Figshare, 2026) traces a continuous sequence from Sahelanthropus tchadensis (approximately 7 million years ago, cranial capacity approximately 350cc, ape-like with minimal sulcal complexity) through Australopithecus afarensis and africanus, Homo habilis, Homo erectus, Homo heidelbergensis, and the Neanderthal lineage, before reaching Homo sapiens. Each of these taxa contributed independently attested cognitive and technological achievements: Homo erectus produced standardized Acheulean toolkits and evidence of proto-ritual site use; Homo heidelbergensis shows cortical folding and integrative connectivity alongside burial-like practices and coordinated hunting; Neanderthals demonstrate expanded parietal and temporal lobes alongside ornamentation, complex tool traditions, and burials.</w:t>
      </w:r>
    </w:p>
    <w:p>
      <w:pPr>
        <w:pStyle w:val="Heading"/>
        <w:rPr>
          <w:rFonts w:ascii="Verdana" w:cs="Verdana" w:hAnsi="Verdana" w:eastAsia="Verdana"/>
          <w:b w:val="0"/>
          <w:bCs w:val="0"/>
        </w:rPr>
      </w:pPr>
      <w:r>
        <w:rPr>
          <w:rFonts w:ascii="Verdana" w:hAnsi="Verdana"/>
          <w:b w:val="0"/>
          <w:bCs w:val="0"/>
          <w:sz w:val="24"/>
          <w:szCs w:val="24"/>
          <w:rtl w:val="0"/>
          <w:lang w:val="en-US"/>
        </w:rPr>
        <w:t>This author's prior work on the Chagyrskaya Cave dental evidence extends this point with particular force. A fifty-nine-thousand-year-old Neanderthal molar bears unambiguous evidence of deliberate invasive dental drilling, performed and survived, predating the earliest comparable Homo sapiens evidence by more than forty thousand years. That paper argues, on the basis of this and corroborating evidence from Krapina and El Sidr</w:t>
      </w:r>
      <w:r>
        <w:rPr>
          <w:rFonts w:ascii="Verdana" w:hAnsi="Verdana" w:hint="default"/>
          <w:b w:val="0"/>
          <w:bCs w:val="0"/>
          <w:sz w:val="24"/>
          <w:szCs w:val="24"/>
          <w:rtl w:val="0"/>
          <w:lang w:val="es-ES_tradnl"/>
        </w:rPr>
        <w:t>ó</w:t>
      </w:r>
      <w:r>
        <w:rPr>
          <w:rFonts w:ascii="Verdana" w:hAnsi="Verdana"/>
          <w:b w:val="0"/>
          <w:bCs w:val="0"/>
          <w:sz w:val="24"/>
          <w:szCs w:val="24"/>
          <w:rtl w:val="0"/>
          <w:lang w:val="en-US"/>
        </w:rPr>
        <w:t>n, that Neanderthals were not cognitively outcompeted by Homo sapiens; rather, a small Neanderthal population, with an effective size on the order of three to twelve thousand individuals, was progressively absorbed through interbreeding into an expanding Homo sapiens population numbering in the tens of thousands to low hundreds of thousands. The one to four percent Neanderthal DNA present in every non-African genome today is the residue of that demographic incorporation, not evidence of a contest Neanderthals lost on cognitive grounds.</w:t>
      </w:r>
    </w:p>
    <w:p>
      <w:pPr>
        <w:pStyle w:val="Heading"/>
        <w:rPr>
          <w:rFonts w:ascii="Verdana" w:cs="Verdana" w:hAnsi="Verdana" w:eastAsia="Verdana"/>
          <w:b w:val="0"/>
          <w:bCs w:val="0"/>
        </w:rPr>
      </w:pPr>
      <w:r>
        <w:rPr>
          <w:rFonts w:ascii="Verdana" w:hAnsi="Verdana"/>
          <w:b w:val="0"/>
          <w:bCs w:val="0"/>
          <w:sz w:val="24"/>
          <w:szCs w:val="24"/>
          <w:rtl w:val="0"/>
          <w:lang w:val="en-US"/>
        </w:rPr>
        <w:t xml:space="preserve">The present paper extends this logic one further step back, and this is its central thesis. Just as Homo sapiens did not displace Neanderthals through destined cognitive superiority, the hominin lineage as a whole did not displace or surpass other great apes through destined cognitive superiority. In both cases, the explanatory weight falls on a contingent, non-repeating stack of circumstances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 xml:space="preserve">chromosomal, anatomical, climatic, and behavioral in the deep case; demographic in the more recent case </w:t>
      </w:r>
      <w:r>
        <w:rPr>
          <w:rFonts w:ascii="Verdana" w:hAnsi="Verdana" w:hint="default"/>
          <w:b w:val="0"/>
          <w:bCs w:val="0"/>
          <w:sz w:val="24"/>
          <w:szCs w:val="24"/>
          <w:rtl w:val="0"/>
          <w:lang w:val="en-US"/>
        </w:rPr>
        <w:t xml:space="preserve">— </w:t>
      </w:r>
      <w:r>
        <w:rPr>
          <w:rFonts w:ascii="Verdana" w:hAnsi="Verdana"/>
          <w:b w:val="0"/>
          <w:bCs w:val="0"/>
          <w:sz w:val="24"/>
          <w:szCs w:val="24"/>
          <w:rtl w:val="0"/>
          <w:lang w:val="en-US"/>
        </w:rPr>
        <w:t>rather than on any narrative in which one lineage was simply better and therefore prevailed. The two arguments, developed independently in this author's corpus, converge on the same underlying claim: outcomes in hominin evolutionary history are better explained by compounding contingency than by hierarchies of inherent cognitive worth.</w:t>
      </w:r>
    </w:p>
    <w:p>
      <w:pPr>
        <w:pStyle w:val="Heading"/>
        <w:rPr>
          <w:rFonts w:ascii="Verdana" w:cs="Verdana" w:hAnsi="Verdana" w:eastAsia="Verdana"/>
          <w:b w:val="0"/>
          <w:bCs w:val="0"/>
        </w:rPr>
      </w:pPr>
      <w:r>
        <w:rPr>
          <w:rFonts w:ascii="Verdana" w:hAnsi="Verdana"/>
          <w:b w:val="0"/>
          <w:bCs w:val="0"/>
          <w:rtl w:val="0"/>
          <w:lang w:val="it-IT"/>
        </w:rPr>
        <w:t>11. Conclusion</w:t>
      </w:r>
    </w:p>
    <w:p>
      <w:pPr>
        <w:pStyle w:val="Heading"/>
        <w:rPr>
          <w:rFonts w:ascii="Verdana" w:cs="Verdana" w:hAnsi="Verdana" w:eastAsia="Verdana"/>
          <w:b w:val="0"/>
          <w:bCs w:val="0"/>
        </w:rPr>
      </w:pPr>
      <w:r>
        <w:rPr>
          <w:rFonts w:ascii="Verdana" w:hAnsi="Verdana"/>
          <w:b w:val="0"/>
          <w:bCs w:val="0"/>
          <w:sz w:val="24"/>
          <w:szCs w:val="24"/>
          <w:rtl w:val="0"/>
          <w:lang w:val="en-US"/>
        </w:rPr>
        <w:t>Human emergence is most defensibly modeled as a stacked sequence of independently low-probability, non-repeating events: a chromosomal fusion of a kind documented elsewhere in mammals, now shown to be transcriptionally active rather than inert in at least one human cell line though not yet tested in neural tissue or shown to have caused the ancestral cognitive trajectory; a bipedal anatomy that freed the hand; an irreproducible climatic mosaic that rewarded behavioral flexibility; tool use and controlled fire, which reshaped selection on existing genetic variation rather than generating it; and an articulate speech capacity, mediated by FOXP2 variants on chromosome 7 whose selection timing remains genuinely contested in the literature and whose fixation, on any candidate date, precedes the archaeological emergence of stabilized symbolic culture by well over a hundred thousand years.</w:t>
      </w:r>
    </w:p>
    <w:p>
      <w:pPr>
        <w:pStyle w:val="Heading"/>
        <w:rPr>
          <w:rFonts w:ascii="Verdana" w:cs="Verdana" w:hAnsi="Verdana" w:eastAsia="Verdana"/>
          <w:b w:val="0"/>
          <w:bCs w:val="0"/>
        </w:rPr>
      </w:pPr>
      <w:r>
        <w:rPr>
          <w:rFonts w:ascii="Verdana" w:hAnsi="Verdana"/>
          <w:b w:val="0"/>
          <w:bCs w:val="0"/>
          <w:sz w:val="24"/>
          <w:szCs w:val="24"/>
          <w:rtl w:val="0"/>
          <w:lang w:val="en-US"/>
        </w:rPr>
        <w:t>Other great apes did not fail to converge on this outcome. They were never subject to the same irreproducible stack, having already committed to different and equally successful evolutionary trajectories of their own. And within the hominin lineage itself, the cognitive infrastructure that culminated in Homo sapiens was not the product of that species alone; it was accumulated across Homo erectus, Homo heidelbergensis, and Neanderthal populations, with demographic scale rather than cognitive superiority explaining why one lineage's material signature persisted while others were absorbed into it.</w:t>
      </w:r>
    </w:p>
    <w:p>
      <w:pPr>
        <w:pStyle w:val="Heading"/>
        <w:rPr>
          <w:rFonts w:ascii="Verdana" w:cs="Verdana" w:hAnsi="Verdana" w:eastAsia="Verdana"/>
          <w:b w:val="0"/>
          <w:bCs w:val="0"/>
        </w:rPr>
      </w:pPr>
      <w:r>
        <w:rPr>
          <w:rFonts w:ascii="Verdana" w:hAnsi="Verdana"/>
          <w:b w:val="0"/>
          <w:bCs w:val="0"/>
          <w:rtl w:val="0"/>
          <w:lang w:val="en-US"/>
        </w:rPr>
        <w:t>12. Sustainable Development Goals (SDG) Relevance</w:t>
      </w:r>
    </w:p>
    <w:p>
      <w:pPr>
        <w:pStyle w:val="Heading"/>
        <w:rPr>
          <w:rFonts w:ascii="Verdana" w:cs="Verdana" w:hAnsi="Verdana" w:eastAsia="Verdana"/>
          <w:b w:val="0"/>
          <w:bCs w:val="0"/>
        </w:rPr>
      </w:pPr>
      <w:r>
        <w:rPr>
          <w:rFonts w:ascii="Verdana" w:hAnsi="Verdana"/>
          <w:b w:val="0"/>
          <w:bCs w:val="0"/>
          <w:sz w:val="24"/>
          <w:szCs w:val="24"/>
          <w:rtl w:val="0"/>
          <w:lang w:val="en-US"/>
        </w:rPr>
        <w:t>This paper contributes to the following United Nations Sustainable Development Goals:</w:t>
      </w:r>
    </w:p>
    <w:p>
      <w:pPr>
        <w:pStyle w:val="Heading"/>
        <w:rPr>
          <w:rFonts w:ascii="Verdana" w:cs="Verdana" w:hAnsi="Verdana" w:eastAsia="Verdana"/>
          <w:b w:val="0"/>
          <w:bCs w:val="0"/>
        </w:rPr>
      </w:pPr>
      <w:r>
        <w:rPr>
          <w:rFonts w:ascii="Verdana" w:hAnsi="Verdana"/>
          <w:b w:val="0"/>
          <w:bCs w:val="0"/>
          <w:sz w:val="24"/>
          <w:szCs w:val="24"/>
          <w:rtl w:val="0"/>
          <w:lang w:val="en-US"/>
        </w:rPr>
        <w:t>SDG 4 (Quality Education): By reframing human cognitive emergence as a contingent, multi-lineage, and partly still-open scientific question rather than a settled narrative of singular human exceptionalism, this paper supports more accurate public and educational understanding of evolutionary biology and discourages deficit-based or hierarchical framings of non-human cognition.</w:t>
      </w:r>
    </w:p>
    <w:p>
      <w:pPr>
        <w:pStyle w:val="Heading"/>
        <w:rPr>
          <w:rFonts w:ascii="Verdana" w:cs="Verdana" w:hAnsi="Verdana" w:eastAsia="Verdana"/>
          <w:b w:val="0"/>
          <w:bCs w:val="0"/>
        </w:rPr>
      </w:pPr>
      <w:r>
        <w:rPr>
          <w:rFonts w:ascii="Verdana" w:hAnsi="Verdana"/>
          <w:b w:val="0"/>
          <w:bCs w:val="0"/>
          <w:sz w:val="24"/>
          <w:szCs w:val="24"/>
          <w:rtl w:val="0"/>
          <w:lang w:val="en-US"/>
        </w:rPr>
        <w:t>SDG 10 (Reduced Inequalities): By extending the demographic-absorption argument developed in this author's prior work on Neanderthal extinction to the broader hominin-versus-great-ape question, this paper reinforces a consistent position across the corpus: outcomes in evolutionary history reflect contingent and demographic circumstance rather than rankings of inherent worth, a framing with direct relevance to challenging hierarchical narratives applied to human populations.</w:t>
      </w:r>
    </w:p>
    <w:p>
      <w:pPr>
        <w:pStyle w:val="Heading"/>
        <w:rPr>
          <w:rFonts w:ascii="Verdana" w:cs="Verdana" w:hAnsi="Verdana" w:eastAsia="Verdana"/>
          <w:b w:val="0"/>
          <w:bCs w:val="0"/>
        </w:rPr>
      </w:pPr>
      <w:r>
        <w:rPr>
          <w:rFonts w:ascii="Verdana" w:hAnsi="Verdana"/>
          <w:b w:val="0"/>
          <w:bCs w:val="0"/>
          <w:sz w:val="24"/>
          <w:szCs w:val="24"/>
          <w:rtl w:val="0"/>
          <w:lang w:val="en-US"/>
        </w:rPr>
        <w:t>SDG 15 (Life on Land): The paper's engagement with convergent cognition in corvids, octopuses, and elephants, and its explicit rejection of the framing that other great apes are incomplete or arrested versions of hominins, underscores the independent cognitive and evolutionary value of non-human species, relevant to conservation framing for great ape populations specifically.</w:t>
      </w:r>
    </w:p>
    <w:p>
      <w:pPr>
        <w:pStyle w:val="Heading"/>
        <w:rPr>
          <w:rFonts w:ascii="Verdana" w:cs="Verdana" w:hAnsi="Verdana" w:eastAsia="Verdana"/>
          <w:b w:val="0"/>
          <w:bCs w:val="0"/>
        </w:rPr>
      </w:pPr>
      <w:r>
        <w:rPr>
          <w:rFonts w:ascii="Verdana" w:hAnsi="Verdana"/>
          <w:b w:val="0"/>
          <w:bCs w:val="0"/>
          <w:rtl w:val="0"/>
          <w:lang w:val="fr-FR"/>
        </w:rPr>
        <w:t>References</w:t>
      </w:r>
    </w:p>
    <w:p>
      <w:pPr>
        <w:pStyle w:val="Heading"/>
        <w:rPr>
          <w:rFonts w:ascii="Verdana" w:cs="Verdana" w:hAnsi="Verdana" w:eastAsia="Verdana"/>
          <w:b w:val="0"/>
          <w:bCs w:val="0"/>
          <w:sz w:val="20"/>
          <w:szCs w:val="20"/>
        </w:rPr>
      </w:pPr>
      <w:r>
        <w:rPr>
          <w:rFonts w:ascii="Verdana" w:hAnsi="Verdana"/>
          <w:b w:val="0"/>
          <w:bCs w:val="0"/>
          <w:sz w:val="20"/>
          <w:szCs w:val="20"/>
          <w:rtl w:val="0"/>
          <w:lang w:val="en-US"/>
        </w:rPr>
        <w:t>Chomsky, N., and Berwick, R. C. (2016). Why Only Us: Language and Evolution. MIT Press.</w:t>
      </w:r>
    </w:p>
    <w:p>
      <w:pPr>
        <w:pStyle w:val="Heading"/>
        <w:rPr>
          <w:rFonts w:ascii="Verdana" w:cs="Verdana" w:hAnsi="Verdana" w:eastAsia="Verdana"/>
          <w:b w:val="0"/>
          <w:bCs w:val="0"/>
          <w:sz w:val="20"/>
          <w:szCs w:val="20"/>
        </w:rPr>
      </w:pPr>
      <w:r>
        <w:rPr>
          <w:rFonts w:ascii="Verdana" w:hAnsi="Verdana"/>
          <w:b w:val="0"/>
          <w:bCs w:val="0"/>
          <w:sz w:val="20"/>
          <w:szCs w:val="20"/>
          <w:rtl w:val="0"/>
          <w:lang w:val="en-US"/>
        </w:rPr>
        <w:t>Conway Morris, S. (2003). Life's Solution: Inevitable Humans in a Lonely Universe. Cambridge University Press.</w:t>
      </w:r>
    </w:p>
    <w:p>
      <w:pPr>
        <w:pStyle w:val="Heading"/>
        <w:rPr>
          <w:rFonts w:ascii="Verdana" w:cs="Verdana" w:hAnsi="Verdana" w:eastAsia="Verdana"/>
          <w:b w:val="0"/>
          <w:bCs w:val="0"/>
          <w:sz w:val="20"/>
          <w:szCs w:val="20"/>
        </w:rPr>
      </w:pPr>
      <w:r>
        <w:rPr>
          <w:rFonts w:ascii="Verdana" w:hAnsi="Verdana"/>
          <w:b w:val="0"/>
          <w:bCs w:val="0"/>
          <w:sz w:val="20"/>
          <w:szCs w:val="20"/>
          <w:rtl w:val="0"/>
          <w:lang w:val="en-US"/>
        </w:rPr>
        <w:t>Corballis, M. C. (2002). From Hand to Mouth: The Origins of Language. Princeton University Press.</w:t>
      </w:r>
    </w:p>
    <w:p>
      <w:pPr>
        <w:pStyle w:val="Heading"/>
        <w:rPr>
          <w:rFonts w:ascii="Verdana" w:cs="Verdana" w:hAnsi="Verdana" w:eastAsia="Verdana"/>
          <w:b w:val="0"/>
          <w:bCs w:val="0"/>
          <w:sz w:val="20"/>
          <w:szCs w:val="20"/>
        </w:rPr>
      </w:pPr>
      <w:r>
        <w:rPr>
          <w:rFonts w:ascii="Verdana" w:hAnsi="Verdana"/>
          <w:b w:val="0"/>
          <w:bCs w:val="0"/>
          <w:sz w:val="20"/>
          <w:szCs w:val="20"/>
          <w:rtl w:val="0"/>
          <w:lang w:val="en-US"/>
        </w:rPr>
        <w:t>Donald, M. (1991). Origins of the Modern Mind: Three Stages in the Evolution of Culture and Cognition. Harvard University Press.</w:t>
      </w:r>
    </w:p>
    <w:p>
      <w:pPr>
        <w:pStyle w:val="Heading"/>
        <w:rPr>
          <w:rFonts w:ascii="Verdana" w:cs="Verdana" w:hAnsi="Verdana" w:eastAsia="Verdana"/>
          <w:b w:val="0"/>
          <w:bCs w:val="0"/>
          <w:sz w:val="20"/>
          <w:szCs w:val="20"/>
        </w:rPr>
      </w:pPr>
      <w:r>
        <w:rPr>
          <w:rFonts w:ascii="Verdana" w:hAnsi="Verdana"/>
          <w:b w:val="0"/>
          <w:bCs w:val="0"/>
          <w:sz w:val="20"/>
          <w:szCs w:val="20"/>
          <w:rtl w:val="0"/>
          <w:lang w:val="en-US"/>
        </w:rPr>
        <w:t>Dunbar, R. I. M. (1996). Grooming, Gossip, and the Evolution of Language. Harvard University Press.</w:t>
      </w:r>
    </w:p>
    <w:p>
      <w:pPr>
        <w:pStyle w:val="Heading"/>
        <w:rPr>
          <w:rFonts w:ascii="Verdana" w:cs="Verdana" w:hAnsi="Verdana" w:eastAsia="Verdana"/>
          <w:b w:val="0"/>
          <w:bCs w:val="0"/>
          <w:sz w:val="20"/>
          <w:szCs w:val="20"/>
        </w:rPr>
      </w:pPr>
      <w:r>
        <w:rPr>
          <w:rFonts w:ascii="Verdana" w:hAnsi="Verdana"/>
          <w:b w:val="0"/>
          <w:bCs w:val="0"/>
          <w:sz w:val="20"/>
          <w:szCs w:val="20"/>
          <w:rtl w:val="0"/>
          <w:lang w:val="en-US"/>
        </w:rPr>
        <w:t>Emery, N. J., and Clayton, N. S. (2004). The mentality of crows: Convergent evolution of intelligence in corvids and apes. Science, 306(5703), 1903</w:t>
      </w:r>
      <w:r>
        <w:rPr>
          <w:rFonts w:ascii="Verdana" w:hAnsi="Verdana" w:hint="default"/>
          <w:b w:val="0"/>
          <w:bCs w:val="0"/>
          <w:sz w:val="20"/>
          <w:szCs w:val="20"/>
          <w:rtl w:val="0"/>
        </w:rPr>
        <w:t>–</w:t>
      </w:r>
      <w:r>
        <w:rPr>
          <w:rFonts w:ascii="Verdana" w:hAnsi="Verdana"/>
          <w:b w:val="0"/>
          <w:bCs w:val="0"/>
          <w:sz w:val="20"/>
          <w:szCs w:val="20"/>
          <w:rtl w:val="0"/>
        </w:rPr>
        <w:t>1907.</w:t>
      </w:r>
    </w:p>
    <w:p>
      <w:pPr>
        <w:pStyle w:val="Heading"/>
        <w:rPr>
          <w:rFonts w:ascii="Verdana" w:cs="Verdana" w:hAnsi="Verdana" w:eastAsia="Verdana"/>
          <w:b w:val="0"/>
          <w:bCs w:val="0"/>
          <w:sz w:val="20"/>
          <w:szCs w:val="20"/>
        </w:rPr>
      </w:pPr>
      <w:r>
        <w:rPr>
          <w:rFonts w:ascii="Verdana" w:hAnsi="Verdana"/>
          <w:b w:val="0"/>
          <w:bCs w:val="0"/>
          <w:sz w:val="20"/>
          <w:szCs w:val="20"/>
          <w:rtl w:val="0"/>
        </w:rPr>
        <w:t>Enard, W., Przeworski, M., Fisher, S. E., Lai, C. S. L., Wiebe, V., Kitano, T., Monaco, A. P., and P</w:t>
      </w:r>
      <w:r>
        <w:rPr>
          <w:rFonts w:ascii="Verdana" w:hAnsi="Verdana" w:hint="default"/>
          <w:b w:val="0"/>
          <w:bCs w:val="0"/>
          <w:sz w:val="20"/>
          <w:szCs w:val="20"/>
          <w:rtl w:val="0"/>
        </w:rPr>
        <w:t>ää</w:t>
      </w:r>
      <w:r>
        <w:rPr>
          <w:rFonts w:ascii="Verdana" w:hAnsi="Verdana"/>
          <w:b w:val="0"/>
          <w:bCs w:val="0"/>
          <w:sz w:val="20"/>
          <w:szCs w:val="20"/>
          <w:rtl w:val="0"/>
          <w:lang w:val="en-US"/>
        </w:rPr>
        <w:t>bo, S. (2002). Molecular evolution of FOXP2, a gene involved in speech and language. Nature, 418, 869</w:t>
      </w:r>
      <w:r>
        <w:rPr>
          <w:rFonts w:ascii="Verdana" w:hAnsi="Verdana" w:hint="default"/>
          <w:b w:val="0"/>
          <w:bCs w:val="0"/>
          <w:sz w:val="20"/>
          <w:szCs w:val="20"/>
          <w:rtl w:val="0"/>
        </w:rPr>
        <w:t>–</w:t>
      </w:r>
      <w:r>
        <w:rPr>
          <w:rFonts w:ascii="Verdana" w:hAnsi="Verdana"/>
          <w:b w:val="0"/>
          <w:bCs w:val="0"/>
          <w:sz w:val="20"/>
          <w:szCs w:val="20"/>
          <w:rtl w:val="0"/>
        </w:rPr>
        <w:t>872.</w:t>
      </w:r>
    </w:p>
    <w:p>
      <w:pPr>
        <w:pStyle w:val="Heading"/>
        <w:rPr>
          <w:rFonts w:ascii="Verdana" w:cs="Verdana" w:hAnsi="Verdana" w:eastAsia="Verdana"/>
          <w:b w:val="0"/>
          <w:bCs w:val="0"/>
          <w:sz w:val="20"/>
          <w:szCs w:val="20"/>
        </w:rPr>
      </w:pPr>
      <w:r>
        <w:rPr>
          <w:rFonts w:ascii="Verdana" w:hAnsi="Verdana"/>
          <w:b w:val="0"/>
          <w:bCs w:val="0"/>
          <w:sz w:val="20"/>
          <w:szCs w:val="20"/>
          <w:rtl w:val="0"/>
          <w:lang w:val="en-US"/>
        </w:rPr>
        <w:t>Gould, S. J. (1989). Wonderful Life: The Burgess Shale and the Nature of History. W. W. Norton &amp; Company.</w:t>
      </w:r>
    </w:p>
    <w:p>
      <w:pPr>
        <w:pStyle w:val="Heading"/>
        <w:rPr>
          <w:rFonts w:ascii="Verdana" w:cs="Verdana" w:hAnsi="Verdana" w:eastAsia="Verdana"/>
          <w:b w:val="0"/>
          <w:bCs w:val="0"/>
          <w:sz w:val="20"/>
          <w:szCs w:val="20"/>
        </w:rPr>
      </w:pPr>
      <w:r>
        <w:rPr>
          <w:rFonts w:ascii="Verdana" w:hAnsi="Verdana"/>
          <w:b w:val="0"/>
          <w:bCs w:val="0"/>
          <w:sz w:val="20"/>
          <w:szCs w:val="20"/>
          <w:rtl w:val="0"/>
          <w:lang w:val="en-US"/>
        </w:rPr>
        <w:t xml:space="preserve">Gowlett, J. A. J. (2009). The discovery of fire and hominin cognitive evolution. Yearbook of Physical Anthropology. DOI: </w:t>
      </w:r>
      <w:r>
        <w:rPr>
          <w:rStyle w:val="Hyperlink.1"/>
          <w:rFonts w:ascii="Verdana" w:cs="Verdana" w:hAnsi="Verdana" w:eastAsia="Verdana"/>
          <w:b w:val="0"/>
          <w:bCs w:val="0"/>
          <w:sz w:val="20"/>
          <w:szCs w:val="20"/>
        </w:rPr>
        <w:fldChar w:fldCharType="begin" w:fldLock="0"/>
      </w:r>
      <w:r>
        <w:rPr>
          <w:rStyle w:val="Hyperlink.1"/>
          <w:rFonts w:ascii="Verdana" w:cs="Verdana" w:hAnsi="Verdana" w:eastAsia="Verdana"/>
          <w:b w:val="0"/>
          <w:bCs w:val="0"/>
          <w:sz w:val="20"/>
          <w:szCs w:val="20"/>
        </w:rPr>
        <w:instrText xml:space="preserve"> HYPERLINK "https://doi.org/10.1002/ajpa.21056"</w:instrText>
      </w:r>
      <w:r>
        <w:rPr>
          <w:rStyle w:val="Hyperlink.1"/>
          <w:rFonts w:ascii="Verdana" w:cs="Verdana" w:hAnsi="Verdana" w:eastAsia="Verdana"/>
          <w:b w:val="0"/>
          <w:bCs w:val="0"/>
          <w:sz w:val="20"/>
          <w:szCs w:val="20"/>
        </w:rPr>
        <w:fldChar w:fldCharType="separate" w:fldLock="0"/>
      </w:r>
      <w:r>
        <w:rPr>
          <w:rStyle w:val="Hyperlink.1"/>
          <w:rFonts w:ascii="Verdana" w:hAnsi="Verdana"/>
          <w:b w:val="0"/>
          <w:bCs w:val="0"/>
          <w:sz w:val="20"/>
          <w:szCs w:val="20"/>
          <w:rtl w:val="0"/>
        </w:rPr>
        <w:t>10.1002/ajpa.21056</w:t>
      </w:r>
      <w:r>
        <w:rPr>
          <w:rFonts w:ascii="Verdana" w:cs="Verdana" w:hAnsi="Verdana" w:eastAsia="Verdana"/>
          <w:b w:val="0"/>
          <w:bCs w:val="0"/>
          <w:sz w:val="20"/>
          <w:szCs w:val="20"/>
        </w:rPr>
        <w:fldChar w:fldCharType="end" w:fldLock="0"/>
      </w:r>
    </w:p>
    <w:p>
      <w:pPr>
        <w:pStyle w:val="Heading"/>
        <w:rPr>
          <w:rFonts w:ascii="Verdana" w:cs="Verdana" w:hAnsi="Verdana" w:eastAsia="Verdana"/>
          <w:b w:val="0"/>
          <w:bCs w:val="0"/>
          <w:sz w:val="20"/>
          <w:szCs w:val="20"/>
        </w:rPr>
      </w:pPr>
      <w:r>
        <w:rPr>
          <w:rFonts w:ascii="Verdana" w:hAnsi="Verdana"/>
          <w:b w:val="0"/>
          <w:bCs w:val="0"/>
          <w:sz w:val="20"/>
          <w:szCs w:val="20"/>
          <w:rtl w:val="0"/>
          <w:lang w:val="en-US"/>
        </w:rPr>
        <w:t>Ijdo, J. W., Baldini, A., Ward, D. C., Reeders, S. T., and Wells, R. A. (1991). Origin of human chromosome 2: An ancestral telomere-telomere fusion. Proceedings of the National Academy of Sciences, 88(20), 9051</w:t>
      </w:r>
      <w:r>
        <w:rPr>
          <w:rFonts w:ascii="Verdana" w:hAnsi="Verdana" w:hint="default"/>
          <w:b w:val="0"/>
          <w:bCs w:val="0"/>
          <w:sz w:val="20"/>
          <w:szCs w:val="20"/>
          <w:rtl w:val="0"/>
        </w:rPr>
        <w:t>–</w:t>
      </w:r>
      <w:r>
        <w:rPr>
          <w:rFonts w:ascii="Verdana" w:hAnsi="Verdana"/>
          <w:b w:val="0"/>
          <w:bCs w:val="0"/>
          <w:sz w:val="20"/>
          <w:szCs w:val="20"/>
          <w:rtl w:val="0"/>
        </w:rPr>
        <w:t>9055.</w:t>
      </w:r>
    </w:p>
    <w:p>
      <w:pPr>
        <w:pStyle w:val="Heading"/>
        <w:rPr>
          <w:rFonts w:ascii="Verdana" w:cs="Verdana" w:hAnsi="Verdana" w:eastAsia="Verdana"/>
          <w:b w:val="0"/>
          <w:bCs w:val="0"/>
          <w:sz w:val="20"/>
          <w:szCs w:val="20"/>
        </w:rPr>
      </w:pPr>
      <w:r>
        <w:rPr>
          <w:rFonts w:ascii="Verdana" w:hAnsi="Verdana"/>
          <w:b w:val="0"/>
          <w:bCs w:val="0"/>
          <w:sz w:val="20"/>
          <w:szCs w:val="20"/>
          <w:rtl w:val="0"/>
          <w:lang w:val="it-IT"/>
        </w:rPr>
        <w:t>Krause, J., Lalueza-Fox, C., Orlando, L., Enard, W., Green, R. E., Burbano, H. A., Hublin, J.-J., H</w:t>
      </w:r>
      <w:r>
        <w:rPr>
          <w:rFonts w:ascii="Verdana" w:hAnsi="Verdana" w:hint="default"/>
          <w:b w:val="0"/>
          <w:bCs w:val="0"/>
          <w:sz w:val="20"/>
          <w:szCs w:val="20"/>
          <w:rtl w:val="0"/>
        </w:rPr>
        <w:t>ä</w:t>
      </w:r>
      <w:r>
        <w:rPr>
          <w:rFonts w:ascii="Verdana" w:hAnsi="Verdana"/>
          <w:b w:val="0"/>
          <w:bCs w:val="0"/>
          <w:sz w:val="20"/>
          <w:szCs w:val="20"/>
          <w:rtl w:val="0"/>
          <w:lang w:val="es-ES_tradnl"/>
        </w:rPr>
        <w:t>nni, C., Fortea, J., de la Rasilla, M., Bertranpetit, J., Rosas, A., and P</w:t>
      </w:r>
      <w:r>
        <w:rPr>
          <w:rFonts w:ascii="Verdana" w:hAnsi="Verdana" w:hint="default"/>
          <w:b w:val="0"/>
          <w:bCs w:val="0"/>
          <w:sz w:val="20"/>
          <w:szCs w:val="20"/>
          <w:rtl w:val="0"/>
        </w:rPr>
        <w:t>ää</w:t>
      </w:r>
      <w:r>
        <w:rPr>
          <w:rFonts w:ascii="Verdana" w:hAnsi="Verdana"/>
          <w:b w:val="0"/>
          <w:bCs w:val="0"/>
          <w:sz w:val="20"/>
          <w:szCs w:val="20"/>
          <w:rtl w:val="0"/>
          <w:lang w:val="en-US"/>
        </w:rPr>
        <w:t>bo, S. (2007). The derived FOXP2 variant of modern humans was shared with Neanderthals. Current Biology, 17(21), 1908</w:t>
      </w:r>
      <w:r>
        <w:rPr>
          <w:rFonts w:ascii="Verdana" w:hAnsi="Verdana" w:hint="default"/>
          <w:b w:val="0"/>
          <w:bCs w:val="0"/>
          <w:sz w:val="20"/>
          <w:szCs w:val="20"/>
          <w:rtl w:val="0"/>
        </w:rPr>
        <w:t>–</w:t>
      </w:r>
      <w:r>
        <w:rPr>
          <w:rFonts w:ascii="Verdana" w:hAnsi="Verdana"/>
          <w:b w:val="0"/>
          <w:bCs w:val="0"/>
          <w:sz w:val="20"/>
          <w:szCs w:val="20"/>
          <w:rtl w:val="0"/>
        </w:rPr>
        <w:t>1912.</w:t>
      </w:r>
    </w:p>
    <w:p>
      <w:pPr>
        <w:pStyle w:val="Heading"/>
        <w:rPr>
          <w:rFonts w:ascii="Verdana" w:cs="Verdana" w:hAnsi="Verdana" w:eastAsia="Verdana"/>
          <w:b w:val="0"/>
          <w:bCs w:val="0"/>
          <w:sz w:val="20"/>
          <w:szCs w:val="20"/>
        </w:rPr>
      </w:pPr>
      <w:r>
        <w:rPr>
          <w:rFonts w:ascii="Verdana" w:hAnsi="Verdana"/>
          <w:b w:val="0"/>
          <w:bCs w:val="0"/>
          <w:sz w:val="20"/>
          <w:szCs w:val="20"/>
          <w:rtl w:val="0"/>
          <w:lang w:val="en-US"/>
        </w:rPr>
        <w:t>Miga, K. H. (2017). Chromosome-specific centromere sequences provide an estimate of the ancestral chromosome 2 fusion event in hominin genomes. Journal of Heredity, 108(1), 45</w:t>
      </w:r>
      <w:r>
        <w:rPr>
          <w:rFonts w:ascii="Verdana" w:hAnsi="Verdana" w:hint="default"/>
          <w:b w:val="0"/>
          <w:bCs w:val="0"/>
          <w:sz w:val="20"/>
          <w:szCs w:val="20"/>
          <w:rtl w:val="0"/>
        </w:rPr>
        <w:t>–</w:t>
      </w:r>
      <w:r>
        <w:rPr>
          <w:rFonts w:ascii="Verdana" w:hAnsi="Verdana"/>
          <w:b w:val="0"/>
          <w:bCs w:val="0"/>
          <w:sz w:val="20"/>
          <w:szCs w:val="20"/>
          <w:rtl w:val="0"/>
        </w:rPr>
        <w:t xml:space="preserve">52. DOI: </w:t>
      </w:r>
      <w:r>
        <w:rPr>
          <w:rStyle w:val="Hyperlink.1"/>
          <w:rFonts w:ascii="Verdana" w:cs="Verdana" w:hAnsi="Verdana" w:eastAsia="Verdana"/>
          <w:b w:val="0"/>
          <w:bCs w:val="0"/>
          <w:sz w:val="20"/>
          <w:szCs w:val="20"/>
        </w:rPr>
        <w:fldChar w:fldCharType="begin" w:fldLock="0"/>
      </w:r>
      <w:r>
        <w:rPr>
          <w:rStyle w:val="Hyperlink.1"/>
          <w:rFonts w:ascii="Verdana" w:cs="Verdana" w:hAnsi="Verdana" w:eastAsia="Verdana"/>
          <w:b w:val="0"/>
          <w:bCs w:val="0"/>
          <w:sz w:val="20"/>
          <w:szCs w:val="20"/>
        </w:rPr>
        <w:instrText xml:space="preserve"> HYPERLINK "https://doi.org/10.1093/jhered/esw039"</w:instrText>
      </w:r>
      <w:r>
        <w:rPr>
          <w:rStyle w:val="Hyperlink.1"/>
          <w:rFonts w:ascii="Verdana" w:cs="Verdana" w:hAnsi="Verdana" w:eastAsia="Verdana"/>
          <w:b w:val="0"/>
          <w:bCs w:val="0"/>
          <w:sz w:val="20"/>
          <w:szCs w:val="20"/>
        </w:rPr>
        <w:fldChar w:fldCharType="separate" w:fldLock="0"/>
      </w:r>
      <w:r>
        <w:rPr>
          <w:rStyle w:val="Hyperlink.1"/>
          <w:rFonts w:ascii="Verdana" w:hAnsi="Verdana"/>
          <w:b w:val="0"/>
          <w:bCs w:val="0"/>
          <w:sz w:val="20"/>
          <w:szCs w:val="20"/>
          <w:rtl w:val="0"/>
          <w:lang w:val="en-US"/>
        </w:rPr>
        <w:t>10.1093/jhered/esw039</w:t>
      </w:r>
      <w:r>
        <w:rPr>
          <w:rFonts w:ascii="Verdana" w:cs="Verdana" w:hAnsi="Verdana" w:eastAsia="Verdana"/>
          <w:b w:val="0"/>
          <w:bCs w:val="0"/>
          <w:sz w:val="20"/>
          <w:szCs w:val="20"/>
        </w:rPr>
        <w:fldChar w:fldCharType="end" w:fldLock="0"/>
      </w:r>
    </w:p>
    <w:p>
      <w:pPr>
        <w:pStyle w:val="Heading"/>
        <w:rPr>
          <w:rFonts w:ascii="Verdana" w:cs="Verdana" w:hAnsi="Verdana" w:eastAsia="Verdana"/>
          <w:b w:val="0"/>
          <w:bCs w:val="0"/>
          <w:sz w:val="20"/>
          <w:szCs w:val="20"/>
        </w:rPr>
      </w:pPr>
      <w:r>
        <w:rPr>
          <w:rFonts w:ascii="Verdana" w:hAnsi="Verdana"/>
          <w:b w:val="0"/>
          <w:bCs w:val="0"/>
          <w:sz w:val="20"/>
          <w:szCs w:val="20"/>
          <w:rtl w:val="0"/>
          <w:lang w:val="en-US"/>
        </w:rPr>
        <w:t>Plotnik, J. M., de Waal, F. B. M., and Reiss, D. (2006). Self-recognition in an Asian elephant. Proceedings of the National Academy of Sciences, 103(45), 17053</w:t>
      </w:r>
      <w:r>
        <w:rPr>
          <w:rFonts w:ascii="Verdana" w:hAnsi="Verdana" w:hint="default"/>
          <w:b w:val="0"/>
          <w:bCs w:val="0"/>
          <w:sz w:val="20"/>
          <w:szCs w:val="20"/>
          <w:rtl w:val="0"/>
        </w:rPr>
        <w:t>–</w:t>
      </w:r>
      <w:r>
        <w:rPr>
          <w:rFonts w:ascii="Verdana" w:hAnsi="Verdana"/>
          <w:b w:val="0"/>
          <w:bCs w:val="0"/>
          <w:sz w:val="20"/>
          <w:szCs w:val="20"/>
          <w:rtl w:val="0"/>
        </w:rPr>
        <w:t>17057.</w:t>
      </w:r>
    </w:p>
    <w:p>
      <w:pPr>
        <w:pStyle w:val="Heading"/>
        <w:rPr>
          <w:rFonts w:ascii="Verdana" w:cs="Verdana" w:hAnsi="Verdana" w:eastAsia="Verdana"/>
          <w:b w:val="0"/>
          <w:bCs w:val="0"/>
          <w:sz w:val="20"/>
          <w:szCs w:val="20"/>
        </w:rPr>
      </w:pPr>
      <w:r>
        <w:rPr>
          <w:rFonts w:ascii="Verdana" w:hAnsi="Verdana"/>
          <w:b w:val="0"/>
          <w:bCs w:val="0"/>
          <w:sz w:val="20"/>
          <w:szCs w:val="20"/>
          <w:rtl w:val="0"/>
          <w:lang w:val="en-US"/>
        </w:rPr>
        <w:t>Pinker, S., and Bloom, P. (1990). Natural language and natural selection. Behavioral and Brain Sciences, 13(4), 707</w:t>
      </w:r>
      <w:r>
        <w:rPr>
          <w:rFonts w:ascii="Verdana" w:hAnsi="Verdana" w:hint="default"/>
          <w:b w:val="0"/>
          <w:bCs w:val="0"/>
          <w:sz w:val="20"/>
          <w:szCs w:val="20"/>
          <w:rtl w:val="0"/>
        </w:rPr>
        <w:t>–</w:t>
      </w:r>
      <w:r>
        <w:rPr>
          <w:rFonts w:ascii="Verdana" w:hAnsi="Verdana"/>
          <w:b w:val="0"/>
          <w:bCs w:val="0"/>
          <w:sz w:val="20"/>
          <w:szCs w:val="20"/>
          <w:rtl w:val="0"/>
        </w:rPr>
        <w:t>727.</w:t>
      </w:r>
    </w:p>
    <w:p>
      <w:pPr>
        <w:pStyle w:val="Heading"/>
        <w:rPr>
          <w:rFonts w:ascii="Verdana" w:cs="Verdana" w:hAnsi="Verdana" w:eastAsia="Verdana"/>
          <w:b w:val="0"/>
          <w:bCs w:val="0"/>
          <w:sz w:val="20"/>
          <w:szCs w:val="20"/>
        </w:rPr>
      </w:pPr>
      <w:r>
        <w:rPr>
          <w:rFonts w:ascii="Verdana" w:hAnsi="Verdana"/>
          <w:b w:val="0"/>
          <w:bCs w:val="0"/>
          <w:sz w:val="20"/>
          <w:szCs w:val="20"/>
          <w:rtl w:val="0"/>
          <w:lang w:val="en-US"/>
        </w:rPr>
        <w:t>Potts, R. (2012). Evolution and environmental change in early human prehistory. Annual Review of Anthropology, 41, 151</w:t>
      </w:r>
      <w:r>
        <w:rPr>
          <w:rFonts w:ascii="Verdana" w:hAnsi="Verdana" w:hint="default"/>
          <w:b w:val="0"/>
          <w:bCs w:val="0"/>
          <w:sz w:val="20"/>
          <w:szCs w:val="20"/>
          <w:rtl w:val="0"/>
        </w:rPr>
        <w:t>–</w:t>
      </w:r>
      <w:r>
        <w:rPr>
          <w:rFonts w:ascii="Verdana" w:hAnsi="Verdana"/>
          <w:b w:val="0"/>
          <w:bCs w:val="0"/>
          <w:sz w:val="20"/>
          <w:szCs w:val="20"/>
          <w:rtl w:val="0"/>
        </w:rPr>
        <w:t>167.</w:t>
      </w:r>
    </w:p>
    <w:p>
      <w:pPr>
        <w:pStyle w:val="Heading"/>
        <w:rPr>
          <w:rFonts w:ascii="Verdana" w:cs="Verdana" w:hAnsi="Verdana" w:eastAsia="Verdana"/>
          <w:b w:val="0"/>
          <w:bCs w:val="0"/>
          <w:sz w:val="20"/>
          <w:szCs w:val="20"/>
        </w:rPr>
      </w:pPr>
      <w:r>
        <w:rPr>
          <w:rFonts w:ascii="Verdana" w:hAnsi="Verdana"/>
          <w:b w:val="0"/>
          <w:bCs w:val="0"/>
          <w:sz w:val="20"/>
          <w:szCs w:val="20"/>
          <w:rtl w:val="0"/>
          <w:lang w:val="en-US"/>
        </w:rPr>
        <w:t xml:space="preserve">Stankiewicz, P. (2016). One pedigree we all may have come from </w:t>
      </w:r>
      <w:r>
        <w:rPr>
          <w:rFonts w:ascii="Verdana" w:hAnsi="Verdana" w:hint="default"/>
          <w:b w:val="0"/>
          <w:bCs w:val="0"/>
          <w:sz w:val="20"/>
          <w:szCs w:val="20"/>
          <w:rtl w:val="0"/>
          <w:lang w:val="en-US"/>
        </w:rPr>
        <w:t xml:space="preserve">— </w:t>
      </w:r>
      <w:r>
        <w:rPr>
          <w:rFonts w:ascii="Verdana" w:hAnsi="Verdana"/>
          <w:b w:val="0"/>
          <w:bCs w:val="0"/>
          <w:sz w:val="20"/>
          <w:szCs w:val="20"/>
          <w:rtl w:val="0"/>
          <w:lang w:val="en-US"/>
        </w:rPr>
        <w:t xml:space="preserve">did Adam and Eve have the chromosome 2 fusion? Molecular Cytogenetics, 9(1), 72. DOI: </w:t>
      </w:r>
      <w:r>
        <w:rPr>
          <w:rStyle w:val="Hyperlink.1"/>
          <w:rFonts w:ascii="Verdana" w:cs="Verdana" w:hAnsi="Verdana" w:eastAsia="Verdana"/>
          <w:b w:val="0"/>
          <w:bCs w:val="0"/>
          <w:sz w:val="20"/>
          <w:szCs w:val="20"/>
        </w:rPr>
        <w:fldChar w:fldCharType="begin" w:fldLock="0"/>
      </w:r>
      <w:r>
        <w:rPr>
          <w:rStyle w:val="Hyperlink.1"/>
          <w:rFonts w:ascii="Verdana" w:cs="Verdana" w:hAnsi="Verdana" w:eastAsia="Verdana"/>
          <w:b w:val="0"/>
          <w:bCs w:val="0"/>
          <w:sz w:val="20"/>
          <w:szCs w:val="20"/>
        </w:rPr>
        <w:instrText xml:space="preserve"> HYPERLINK "https://doi.org/10.1186/s13039-016-0283-3"</w:instrText>
      </w:r>
      <w:r>
        <w:rPr>
          <w:rStyle w:val="Hyperlink.1"/>
          <w:rFonts w:ascii="Verdana" w:cs="Verdana" w:hAnsi="Verdana" w:eastAsia="Verdana"/>
          <w:b w:val="0"/>
          <w:bCs w:val="0"/>
          <w:sz w:val="20"/>
          <w:szCs w:val="20"/>
        </w:rPr>
        <w:fldChar w:fldCharType="separate" w:fldLock="0"/>
      </w:r>
      <w:r>
        <w:rPr>
          <w:rStyle w:val="Hyperlink.1"/>
          <w:rFonts w:ascii="Verdana" w:hAnsi="Verdana"/>
          <w:b w:val="0"/>
          <w:bCs w:val="0"/>
          <w:sz w:val="20"/>
          <w:szCs w:val="20"/>
          <w:rtl w:val="0"/>
          <w:lang w:val="pt-PT"/>
        </w:rPr>
        <w:t>10.1186/s13039-016-0283-3</w:t>
      </w:r>
      <w:r>
        <w:rPr>
          <w:rFonts w:ascii="Verdana" w:cs="Verdana" w:hAnsi="Verdana" w:eastAsia="Verdana"/>
          <w:b w:val="0"/>
          <w:bCs w:val="0"/>
          <w:sz w:val="20"/>
          <w:szCs w:val="20"/>
        </w:rPr>
        <w:fldChar w:fldCharType="end" w:fldLock="0"/>
      </w:r>
    </w:p>
    <w:p>
      <w:pPr>
        <w:pStyle w:val="Heading"/>
        <w:rPr>
          <w:rFonts w:ascii="Verdana" w:cs="Verdana" w:hAnsi="Verdana" w:eastAsia="Verdana"/>
          <w:b w:val="0"/>
          <w:bCs w:val="0"/>
          <w:sz w:val="20"/>
          <w:szCs w:val="20"/>
        </w:rPr>
      </w:pPr>
      <w:r>
        <w:rPr>
          <w:rFonts w:ascii="Verdana" w:hAnsi="Verdana"/>
          <w:b w:val="0"/>
          <w:bCs w:val="0"/>
          <w:sz w:val="20"/>
          <w:szCs w:val="20"/>
          <w:rtl w:val="0"/>
          <w:lang w:val="en-US"/>
        </w:rPr>
        <w:t>Wrangham, R. (2009). Catching Fire: How Cooking Made Us Human. Basic Books.</w:t>
      </w:r>
    </w:p>
    <w:p>
      <w:pPr>
        <w:pStyle w:val="Heading"/>
        <w:rPr>
          <w:rFonts w:ascii="Verdana" w:cs="Verdana" w:hAnsi="Verdana" w:eastAsia="Verdana"/>
          <w:b w:val="0"/>
          <w:bCs w:val="0"/>
          <w:sz w:val="20"/>
          <w:szCs w:val="20"/>
        </w:rPr>
      </w:pPr>
      <w:r>
        <w:rPr>
          <w:rFonts w:ascii="Verdana" w:hAnsi="Verdana"/>
          <w:b w:val="0"/>
          <w:bCs w:val="0"/>
          <w:sz w:val="20"/>
          <w:szCs w:val="20"/>
          <w:rtl w:val="0"/>
          <w:lang w:val="en-US"/>
        </w:rPr>
        <w:t xml:space="preserve">Yang, Z., Zhang, L., Jiang, X., Yang, X., Ma, K., Yoo, D., Lu, Y., Zhang, S., Chen, J., Nie, Y., Bian, X., Han, J., Fu, L., Zhang, J., Ventura, M., Zhang, G., Sun, Q., Eichler, E. E., and Mao, Y. (2025/2026). Incomplete lineage sorting of segmental duplications defines the human chromosome 2 fusion site early during African great ape speciation. Cell Genomics, 6(1), 101079. DOI: </w:t>
      </w:r>
      <w:r>
        <w:rPr>
          <w:rStyle w:val="Hyperlink.1"/>
          <w:rFonts w:ascii="Verdana" w:cs="Verdana" w:hAnsi="Verdana" w:eastAsia="Verdana"/>
          <w:b w:val="0"/>
          <w:bCs w:val="0"/>
          <w:sz w:val="20"/>
          <w:szCs w:val="20"/>
        </w:rPr>
        <w:fldChar w:fldCharType="begin" w:fldLock="0"/>
      </w:r>
      <w:r>
        <w:rPr>
          <w:rStyle w:val="Hyperlink.1"/>
          <w:rFonts w:ascii="Verdana" w:cs="Verdana" w:hAnsi="Verdana" w:eastAsia="Verdana"/>
          <w:b w:val="0"/>
          <w:bCs w:val="0"/>
          <w:sz w:val="20"/>
          <w:szCs w:val="20"/>
        </w:rPr>
        <w:instrText xml:space="preserve"> HYPERLINK "https://doi.org/10.1016/j.xgen.2025.101079"</w:instrText>
      </w:r>
      <w:r>
        <w:rPr>
          <w:rStyle w:val="Hyperlink.1"/>
          <w:rFonts w:ascii="Verdana" w:cs="Verdana" w:hAnsi="Verdana" w:eastAsia="Verdana"/>
          <w:b w:val="0"/>
          <w:bCs w:val="0"/>
          <w:sz w:val="20"/>
          <w:szCs w:val="20"/>
        </w:rPr>
        <w:fldChar w:fldCharType="separate" w:fldLock="0"/>
      </w:r>
      <w:r>
        <w:rPr>
          <w:rStyle w:val="Hyperlink.1"/>
          <w:rFonts w:ascii="Verdana" w:hAnsi="Verdana"/>
          <w:b w:val="0"/>
          <w:bCs w:val="0"/>
          <w:sz w:val="20"/>
          <w:szCs w:val="20"/>
          <w:rtl w:val="0"/>
        </w:rPr>
        <w:t>10.1016/j.xgen.2025.101079</w:t>
      </w:r>
      <w:r>
        <w:rPr>
          <w:rFonts w:ascii="Verdana" w:cs="Verdana" w:hAnsi="Verdana" w:eastAsia="Verdana"/>
          <w:b w:val="0"/>
          <w:bCs w:val="0"/>
          <w:sz w:val="20"/>
          <w:szCs w:val="20"/>
        </w:rPr>
        <w:fldChar w:fldCharType="end" w:fldLock="0"/>
      </w:r>
    </w:p>
    <w:p>
      <w:pPr>
        <w:pStyle w:val="Heading"/>
        <w:rPr>
          <w:rFonts w:ascii="Verdana" w:cs="Verdana" w:hAnsi="Verdana" w:eastAsia="Verdana"/>
          <w:b w:val="0"/>
          <w:bCs w:val="0"/>
          <w:sz w:val="20"/>
          <w:szCs w:val="20"/>
        </w:rPr>
      </w:pPr>
      <w:r>
        <w:rPr>
          <w:rFonts w:ascii="Verdana" w:hAnsi="Verdana"/>
          <w:b w:val="0"/>
          <w:bCs w:val="0"/>
          <w:sz w:val="20"/>
          <w:szCs w:val="20"/>
          <w:rtl w:val="0"/>
          <w:lang w:val="en-US"/>
        </w:rPr>
        <w:t xml:space="preserve">Vondoom, A. (2026). Cognitive Preconditions for the Deep Symbolic Systems Model (DSSM). OSF Preprint. DOI: </w:t>
      </w:r>
      <w:r>
        <w:rPr>
          <w:rStyle w:val="Hyperlink.1"/>
          <w:rFonts w:ascii="Verdana" w:cs="Verdana" w:hAnsi="Verdana" w:eastAsia="Verdana"/>
          <w:b w:val="0"/>
          <w:bCs w:val="0"/>
          <w:sz w:val="20"/>
          <w:szCs w:val="20"/>
        </w:rPr>
        <w:fldChar w:fldCharType="begin" w:fldLock="0"/>
      </w:r>
      <w:r>
        <w:rPr>
          <w:rStyle w:val="Hyperlink.1"/>
          <w:rFonts w:ascii="Verdana" w:cs="Verdana" w:hAnsi="Verdana" w:eastAsia="Verdana"/>
          <w:b w:val="0"/>
          <w:bCs w:val="0"/>
          <w:sz w:val="20"/>
          <w:szCs w:val="20"/>
        </w:rPr>
        <w:instrText xml:space="preserve"> HYPERLINK "https://doi.org/10.17605/OSF.IO/25AJW"</w:instrText>
      </w:r>
      <w:r>
        <w:rPr>
          <w:rStyle w:val="Hyperlink.1"/>
          <w:rFonts w:ascii="Verdana" w:cs="Verdana" w:hAnsi="Verdana" w:eastAsia="Verdana"/>
          <w:b w:val="0"/>
          <w:bCs w:val="0"/>
          <w:sz w:val="20"/>
          <w:szCs w:val="20"/>
        </w:rPr>
        <w:fldChar w:fldCharType="separate" w:fldLock="0"/>
      </w:r>
      <w:r>
        <w:rPr>
          <w:rStyle w:val="Hyperlink.1"/>
          <w:rFonts w:ascii="Verdana" w:hAnsi="Verdana"/>
          <w:b w:val="0"/>
          <w:bCs w:val="0"/>
          <w:sz w:val="20"/>
          <w:szCs w:val="20"/>
          <w:rtl w:val="0"/>
          <w:lang w:val="pt-PT"/>
        </w:rPr>
        <w:t>10.17605/OSF.IO/25AJW</w:t>
      </w:r>
      <w:r>
        <w:rPr>
          <w:rFonts w:ascii="Verdana" w:cs="Verdana" w:hAnsi="Verdana" w:eastAsia="Verdana"/>
          <w:b w:val="0"/>
          <w:bCs w:val="0"/>
          <w:sz w:val="20"/>
          <w:szCs w:val="20"/>
        </w:rPr>
        <w:fldChar w:fldCharType="end" w:fldLock="0"/>
      </w:r>
    </w:p>
    <w:p>
      <w:pPr>
        <w:pStyle w:val="Heading"/>
        <w:rPr>
          <w:rFonts w:ascii="Verdana" w:cs="Verdana" w:hAnsi="Verdana" w:eastAsia="Verdana"/>
          <w:b w:val="0"/>
          <w:bCs w:val="0"/>
          <w:sz w:val="20"/>
          <w:szCs w:val="20"/>
        </w:rPr>
      </w:pPr>
      <w:r>
        <w:rPr>
          <w:rFonts w:ascii="Verdana" w:hAnsi="Verdana"/>
          <w:b w:val="0"/>
          <w:bCs w:val="0"/>
          <w:sz w:val="20"/>
          <w:szCs w:val="20"/>
          <w:rtl w:val="0"/>
          <w:lang w:val="en-US"/>
        </w:rPr>
        <w:t xml:space="preserve">Vondoom, A. (2026). Neural Evolution and Symbolic Stabilization: A Neuro-Archaeological Foundation for the DSSM. Figshare Preprint. DOI: </w:t>
      </w:r>
      <w:r>
        <w:rPr>
          <w:rStyle w:val="Hyperlink.1"/>
          <w:rFonts w:ascii="Verdana" w:cs="Verdana" w:hAnsi="Verdana" w:eastAsia="Verdana"/>
          <w:b w:val="0"/>
          <w:bCs w:val="0"/>
          <w:sz w:val="20"/>
          <w:szCs w:val="20"/>
        </w:rPr>
        <w:fldChar w:fldCharType="begin" w:fldLock="0"/>
      </w:r>
      <w:r>
        <w:rPr>
          <w:rStyle w:val="Hyperlink.1"/>
          <w:rFonts w:ascii="Verdana" w:cs="Verdana" w:hAnsi="Verdana" w:eastAsia="Verdana"/>
          <w:b w:val="0"/>
          <w:bCs w:val="0"/>
          <w:sz w:val="20"/>
          <w:szCs w:val="20"/>
        </w:rPr>
        <w:instrText xml:space="preserve"> HYPERLINK "https://doi.org/10.6084/m9.figshare.31077526"</w:instrText>
      </w:r>
      <w:r>
        <w:rPr>
          <w:rStyle w:val="Hyperlink.1"/>
          <w:rFonts w:ascii="Verdana" w:cs="Verdana" w:hAnsi="Verdana" w:eastAsia="Verdana"/>
          <w:b w:val="0"/>
          <w:bCs w:val="0"/>
          <w:sz w:val="20"/>
          <w:szCs w:val="20"/>
        </w:rPr>
        <w:fldChar w:fldCharType="separate" w:fldLock="0"/>
      </w:r>
      <w:r>
        <w:rPr>
          <w:rStyle w:val="Hyperlink.1"/>
          <w:rFonts w:ascii="Verdana" w:hAnsi="Verdana"/>
          <w:b w:val="0"/>
          <w:bCs w:val="0"/>
          <w:sz w:val="20"/>
          <w:szCs w:val="20"/>
          <w:rtl w:val="0"/>
          <w:lang w:val="it-IT"/>
        </w:rPr>
        <w:t>10.6084/m9.figshare.31077526</w:t>
      </w:r>
      <w:r>
        <w:rPr>
          <w:rFonts w:ascii="Verdana" w:cs="Verdana" w:hAnsi="Verdana" w:eastAsia="Verdana"/>
          <w:b w:val="0"/>
          <w:bCs w:val="0"/>
          <w:sz w:val="20"/>
          <w:szCs w:val="20"/>
        </w:rPr>
        <w:fldChar w:fldCharType="end" w:fldLock="0"/>
      </w:r>
    </w:p>
    <w:p>
      <w:pPr>
        <w:pStyle w:val="Heading"/>
        <w:rPr>
          <w:rFonts w:ascii="Verdana" w:cs="Verdana" w:hAnsi="Verdana" w:eastAsia="Verdana"/>
          <w:b w:val="0"/>
          <w:bCs w:val="0"/>
          <w:sz w:val="20"/>
          <w:szCs w:val="20"/>
        </w:rPr>
      </w:pPr>
      <w:r>
        <w:rPr>
          <w:rFonts w:ascii="Verdana" w:hAnsi="Verdana"/>
          <w:b w:val="0"/>
          <w:bCs w:val="0"/>
          <w:sz w:val="20"/>
          <w:szCs w:val="20"/>
          <w:rtl w:val="0"/>
          <w:lang w:val="en-US"/>
        </w:rPr>
        <w:t xml:space="preserve">Vondoom, A. (2026). Procedure Without Prefrontal Dominance: Neanderthal Dental Surgery at 59,000 BP, Embodied Transmission, and the Demographic Absorption Hypothesis. Figshare Preprint. DOI: </w:t>
      </w:r>
      <w:r>
        <w:rPr>
          <w:rStyle w:val="Hyperlink.1"/>
          <w:rFonts w:ascii="Verdana" w:cs="Verdana" w:hAnsi="Verdana" w:eastAsia="Verdana"/>
          <w:b w:val="0"/>
          <w:bCs w:val="0"/>
          <w:sz w:val="20"/>
          <w:szCs w:val="20"/>
        </w:rPr>
        <w:fldChar w:fldCharType="begin" w:fldLock="0"/>
      </w:r>
      <w:r>
        <w:rPr>
          <w:rStyle w:val="Hyperlink.1"/>
          <w:rFonts w:ascii="Verdana" w:cs="Verdana" w:hAnsi="Verdana" w:eastAsia="Verdana"/>
          <w:b w:val="0"/>
          <w:bCs w:val="0"/>
          <w:sz w:val="20"/>
          <w:szCs w:val="20"/>
        </w:rPr>
        <w:instrText xml:space="preserve"> HYPERLINK "https://doi.org/10.6084/m9.figshare.32660322"</w:instrText>
      </w:r>
      <w:r>
        <w:rPr>
          <w:rStyle w:val="Hyperlink.1"/>
          <w:rFonts w:ascii="Verdana" w:cs="Verdana" w:hAnsi="Verdana" w:eastAsia="Verdana"/>
          <w:b w:val="0"/>
          <w:bCs w:val="0"/>
          <w:sz w:val="20"/>
          <w:szCs w:val="20"/>
        </w:rPr>
        <w:fldChar w:fldCharType="separate" w:fldLock="0"/>
      </w:r>
      <w:r>
        <w:rPr>
          <w:rStyle w:val="Hyperlink.1"/>
          <w:rFonts w:ascii="Verdana" w:hAnsi="Verdana"/>
          <w:b w:val="0"/>
          <w:bCs w:val="0"/>
          <w:sz w:val="20"/>
          <w:szCs w:val="20"/>
          <w:rtl w:val="0"/>
          <w:lang w:val="it-IT"/>
        </w:rPr>
        <w:t>10.6084/m9.figshare.32660322</w:t>
      </w:r>
      <w:r>
        <w:rPr>
          <w:rFonts w:ascii="Verdana" w:cs="Verdana" w:hAnsi="Verdana" w:eastAsia="Verdana"/>
          <w:b w:val="0"/>
          <w:bCs w:val="0"/>
          <w:sz w:val="20"/>
          <w:szCs w:val="20"/>
        </w:rPr>
        <w:fldChar w:fldCharType="end" w:fldLock="0"/>
      </w:r>
    </w:p>
    <w:p>
      <w:pPr>
        <w:pStyle w:val="Heading"/>
      </w:pPr>
      <w:r>
        <w:rPr>
          <w:rStyle w:val="None"/>
          <w:rFonts w:ascii="Verdana" w:hAnsi="Verdana"/>
          <w:b w:val="0"/>
          <w:bCs w:val="0"/>
          <w:i w:val="1"/>
          <w:iCs w:val="1"/>
          <w:sz w:val="20"/>
          <w:szCs w:val="20"/>
          <w:rtl w:val="0"/>
          <w:lang w:val="en-US"/>
        </w:rPr>
        <w:t>Note to author: all flagged citation issues have been resolved. The Stankiewicz (2016) author attribution is verified, the Chagyrskaya paper's Figshare DOI is now inserted, and the Section 2 CRISPR finding has been corrected against the primary bioRxiv/Cell Genomics text after an earlier draft relied on inaccurate statistics from a secondary source.</w:t>
      </w:r>
    </w:p>
    <w:sectPr>
      <w:headerReference w:type="default" r:id="rId4"/>
      <w:footerReference w:type="default" r:id="rId5"/>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outline w:val="0"/>
        <w:color w:val="000000"/>
        <w:sz w:val="20"/>
        <w:szCs w:val="20"/>
        <w:u w:color="000000"/>
        <w14:textFill>
          <w14:solidFill>
            <w14:srgbClr w14:val="000000"/>
          </w14:solidFill>
        </w14:textFill>
      </w:rPr>
      <w:fldChar w:fldCharType="begin" w:fldLock="0"/>
    </w:r>
    <w:r>
      <w:rPr>
        <w:outline w:val="0"/>
        <w:color w:val="000000"/>
        <w:sz w:val="20"/>
        <w:szCs w:val="20"/>
        <w:u w:color="000000"/>
        <w14:textFill>
          <w14:solidFill>
            <w14:srgbClr w14:val="000000"/>
          </w14:solidFill>
        </w14:textFill>
      </w:rPr>
      <w:instrText xml:space="preserve"> PAGE </w:instrText>
    </w:r>
    <w:r>
      <w:rPr>
        <w:outline w:val="0"/>
        <w:color w:val="000000"/>
        <w:sz w:val="20"/>
        <w:szCs w:val="20"/>
        <w:u w:color="000000"/>
        <w14:textFill>
          <w14:solidFill>
            <w14:srgbClr w14:val="000000"/>
          </w14:solidFill>
        </w14:textFill>
      </w:rPr>
      <w:fldChar w:fldCharType="separate" w:fldLock="0"/>
    </w:r>
    <w:r>
      <w:rPr>
        <w:outline w:val="0"/>
        <w:color w:val="000000"/>
        <w:sz w:val="20"/>
        <w:szCs w:val="20"/>
        <w:u w:color="000000"/>
        <w14:textFill>
          <w14:solidFill>
            <w14:srgbClr w14:val="000000"/>
          </w14:solidFill>
        </w14:textFill>
      </w:rPr>
    </w:r>
    <w:r>
      <w:rPr>
        <w:outline w:val="0"/>
        <w:color w:val="000000"/>
        <w:sz w:val="20"/>
        <w:szCs w:val="20"/>
        <w:u w:color="000000"/>
        <w14:textFill>
          <w14:solidFill>
            <w14:srgbClr w14:val="000000"/>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de-DE"/>
      <w14:textOutline>
        <w14:noFill/>
      </w14:textOutline>
      <w14:textFill>
        <w14:solidFill>
          <w14:srgbClr w14:val="000000"/>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paragraph" w:styleId="Heading">
    <w:name w:val="Heading"/>
    <w:next w:val="Heading"/>
    <w:pPr>
      <w:keepNext w:val="0"/>
      <w:keepLines w:val="0"/>
      <w:pageBreakBefore w:val="0"/>
      <w:widowControl w:val="1"/>
      <w:shd w:val="clear" w:color="auto" w:fill="auto"/>
      <w:suppressAutoHyphens w:val="0"/>
      <w:bidi w:val="0"/>
      <w:spacing w:before="360" w:after="20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30"/>
      <w:szCs w:val="30"/>
      <w:u w:val="none" w:color="000000"/>
      <w:shd w:val="nil" w:color="auto" w:fill="auto"/>
      <w:vertAlign w:val="baseline"/>
      <w:lang w:val="de-DE"/>
      <w14:textOutline>
        <w14:noFill/>
      </w14:textOutline>
      <w14:textFill>
        <w14:solidFill>
          <w14:srgbClr w14:val="000000"/>
        </w14:solidFill>
      </w14:textFill>
    </w:rPr>
  </w:style>
  <w:style w:type="character" w:styleId="None">
    <w:name w:val="None"/>
  </w:style>
  <w:style w:type="character" w:styleId="Hyperlink.1">
    <w:name w:val="Hyperlink.1"/>
    <w:basedOn w:val="None"/>
    <w:next w:val="Hyperlink.1"/>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