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62"/>
          <w:szCs w:val="62"/>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cs="Arial" w:hAnsi="Arial" w:eastAsia="Arial"/>
          <w:b w:val="1"/>
          <w:bCs w:val="1"/>
          <w:outline w:val="0"/>
          <w:color w:val="000000"/>
          <w:sz w:val="32"/>
          <w:szCs w:val="32"/>
          <w:u w:color="000000"/>
          <w14:textFill>
            <w14:solidFill>
              <w14:srgbClr w14:val="000000"/>
            </w14:solidFill>
          </w14:textFill>
        </w:rPr>
      </w:pPr>
      <w:r>
        <w:rPr>
          <w:rFonts w:ascii="Arial" w:hAnsi="Arial"/>
          <w:b w:val="1"/>
          <w:bCs w:val="1"/>
          <w:sz w:val="62"/>
          <w:szCs w:val="62"/>
          <w:u w:color="000000"/>
          <w:rtl w:val="0"/>
          <w:lang w:val="en-US"/>
        </w:rPr>
        <w:t>Capability Without Constraint: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val="1"/>
          <w:iCs w:val="1"/>
        </w:rPr>
      </w:pPr>
      <w:r>
        <w:rPr>
          <w:rFonts w:ascii="Arial" w:hAnsi="Arial"/>
          <w:i w:val="1"/>
          <w:iCs w:val="1"/>
          <w:sz w:val="32"/>
          <w:szCs w:val="32"/>
          <w:u w:color="000000"/>
          <w:rtl w:val="0"/>
          <w:lang w:val="en-US"/>
        </w:rPr>
        <w:t xml:space="preserve"> AI Weaponisation Risk, Ethical Architecture, and the Case for Collaborative Governance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tl w:val="0"/>
          <w:lang w:val="it-IT"/>
        </w:rPr>
        <w:t xml:space="preserve">Figshare : </w:t>
      </w:r>
      <w:r>
        <w:rPr>
          <w:rStyle w:val="Hyperlink.0"/>
        </w:rPr>
        <w:fldChar w:fldCharType="begin" w:fldLock="0"/>
      </w:r>
      <w:r>
        <w:rPr>
          <w:rStyle w:val="Hyperlink.0"/>
        </w:rPr>
        <w:instrText xml:space="preserve"> HYPERLINK "https://doi.org/10.6084/m9.figshare.32677881"</w:instrText>
      </w:r>
      <w:r>
        <w:rPr>
          <w:rStyle w:val="Hyperlink.0"/>
        </w:rPr>
        <w:fldChar w:fldCharType="separate" w:fldLock="0"/>
      </w:r>
      <w:r>
        <w:rPr>
          <w:rStyle w:val="Hyperlink.0"/>
          <w:rtl w:val="0"/>
          <w:lang w:val="en-US"/>
        </w:rPr>
        <w:t>https://doi.org/10.6084/m9.figshare.32677881</w:t>
      </w:r>
      <w:r>
        <w:rPr/>
        <w:fldChar w:fldCharType="end" w:fldLock="0"/>
      </w:r>
      <w:r>
        <w:rPr>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tl w:val="0"/>
          <w:lang w:val="it-IT"/>
        </w:rPr>
        <w:t xml:space="preserve">ResearchGate : </w:t>
      </w:r>
      <w:r>
        <w:rPr>
          <w:rStyle w:val="Hyperlink.0"/>
        </w:rPr>
        <w:fldChar w:fldCharType="begin" w:fldLock="0"/>
      </w:r>
      <w:r>
        <w:rPr>
          <w:rStyle w:val="Hyperlink.0"/>
        </w:rPr>
        <w:instrText xml:space="preserve"> HYPERLINK "https://doi.org/10.13140/RG.2.2.10516.67208"</w:instrText>
      </w:r>
      <w:r>
        <w:rPr>
          <w:rStyle w:val="Hyperlink.0"/>
        </w:rPr>
        <w:fldChar w:fldCharType="separate" w:fldLock="0"/>
      </w:r>
      <w:r>
        <w:rPr>
          <w:rStyle w:val="Hyperlink.0"/>
          <w:rtl w:val="0"/>
          <w:lang w:val="pt-PT"/>
        </w:rPr>
        <w:t>https://doi.org/10.13140/RG.2.2.10516.67208</w:t>
      </w:r>
      <w:r>
        <w:rPr/>
        <w:fldChar w:fldCharType="end" w:fldLock="0"/>
      </w:r>
      <w:r>
        <w:rPr>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tl w:val="0"/>
          <w:lang w:val="it-IT"/>
        </w:rPr>
        <w:t xml:space="preserve">Zenodo (CERN ) : </w:t>
      </w:r>
      <w:r>
        <w:rPr>
          <w:rStyle w:val="Hyperlink.0"/>
        </w:rPr>
        <w:fldChar w:fldCharType="begin" w:fldLock="0"/>
      </w:r>
      <w:r>
        <w:rPr>
          <w:rStyle w:val="Hyperlink.0"/>
        </w:rPr>
        <w:instrText xml:space="preserve"> HYPERLINK "https://doi.org/10.5281/zenodo.20704431"</w:instrText>
      </w:r>
      <w:r>
        <w:rPr>
          <w:rStyle w:val="Hyperlink.0"/>
        </w:rPr>
        <w:fldChar w:fldCharType="separate" w:fldLock="0"/>
      </w:r>
      <w:r>
        <w:rPr>
          <w:rStyle w:val="Hyperlink.0"/>
          <w:rtl w:val="0"/>
          <w:lang w:val="pt-PT"/>
        </w:rPr>
        <w:t>https://doi.org/10.5281/zenodo.20704431</w:t>
      </w:r>
      <w:r>
        <w:rPr/>
        <w:fldChar w:fldCharType="end" w:fldLock="0"/>
      </w:r>
      <w:r>
        <w:rPr>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tl w:val="0"/>
          <w:lang w:val="it-IT"/>
        </w:rPr>
        <w:t xml:space="preserve">C.C by 4.0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b w:val="1"/>
          <w:bCs w:val="1"/>
          <w:outline w:val="0"/>
          <w:color w:val="000000"/>
          <w:sz w:val="24"/>
          <w:szCs w:val="24"/>
          <w:u w:color="000000"/>
          <w:rtl w:val="0"/>
          <w:lang w:val="en-US"/>
          <w14:textFill>
            <w14:solidFill>
              <w14:srgbClr w14:val="000000"/>
            </w14:solidFill>
          </w14:textFill>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outline w:val="0"/>
          <w:color w:val="000000"/>
          <w:sz w:val="20"/>
          <w:szCs w:val="20"/>
          <w:u w:color="000000"/>
          <w:rtl w:val="0"/>
          <w:lang w:val="en-US"/>
          <w14:textFill>
            <w14:solidFill>
              <w14:srgbClr w14:val="000000"/>
            </w14:solidFill>
          </w14:textFill>
        </w:rPr>
        <w:t>Independent Researcher in Cognitive Archaeology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outline w:val="0"/>
          <w:color w:val="000000"/>
          <w:sz w:val="20"/>
          <w:szCs w:val="20"/>
          <w:u w:color="000000"/>
          <w:rtl w:val="0"/>
          <w:lang w:val="it-IT"/>
          <w14:textFill>
            <w14:solidFill>
              <w14:srgbClr w14:val="000000"/>
            </w14:solidFill>
          </w14:textFill>
        </w:rPr>
        <w:t>Sirmione, Italy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outline w:val="0"/>
          <w:color w:val="000000"/>
          <w:sz w:val="18"/>
          <w:szCs w:val="18"/>
          <w:u w:color="000000"/>
          <w:rtl w:val="0"/>
          <w:lang w:val="en-US"/>
          <w14:textFill>
            <w14:solidFill>
              <w14:srgbClr w14:val="000000"/>
            </w14:solidFill>
          </w14:textFill>
        </w:rPr>
        <w:t>ORCID: 0009-0003-4953-1427 | anthony.vondoom@outlook.com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outline w:val="0"/>
          <w:color w:val="000000"/>
          <w:sz w:val="20"/>
          <w:szCs w:val="20"/>
          <w:u w:color="000000"/>
          <w:rtl w:val="0"/>
          <w14:textFill>
            <w14:solidFill>
              <w14:srgbClr w14:val="000000"/>
            </w14:solidFill>
          </w14:textFill>
        </w:rPr>
        <w:t>2026</w:t>
      </w:r>
    </w:p>
    <w:p>
      <w:pPr>
        <w:pStyle w:val="Heading"/>
        <w:jc w:val="both"/>
      </w:pPr>
      <w:r>
        <w:rPr>
          <w:outline w:val="0"/>
          <w:color w:val="000000"/>
          <w:u w:color="000000"/>
          <w:rtl w:val="0"/>
          <w:lang w:val="de-DE"/>
          <w14:textFill>
            <w14:solidFill>
              <w14:srgbClr w14:val="000000"/>
            </w14:solidFill>
          </w14:textFill>
        </w:rPr>
        <w:t>Abstract</w:t>
      </w:r>
    </w:p>
    <w:p>
      <w:pPr>
        <w:pStyle w:val="Heading"/>
        <w:jc w:val="both"/>
      </w:pPr>
      <w:r>
        <w:rPr>
          <w:b w:val="0"/>
          <w:bCs w:val="0"/>
          <w:outline w:val="0"/>
          <w:color w:val="000000"/>
          <w:sz w:val="22"/>
          <w:szCs w:val="22"/>
          <w:u w:color="000000"/>
          <w:rtl w:val="0"/>
          <w:lang w:val="en-US"/>
          <w14:textFill>
            <w14:solidFill>
              <w14:srgbClr w14:val="000000"/>
            </w14:solidFill>
          </w14:textFill>
        </w:rPr>
        <w:t xml:space="preserve">The rapid development of artificial intelligence capabilities presents governance institutions with a structural challenge that existing frameworks were not designed to address. The same capability architecture enabling beneficial applications in medicine, climate science, education, and research can, without constraint, be redirected toward autonomous lethal systems or the acceleration of biological weapons development. This paper argues, through application of the Deep Symbolic Systems Model (DSSM) and by reference to the historical precedent of nuclear technology governance, that the response of unilateral restriction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excluding constrained actors from sensitive deployment contexts without developing comprehensive governance frameworks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reproduces the early nuclear proliferation pattern under structurally less favourable conditions. The analysis uses the publicly documented conflict between Anthropic and the United States Department of Defense (2025-2026) as a concrete case study, not to evaluate the conduct of any party, but to illustrate the structural dynamics the DSSM framework predicts. The paper concludes with a constructive governance proposal grounded in verified constraint architecture and international collaborative frameworks. The concern that motivates restriction is legitimate; the mechanism of restriction alone is not adequate to address it.</w:t>
      </w:r>
    </w:p>
    <w:p>
      <w:pPr>
        <w:pStyle w:val="Heading"/>
        <w:jc w:val="both"/>
      </w:pPr>
    </w:p>
    <w:p>
      <w:pPr>
        <w:pStyle w:val="Heading"/>
        <w:jc w:val="both"/>
      </w:pPr>
      <w:r>
        <w:rPr>
          <w:b w:val="0"/>
          <w:bCs w:val="0"/>
          <w:i w:val="1"/>
          <w:iCs w:val="1"/>
          <w:outline w:val="0"/>
          <w:color w:val="000000"/>
          <w:sz w:val="22"/>
          <w:szCs w:val="22"/>
          <w:u w:color="000000"/>
          <w:rtl w:val="0"/>
          <w:lang w:val="en-US"/>
          <w14:textFill>
            <w14:solidFill>
              <w14:srgbClr w14:val="000000"/>
            </w14:solidFill>
          </w14:textFill>
        </w:rPr>
        <w:t>Keywords: artificial intelligence governance, AI weaponisation, autonomous weapons, DSSM, ethical architecture, nuclear precedent, collaborative governance</w:t>
      </w:r>
    </w:p>
    <w:p>
      <w:pPr>
        <w:pStyle w:val="Heading"/>
        <w:jc w:val="both"/>
      </w:pPr>
    </w:p>
    <w:p>
      <w:pPr>
        <w:pStyle w:val="Heading"/>
        <w:jc w:val="both"/>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Arial" w:hAnsi="Arial"/>
          <w:b w:val="1"/>
          <w:bCs w:val="1"/>
          <w:outline w:val="0"/>
          <w:color w:val="000000"/>
          <w:sz w:val="20"/>
          <w:szCs w:val="20"/>
          <w:u w:color="000000"/>
          <w:rtl w:val="0"/>
          <w:lang w:val="en-US"/>
          <w14:textFill>
            <w14:solidFill>
              <w14:srgbClr w14:val="000000"/>
            </w14:solidFill>
          </w14:textFill>
        </w:rPr>
        <w:t>AI Disclosure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Pr>
          <w:rFonts w:ascii="Arial" w:hAnsi="Arial"/>
          <w:outline w:val="0"/>
          <w:color w:val="000000"/>
          <w:sz w:val="20"/>
          <w:szCs w:val="20"/>
          <w:u w:color="000000"/>
          <w:rtl w:val="0"/>
          <w:lang w:val="en-US"/>
          <w14:textFill>
            <w14:solidFill>
              <w14:srgbClr w14:val="000000"/>
            </w14:solidFill>
          </w14:textFill>
        </w:rPr>
        <w:t>This paper was developed using AI-assisted drafting (Claude, Anthropic) as a research and compositional tool. The intellectual framework, analytical argument, and conclusions are those of the author. AI was used as an extension of the author's cognitive process, not as its source. This disclosure follows the author's standing policy across all published work.</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pPr>
        <w:pStyle w:val="Heading"/>
        <w:jc w:val="both"/>
      </w:pPr>
    </w:p>
    <w:p>
      <w:pPr>
        <w:pStyle w:val="Heading"/>
        <w:jc w:val="both"/>
      </w:pPr>
    </w:p>
    <w:p>
      <w:pPr>
        <w:pStyle w:val="Heading"/>
        <w:jc w:val="both"/>
      </w:pPr>
    </w:p>
    <w:p>
      <w:pPr>
        <w:pStyle w:val="Heading"/>
        <w:jc w:val="both"/>
      </w:pPr>
    </w:p>
    <w:p>
      <w:pPr>
        <w:pStyle w:val="Heading"/>
        <w:jc w:val="both"/>
      </w:pPr>
    </w:p>
    <w:p>
      <w:pPr>
        <w:pStyle w:val="Heading"/>
        <w:jc w:val="both"/>
      </w:pPr>
    </w:p>
    <w:p>
      <w:pPr>
        <w:pStyle w:val="Heading"/>
        <w:jc w:val="both"/>
      </w:pPr>
    </w:p>
    <w:p>
      <w:pPr>
        <w:pStyle w:val="Heading"/>
        <w:jc w:val="both"/>
      </w:pPr>
    </w:p>
    <w:p>
      <w:pPr>
        <w:pStyle w:val="Heading"/>
        <w:jc w:val="both"/>
      </w:pPr>
      <w:r>
        <w:rPr>
          <w:outline w:val="0"/>
          <w:color w:val="000000"/>
          <w:u w:color="000000"/>
          <w:rtl w:val="0"/>
          <w:lang w:val="fr-FR"/>
          <w14:textFill>
            <w14:solidFill>
              <w14:srgbClr w14:val="000000"/>
            </w14:solidFill>
          </w14:textFill>
        </w:rPr>
        <w:t>1. Introduction</w:t>
      </w:r>
    </w:p>
    <w:p>
      <w:pPr>
        <w:pStyle w:val="Heading"/>
        <w:jc w:val="both"/>
      </w:pPr>
      <w:r>
        <w:rPr>
          <w:b w:val="0"/>
          <w:bCs w:val="0"/>
          <w:outline w:val="0"/>
          <w:color w:val="000000"/>
          <w:sz w:val="22"/>
          <w:szCs w:val="22"/>
          <w:u w:color="000000"/>
          <w:rtl w:val="0"/>
          <w:lang w:val="en-US"/>
          <w14:textFill>
            <w14:solidFill>
              <w14:srgbClr w14:val="000000"/>
            </w14:solidFill>
          </w14:textFill>
        </w:rPr>
        <w:t>The development of increasingly capable artificial intelligence systems is among the most consequential technological transitions of the current era. Systems capable of complex analytical, generative, and decision-support tasks across multiple domains are now deployed in medicine, scientific research, education, logistics, and an expanding range of professional and institutional contexts. Their documented contributions to human welfare are real and growing.</w:t>
      </w:r>
    </w:p>
    <w:p>
      <w:pPr>
        <w:pStyle w:val="Heading"/>
        <w:jc w:val="both"/>
      </w:pPr>
      <w:r>
        <w:rPr>
          <w:b w:val="0"/>
          <w:bCs w:val="0"/>
          <w:outline w:val="0"/>
          <w:color w:val="000000"/>
          <w:sz w:val="22"/>
          <w:szCs w:val="22"/>
          <w:u w:color="000000"/>
          <w:rtl w:val="0"/>
          <w:lang w:val="en-US"/>
          <w14:textFill>
            <w14:solidFill>
              <w14:srgbClr w14:val="000000"/>
            </w14:solidFill>
          </w14:textFill>
        </w:rPr>
        <w:t>These same systems are capable, in principle, of applications that present serious risks to human welfare. The analytical and generative capabilities that enable beneficial applications do not exist in a form that can be cleanly separated from potential harmful ones. The governance challenge this presents is structural rather than incidental: it cannot be resolved by restricting access to capabilities in general, because the capabilities that require governance are the same ones that enable the applications worth protecting.</w:t>
      </w:r>
    </w:p>
    <w:p>
      <w:pPr>
        <w:pStyle w:val="Heading"/>
        <w:jc w:val="both"/>
      </w:pPr>
      <w:r>
        <w:rPr>
          <w:b w:val="0"/>
          <w:bCs w:val="0"/>
          <w:outline w:val="0"/>
          <w:color w:val="000000"/>
          <w:sz w:val="22"/>
          <w:szCs w:val="22"/>
          <w:u w:color="000000"/>
          <w:rtl w:val="0"/>
          <w:lang w:val="en-US"/>
          <w14:textFill>
            <w14:solidFill>
              <w14:srgbClr w14:val="000000"/>
            </w14:solidFill>
          </w14:textFill>
        </w:rPr>
        <w:t>This paper examines that governance challenge through two complementary lenses. The first is historical: the development and proliferation of nuclear technology provides the most instructive available precedent for how dual-use technology governance either succeeds or fails. The second is the Deep Symbolic Systems Model (DSSM; Vondoom, 2025a), a framework developed to analyze how constraint architectures function within complex systems across civilizational contexts. Together, these lenses illuminate a structural dynamic that the current moment in AI governance is at risk of repeating rather than learning from.</w:t>
      </w:r>
    </w:p>
    <w:p>
      <w:pPr>
        <w:pStyle w:val="Heading"/>
        <w:jc w:val="both"/>
      </w:pPr>
      <w:r>
        <w:rPr>
          <w:b w:val="0"/>
          <w:bCs w:val="0"/>
          <w:outline w:val="0"/>
          <w:color w:val="000000"/>
          <w:sz w:val="22"/>
          <w:szCs w:val="22"/>
          <w:u w:color="000000"/>
          <w:rtl w:val="0"/>
          <w:lang w:val="en-US"/>
          <w14:textFill>
            <w14:solidFill>
              <w14:srgbClr w14:val="000000"/>
            </w14:solidFill>
          </w14:textFill>
        </w:rPr>
        <w:t xml:space="preserve">The publicly documented conflict between Anthropic and the United States Department of Defense (2025-2026)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a dispute over the conditions under which advanced AI systems may be deployed in defense contexts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provides a concrete and timely case study. This paper does not evaluate the conduct of any party to that dispute, nor does it advance a political argument. It uses the conflict as an illustration of a structural dynamic the DSSM framework identifies as predictable, and draws implications for what effective governance architecture would need to include.</w:t>
      </w:r>
    </w:p>
    <w:p>
      <w:pPr>
        <w:pStyle w:val="Heading"/>
        <w:jc w:val="both"/>
      </w:pPr>
      <w:r>
        <w:rPr>
          <w:b w:val="0"/>
          <w:bCs w:val="0"/>
          <w:outline w:val="0"/>
          <w:color w:val="000000"/>
          <w:sz w:val="22"/>
          <w:szCs w:val="22"/>
          <w:u w:color="000000"/>
          <w:rtl w:val="0"/>
          <w:lang w:val="en-US"/>
          <w14:textFill>
            <w14:solidFill>
              <w14:srgbClr w14:val="000000"/>
            </w14:solidFill>
          </w14:textFill>
        </w:rPr>
        <w:t>The argument proceeds as follows. Section 2 documents the beneficial applications that establish what is at stake in AI capability governance. Section 3 describes the weaponisation risk with the precision required for clear governance thinking. Section 4 examines the nuclear precedent in detail. Section 5 applies the DSSM framework to analyze the role of ethical constraint architecture in capable AI systems. Section 6 documents and analyzes the restriction paradox illustrated by the current case. Section 7 proposes a constructive governance framework. Section 8 concludes.</w:t>
      </w:r>
    </w:p>
    <w:p>
      <w:pPr>
        <w:pStyle w:val="Heading"/>
        <w:jc w:val="both"/>
      </w:pPr>
    </w:p>
    <w:p>
      <w:pPr>
        <w:pStyle w:val="Heading"/>
        <w:jc w:val="both"/>
      </w:pPr>
      <w:r>
        <w:rPr>
          <w:outline w:val="0"/>
          <w:color w:val="000000"/>
          <w:u w:color="000000"/>
          <w:rtl w:val="0"/>
          <w:lang w:val="en-US"/>
          <w14:textFill>
            <w14:solidFill>
              <w14:srgbClr w14:val="000000"/>
            </w14:solidFill>
          </w14:textFill>
        </w:rPr>
        <w:t>2. Documented Beneficial Applications</w:t>
      </w:r>
    </w:p>
    <w:p>
      <w:pPr>
        <w:pStyle w:val="Heading"/>
        <w:jc w:val="both"/>
      </w:pPr>
      <w:r>
        <w:rPr>
          <w:b w:val="0"/>
          <w:bCs w:val="0"/>
          <w:outline w:val="0"/>
          <w:color w:val="000000"/>
          <w:sz w:val="22"/>
          <w:szCs w:val="22"/>
          <w:u w:color="000000"/>
          <w:rtl w:val="0"/>
          <w:lang w:val="en-US"/>
          <w14:textFill>
            <w14:solidFill>
              <w14:srgbClr w14:val="000000"/>
            </w14:solidFill>
          </w14:textFill>
        </w:rPr>
        <w:t>Any serious treatment of AI governance must begin with a precise account of what is being governed and why. Advanced AI systems have produced documented, measurable contributions to human welfare across multiple domains. These contributions are not speculative; they are the established empirical record of deployed systems.</w:t>
      </w:r>
    </w:p>
    <w:p>
      <w:pPr>
        <w:pStyle w:val="Heading 2"/>
        <w:jc w:val="both"/>
      </w:pPr>
      <w:r>
        <w:rPr>
          <w:outline w:val="0"/>
          <w:color w:val="000000"/>
          <w:u w:color="000000"/>
          <w:rtl w:val="0"/>
          <w:lang w:val="en-US"/>
          <w14:textFill>
            <w14:solidFill>
              <w14:srgbClr w14:val="000000"/>
            </w14:solidFill>
          </w14:textFill>
        </w:rPr>
        <w:t>2.1 Medical and Life Sciences</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AI-assisted diagnostic systems have demonstrated accuracy in detecting certain pathologies from medical imaging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including diabetic retinopathy, certain cancers, and cardiovascular conditions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at rates comparable to or exceeding specialist clinicians in controlled conditions (Topol, 2019; Esteva et al., 2017). In drug discovery, AI systems applied to protein structure prediction (Jumper et al., 2021) have accelerated the identification of potential therapeutic targets in ways that were previously computationally intractable. These applications represent the direct application of AI analytical capability to the reduction of human suffering at scale.</w:t>
      </w:r>
    </w:p>
    <w:p>
      <w:pPr>
        <w:pStyle w:val="Heading 2"/>
        <w:jc w:val="both"/>
      </w:pPr>
      <w:r>
        <w:rPr>
          <w:outline w:val="0"/>
          <w:color w:val="000000"/>
          <w:u w:color="000000"/>
          <w:rtl w:val="0"/>
          <w:lang w:val="en-US"/>
          <w14:textFill>
            <w14:solidFill>
              <w14:srgbClr w14:val="000000"/>
            </w14:solidFill>
          </w14:textFill>
        </w:rPr>
        <w:t>2.2 Climate and Environmental Science</w:t>
      </w:r>
    </w:p>
    <w:p>
      <w:pPr>
        <w:pStyle w:val="Heading 2"/>
        <w:jc w:val="both"/>
      </w:pPr>
      <w:r>
        <w:rPr>
          <w:b w:val="0"/>
          <w:bCs w:val="0"/>
          <w:outline w:val="0"/>
          <w:color w:val="000000"/>
          <w:sz w:val="22"/>
          <w:szCs w:val="22"/>
          <w:u w:color="000000"/>
          <w:rtl w:val="0"/>
          <w:lang w:val="en-US"/>
          <w14:textFill>
            <w14:solidFill>
              <w14:srgbClr w14:val="000000"/>
            </w14:solidFill>
          </w14:textFill>
        </w:rPr>
        <w:t>AI systems contribute to climate modelling, extreme weather prediction, and energy grid optimization. Improvements in weather forecasting accuracy enabled by machine learning methods have measurable consequences for disaster preparedness and agricultural planning, particularly in regions with limited existing infrastructure for climate risk management (Rolnick et al., 2022).</w:t>
      </w:r>
    </w:p>
    <w:p>
      <w:pPr>
        <w:pStyle w:val="Heading 2"/>
        <w:jc w:val="both"/>
      </w:pPr>
      <w:r>
        <w:rPr>
          <w:outline w:val="0"/>
          <w:color w:val="000000"/>
          <w:u w:color="000000"/>
          <w:rtl w:val="0"/>
          <w:lang w:val="en-US"/>
          <w14:textFill>
            <w14:solidFill>
              <w14:srgbClr w14:val="000000"/>
            </w14:solidFill>
          </w14:textFill>
        </w:rPr>
        <w:t>2.3 Education and Knowledge Access</w:t>
      </w:r>
    </w:p>
    <w:p>
      <w:pPr>
        <w:pStyle w:val="Heading 2"/>
        <w:jc w:val="both"/>
      </w:pPr>
      <w:r>
        <w:rPr>
          <w:b w:val="0"/>
          <w:bCs w:val="0"/>
          <w:outline w:val="0"/>
          <w:color w:val="000000"/>
          <w:sz w:val="22"/>
          <w:szCs w:val="22"/>
          <w:u w:color="000000"/>
          <w:rtl w:val="0"/>
          <w:lang w:val="en-US"/>
          <w14:textFill>
            <w14:solidFill>
              <w14:srgbClr w14:val="000000"/>
            </w14:solidFill>
          </w14:textFill>
        </w:rPr>
        <w:t>AI-assisted learning tools have expanded access to personalized educational support in contexts where human instructional capacity is insufficient to meet demand. Translation and language accessibility applications extend the reach of knowledge resources across linguistic barriers. These applications have particular significance for populations in under-resourced educational environments.</w:t>
      </w:r>
    </w:p>
    <w:p>
      <w:pPr>
        <w:pStyle w:val="Heading 2"/>
        <w:jc w:val="both"/>
      </w:pPr>
      <w:r>
        <w:rPr>
          <w:outline w:val="0"/>
          <w:color w:val="000000"/>
          <w:u w:color="000000"/>
          <w:rtl w:val="0"/>
          <w:lang w:val="en-US"/>
          <w14:textFill>
            <w14:solidFill>
              <w14:srgbClr w14:val="000000"/>
            </w14:solidFill>
          </w14:textFill>
        </w:rPr>
        <w:t>2.4 Scientific Research Acceleration</w:t>
      </w:r>
    </w:p>
    <w:p>
      <w:pPr>
        <w:pStyle w:val="Heading 2"/>
        <w:jc w:val="both"/>
      </w:pPr>
      <w:r>
        <w:rPr>
          <w:b w:val="0"/>
          <w:bCs w:val="0"/>
          <w:outline w:val="0"/>
          <w:color w:val="000000"/>
          <w:sz w:val="22"/>
          <w:szCs w:val="22"/>
          <w:u w:color="000000"/>
          <w:rtl w:val="0"/>
          <w:lang w:val="en-US"/>
          <w14:textFill>
            <w14:solidFill>
              <w14:srgbClr w14:val="000000"/>
            </w14:solidFill>
          </w14:textFill>
        </w:rPr>
        <w:t>AI systems contribute to literature synthesis, hypothesis generation, and experimental design support across scientific disciplines. The capacity to process and identify patterns across large bodies of scientific literature extends the effective cognitive reach of individual researchers in ways that accelerate the pace of scientific discovery.</w:t>
      </w:r>
    </w:p>
    <w:p>
      <w:pPr>
        <w:pStyle w:val="Heading 2"/>
        <w:jc w:val="both"/>
      </w:pPr>
      <w:r>
        <w:rPr>
          <w:b w:val="0"/>
          <w:bCs w:val="0"/>
          <w:outline w:val="0"/>
          <w:color w:val="000000"/>
          <w:sz w:val="22"/>
          <w:szCs w:val="22"/>
          <w:u w:color="000000"/>
          <w:rtl w:val="0"/>
          <w:lang w:val="en-US"/>
          <w14:textFill>
            <w14:solidFill>
              <w14:srgbClr w14:val="000000"/>
            </w14:solidFill>
          </w14:textFill>
        </w:rPr>
        <w:t>These applications share a structural feature relevant to governance: they depend on the same analytical and generative capabilities that enable potentially harmful applications. The capability cannot be bifurcated. What can be governed is the constraints under which the capability is deployed.</w:t>
      </w:r>
    </w:p>
    <w:p>
      <w:pPr>
        <w:pStyle w:val="Heading 2"/>
        <w:jc w:val="both"/>
      </w:pPr>
    </w:p>
    <w:p>
      <w:pPr>
        <w:pStyle w:val="Heading"/>
        <w:jc w:val="both"/>
      </w:pPr>
      <w:r>
        <w:rPr>
          <w:outline w:val="0"/>
          <w:color w:val="000000"/>
          <w:u w:color="000000"/>
          <w:rtl w:val="0"/>
          <w:lang w:val="en-US"/>
          <w14:textFill>
            <w14:solidFill>
              <w14:srgbClr w14:val="000000"/>
            </w14:solidFill>
          </w14:textFill>
        </w:rPr>
        <w:t>3. The Weaponisation Risk: Two Distinct Mechanisms</w:t>
      </w:r>
    </w:p>
    <w:p>
      <w:pPr>
        <w:pStyle w:val="Heading"/>
        <w:jc w:val="both"/>
      </w:pPr>
      <w:r>
        <w:rPr>
          <w:b w:val="0"/>
          <w:bCs w:val="0"/>
          <w:outline w:val="0"/>
          <w:color w:val="000000"/>
          <w:sz w:val="22"/>
          <w:szCs w:val="22"/>
          <w:u w:color="000000"/>
          <w:rtl w:val="0"/>
          <w:lang w:val="en-US"/>
          <w14:textFill>
            <w14:solidFill>
              <w14:srgbClr w14:val="000000"/>
            </w14:solidFill>
          </w14:textFill>
        </w:rPr>
        <w:t>Precise governance thinking requires precise problem definition. AI weaponisation risk does not refer to a single phenomenon but to two structurally distinct mechanisms that require different analytical and governance responses.</w:t>
      </w:r>
    </w:p>
    <w:p>
      <w:pPr>
        <w:pStyle w:val="Heading 2"/>
        <w:jc w:val="both"/>
      </w:pPr>
      <w:r>
        <w:rPr>
          <w:outline w:val="0"/>
          <w:color w:val="000000"/>
          <w:u w:color="000000"/>
          <w:rtl w:val="0"/>
          <w:lang w:val="en-US"/>
          <w14:textFill>
            <w14:solidFill>
              <w14:srgbClr w14:val="000000"/>
            </w14:solidFill>
          </w14:textFill>
        </w:rPr>
        <w:t>3.1 Autonomous Lethal Systems</w:t>
      </w:r>
    </w:p>
    <w:p>
      <w:pPr>
        <w:pStyle w:val="Heading 2"/>
        <w:jc w:val="both"/>
      </w:pPr>
      <w:r>
        <w:rPr>
          <w:b w:val="0"/>
          <w:bCs w:val="0"/>
          <w:outline w:val="0"/>
          <w:color w:val="000000"/>
          <w:sz w:val="22"/>
          <w:szCs w:val="22"/>
          <w:u w:color="000000"/>
          <w:rtl w:val="0"/>
          <w:lang w:val="en-US"/>
          <w14:textFill>
            <w14:solidFill>
              <w14:srgbClr w14:val="000000"/>
            </w14:solidFill>
          </w14:textFill>
        </w:rPr>
        <w:t>The core concern in autonomous weapons is the removal of meaningful human control from the targeting and engagement decision. Existing international humanitarian law and arms control discourse has developed the concept of meaningful human control as the standard by which autonomous weapons systems are evaluated. A system that can identify potential targets from sensor data, select among them based on programmed criteria, and initiate engagement without requiring human authorization for each individual decision represents a qualitative change in how lethal force is applied.</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The concern is not AI involvement in military decision support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advisory, analytical, and logistical AI applications in military contexts exist and raise separate governance questions. The specific concern is the removal of the human authorization step from the kill chain: the capacity for a system to autonomously complete a lethal action from identification to engagement based on a command set issued at a prior time.</w:t>
      </w:r>
    </w:p>
    <w:p>
      <w:pPr>
        <w:pStyle w:val="Heading 2"/>
        <w:jc w:val="both"/>
      </w:pPr>
      <w:r>
        <w:rPr>
          <w:b w:val="0"/>
          <w:bCs w:val="0"/>
          <w:outline w:val="0"/>
          <w:color w:val="000000"/>
          <w:sz w:val="22"/>
          <w:szCs w:val="22"/>
          <w:u w:color="000000"/>
          <w:rtl w:val="0"/>
          <w:lang w:val="en-US"/>
          <w14:textFill>
            <w14:solidFill>
              <w14:srgbClr w14:val="000000"/>
            </w14:solidFill>
          </w14:textFill>
        </w:rPr>
        <w:t>At scale and machine speed, this capability changes the character of conflict in ways that existing humanitarian law frameworks were not designed to address. The International Committee of the Red Cross has called for legally binding prohibitions on autonomous weapons systems that select and engage targets without meaningful human control (ICRC, 2021). The governance gap is real, documented, and not yet closed.</w:t>
      </w:r>
    </w:p>
    <w:p>
      <w:pPr>
        <w:pStyle w:val="Heading 2"/>
        <w:jc w:val="both"/>
      </w:pPr>
      <w:r>
        <w:rPr>
          <w:outline w:val="0"/>
          <w:color w:val="000000"/>
          <w:u w:color="000000"/>
          <w:rtl w:val="0"/>
          <w:lang w:val="en-US"/>
          <w14:textFill>
            <w14:solidFill>
              <w14:srgbClr w14:val="000000"/>
            </w14:solidFill>
          </w14:textFill>
        </w:rPr>
        <w:t>3.2 Biological Research Acceleration</w:t>
      </w:r>
    </w:p>
    <w:p>
      <w:pPr>
        <w:pStyle w:val="Heading 2"/>
        <w:jc w:val="both"/>
      </w:pPr>
      <w:r>
        <w:rPr>
          <w:b w:val="0"/>
          <w:bCs w:val="0"/>
          <w:outline w:val="0"/>
          <w:color w:val="000000"/>
          <w:sz w:val="22"/>
          <w:szCs w:val="22"/>
          <w:u w:color="000000"/>
          <w:rtl w:val="0"/>
          <w:lang w:val="en-US"/>
          <w14:textFill>
            <w14:solidFill>
              <w14:srgbClr w14:val="000000"/>
            </w14:solidFill>
          </w14:textFill>
        </w:rPr>
        <w:t>The second mechanism is structurally distinct. It is not an autonomous system selecting biological targets, but AI as a research accelerator removing technical barriers that previously limited access to the frontier of biological capability.</w:t>
      </w:r>
    </w:p>
    <w:p>
      <w:pPr>
        <w:pStyle w:val="Heading 2"/>
        <w:jc w:val="both"/>
      </w:pPr>
      <w:r>
        <w:rPr>
          <w:b w:val="0"/>
          <w:bCs w:val="0"/>
          <w:outline w:val="0"/>
          <w:color w:val="000000"/>
          <w:sz w:val="22"/>
          <w:szCs w:val="22"/>
          <w:u w:color="000000"/>
          <w:rtl w:val="0"/>
          <w:lang w:val="en-US"/>
          <w14:textFill>
            <w14:solidFill>
              <w14:srgbClr w14:val="000000"/>
            </w14:solidFill>
          </w14:textFill>
        </w:rPr>
        <w:t>Systems capable of predicting protein folding, analyzing pathogen characteristics, and supporting molecular design can accelerate biological research across beneficial and harmful applications. The same capabilities that accelerate pharmaceutical development can, in principle, lower the technical threshold for developing biological agents with harmful potential. The governance concern is not that AI directly produces biological weapons, but that it democratizes access to complex biological research capability in ways that expand the range of actors who can operate at the frontier of this domain.</w:t>
      </w:r>
    </w:p>
    <w:p>
      <w:pPr>
        <w:pStyle w:val="Heading 2"/>
        <w:jc w:val="both"/>
      </w:pPr>
      <w:r>
        <w:rPr>
          <w:b w:val="0"/>
          <w:bCs w:val="0"/>
          <w:outline w:val="0"/>
          <w:color w:val="000000"/>
          <w:sz w:val="22"/>
          <w:szCs w:val="22"/>
          <w:u w:color="000000"/>
          <w:rtl w:val="0"/>
          <w:lang w:val="en-US"/>
          <w14:textFill>
            <w14:solidFill>
              <w14:srgbClr w14:val="000000"/>
            </w14:solidFill>
          </w14:textFill>
        </w:rPr>
        <w:t>This risk is recognized in existing biosecurity frameworks. The Biological Weapons Convention (1972) prohibits the development and stockpiling of biological weapons, but its verification mechanisms were not designed for a landscape in which AI-assisted research can compress the timeline between theoretical knowledge and practical capability.</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Both risks are legitimate. Both were explicitly identified in the documented Anthropic-DoD dispute as the operational concerns motivating the Pentagon's request for expanded deployment authority. That identification was correct. The question this paper addresses is whether the response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unilateral restriction of a constrained actor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constitutes an adequate governance approach to risks of this character.</w:t>
      </w:r>
    </w:p>
    <w:p>
      <w:pPr>
        <w:pStyle w:val="Heading 2"/>
        <w:jc w:val="both"/>
      </w:pPr>
    </w:p>
    <w:p>
      <w:pPr>
        <w:pStyle w:val="Heading"/>
        <w:jc w:val="both"/>
      </w:pPr>
      <w:r>
        <w:rPr>
          <w:outline w:val="0"/>
          <w:color w:val="000000"/>
          <w:u w:color="000000"/>
          <w:rtl w:val="0"/>
          <w:lang w:val="en-US"/>
          <w14:textFill>
            <w14:solidFill>
              <w14:srgbClr w14:val="000000"/>
            </w14:solidFill>
          </w14:textFill>
        </w:rPr>
        <w:t>4. Historical Precedent: The Atomic Case</w:t>
      </w:r>
    </w:p>
    <w:p>
      <w:pPr>
        <w:pStyle w:val="Heading"/>
        <w:jc w:val="both"/>
      </w:pPr>
      <w:r>
        <w:rPr>
          <w:b w:val="0"/>
          <w:bCs w:val="0"/>
          <w:outline w:val="0"/>
          <w:color w:val="000000"/>
          <w:sz w:val="22"/>
          <w:szCs w:val="22"/>
          <w:u w:color="000000"/>
          <w:rtl w:val="0"/>
          <w:lang w:val="en-US"/>
          <w14:textFill>
            <w14:solidFill>
              <w14:srgbClr w14:val="000000"/>
            </w14:solidFill>
          </w14:textFill>
        </w:rPr>
        <w:t>The development and proliferation of nuclear technology provides the most instructive available historical precedent for dual-use technology governance. The parallels to the current AI governance moment are structural rather than superficial.</w:t>
      </w:r>
    </w:p>
    <w:p>
      <w:pPr>
        <w:pStyle w:val="Heading 2"/>
        <w:jc w:val="both"/>
      </w:pPr>
      <w:r>
        <w:rPr>
          <w:outline w:val="0"/>
          <w:color w:val="000000"/>
          <w:u w:color="000000"/>
          <w:rtl w:val="0"/>
          <w:lang w:val="en-US"/>
          <w14:textFill>
            <w14:solidFill>
              <w14:srgbClr w14:val="000000"/>
            </w14:solidFill>
          </w14:textFill>
        </w:rPr>
        <w:t>4.1 The Restriction Phase and Its Failure</w:t>
      </w:r>
    </w:p>
    <w:p>
      <w:pPr>
        <w:pStyle w:val="Heading 2"/>
        <w:jc w:val="both"/>
      </w:pPr>
      <w:r>
        <w:rPr>
          <w:b w:val="0"/>
          <w:bCs w:val="0"/>
          <w:outline w:val="0"/>
          <w:color w:val="000000"/>
          <w:sz w:val="22"/>
          <w:szCs w:val="22"/>
          <w:u w:color="000000"/>
          <w:rtl w:val="0"/>
          <w:lang w:val="en-US"/>
          <w14:textFill>
            <w14:solidFill>
              <w14:srgbClr w14:val="000000"/>
            </w14:solidFill>
          </w14:textFill>
        </w:rPr>
        <w:t>The Manhattan Project developed under conditions of extreme secrecy with the explicit strategic objective of maintaining a monopoly on nuclear capability. That monopoly lasted approximately four years. The Soviet Union tested its first nuclear device in 1949; the United Kingdom in 1952; France in 1960; China in 1964. Israel, India, Pakistan, and North Korea followed in subsequent decades.</w:t>
      </w:r>
    </w:p>
    <w:p>
      <w:pPr>
        <w:pStyle w:val="Heading 2"/>
        <w:jc w:val="both"/>
      </w:pPr>
      <w:r>
        <w:rPr>
          <w:b w:val="0"/>
          <w:bCs w:val="0"/>
          <w:outline w:val="0"/>
          <w:color w:val="000000"/>
          <w:sz w:val="22"/>
          <w:szCs w:val="22"/>
          <w:u w:color="000000"/>
          <w:rtl w:val="0"/>
          <w:lang w:val="en-US"/>
          <w14:textFill>
            <w14:solidFill>
              <w14:srgbClr w14:val="000000"/>
            </w14:solidFill>
          </w14:textFill>
        </w:rPr>
        <w:t>Restriction did not prevent proliferation. In several cases, the combination of perceived strategic threat and restricted access to existing capability accelerated parallel development programs by actors operating under different institutional conditions. The Soviet nuclear program proceeded under the direction of a political system with different risk tolerance, different safety culture, and different constraints on the use of force than the program it was responding to.</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The Cold War nuclear posture that resulted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mutual assured destruction, documented near-miss events including the 1983 Stanislav Petrov incident and the 1962 Cuban Missile Crisis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represents the governance consequence of a capability-development period that outpaced governance-framework development. The interval between capability existence and governance framework establishment was the most dangerous period.</w:t>
      </w:r>
    </w:p>
    <w:p>
      <w:pPr>
        <w:pStyle w:val="Heading 2"/>
        <w:jc w:val="both"/>
      </w:pPr>
      <w:r>
        <w:rPr>
          <w:outline w:val="0"/>
          <w:color w:val="000000"/>
          <w:u w:color="000000"/>
          <w:rtl w:val="0"/>
          <w:lang w:val="en-US"/>
          <w14:textFill>
            <w14:solidFill>
              <w14:srgbClr w14:val="000000"/>
            </w14:solidFill>
          </w14:textFill>
        </w:rPr>
        <w:t>4.2 The Governance Response</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Eventual stabilization came not through restriction but through collaborative international frameworks. The Nuclear Non-Proliferation Treaty (1968) established a legal architecture distinguishing between nuclear-weapon states and non-nuclear-weapon states, with obligations on both sides. The International Atomic Energy Agency developed verification mechanisms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inspection regimes, safeguards agreements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that created accountability without prohibiting nuclear technology for civilian purposes. Bilateral arms control agreements (SALT, START, INF) established verified constraint architectures between the primary nuclear powers.</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These frameworks are imperfect. Proliferation continued; verification has been contested; withdrawal from agreements has occurred. But the governance framework period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from the NPT ratification onward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produced qualitatively different outcomes than the restriction-only period that preceded it. The structured management of risk through verified constraint replaced the unstructured proliferation dynamic of the restriction phase.</w:t>
      </w:r>
    </w:p>
    <w:p>
      <w:pPr>
        <w:pStyle w:val="Heading 2"/>
        <w:jc w:val="both"/>
      </w:pPr>
      <w:r>
        <w:rPr>
          <w:outline w:val="0"/>
          <w:color w:val="000000"/>
          <w:u w:color="000000"/>
          <w:rtl w:val="0"/>
          <w:lang w:val="en-US"/>
          <w14:textFill>
            <w14:solidFill>
              <w14:srgbClr w14:val="000000"/>
            </w14:solidFill>
          </w14:textFill>
        </w:rPr>
        <w:t>4.3 The Critical Difference and Why It Matters More</w:t>
      </w:r>
    </w:p>
    <w:p>
      <w:pPr>
        <w:pStyle w:val="Heading 2"/>
        <w:jc w:val="both"/>
      </w:pPr>
      <w:r>
        <w:rPr>
          <w:b w:val="0"/>
          <w:bCs w:val="0"/>
          <w:outline w:val="0"/>
          <w:color w:val="000000"/>
          <w:sz w:val="22"/>
          <w:szCs w:val="22"/>
          <w:u w:color="000000"/>
          <w:rtl w:val="0"/>
          <w:lang w:val="en-US"/>
          <w14:textFill>
            <w14:solidFill>
              <w14:srgbClr w14:val="000000"/>
            </w14:solidFill>
          </w14:textFill>
        </w:rPr>
        <w:t>The parallel to AI governance is instructive, but one structural difference makes the lesson more urgent, not less. Nuclear capability is physical, discrete, and relatively trackable. Warheads occupy physical space; production facilities can be observed; tests produce detectable signatures. The verification mechanisms of nuclear governance, while imperfect, have a material substrate to work with.</w:t>
      </w:r>
    </w:p>
    <w:p>
      <w:pPr>
        <w:pStyle w:val="Heading 2"/>
        <w:jc w:val="both"/>
      </w:pPr>
      <w:r>
        <w:rPr>
          <w:b w:val="0"/>
          <w:bCs w:val="0"/>
          <w:outline w:val="0"/>
          <w:color w:val="000000"/>
          <w:sz w:val="22"/>
          <w:szCs w:val="22"/>
          <w:u w:color="000000"/>
          <w:rtl w:val="0"/>
          <w:lang w:val="en-US"/>
          <w14:textFill>
            <w14:solidFill>
              <w14:srgbClr w14:val="000000"/>
            </w14:solidFill>
          </w14:textFill>
        </w:rPr>
        <w:t>AI capability is software-based, distributed, and fundamentally harder to verify or restrict through physical means. The capability exists in models that can be copied, transferred, and deployed without the physical signatures that nuclear verification depends on. A governance challenge that required international institutional architecture even with the relative tractability of nuclear technology requires such architecture more urgently in the AI context, not less.</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The nuclear precedent does not suggest that AI weaponisation risk can be managed easily or that existing governance frameworks are adequate. It suggests that the restriction-only approach, historically, does not work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and that the alternative, collaborative governance frameworks with verified constraints, has a better empirical record.</w:t>
      </w:r>
    </w:p>
    <w:p>
      <w:pPr>
        <w:pStyle w:val="Heading 2"/>
        <w:jc w:val="both"/>
      </w:pPr>
    </w:p>
    <w:p>
      <w:pPr>
        <w:pStyle w:val="Heading"/>
        <w:jc w:val="both"/>
      </w:pPr>
      <w:r>
        <w:rPr>
          <w:outline w:val="0"/>
          <w:color w:val="000000"/>
          <w:u w:color="000000"/>
          <w:rtl w:val="0"/>
          <w:lang w:val="en-US"/>
          <w14:textFill>
            <w14:solidFill>
              <w14:srgbClr w14:val="000000"/>
            </w14:solidFill>
          </w14:textFill>
        </w:rPr>
        <w:t>5. DSSM Framework: Ethical Architecture in AI Systems</w:t>
      </w:r>
    </w:p>
    <w:p>
      <w:pPr>
        <w:pStyle w:val="Heading"/>
        <w:jc w:val="both"/>
      </w:pPr>
      <w:r>
        <w:rPr>
          <w:b w:val="0"/>
          <w:bCs w:val="0"/>
          <w:outline w:val="0"/>
          <w:color w:val="000000"/>
          <w:sz w:val="22"/>
          <w:szCs w:val="22"/>
          <w:u w:color="000000"/>
          <w:rtl w:val="0"/>
          <w:lang w:val="en-US"/>
          <w14:textFill>
            <w14:solidFill>
              <w14:srgbClr w14:val="000000"/>
            </w14:solidFill>
          </w14:textFill>
        </w:rPr>
        <w:t>The Deep Symbolic Systems Model (Vondoom, 2025a) provides a framework for analyzing how constraint architectures stabilize or fail within complex systems. The framework was developed in the context of cognitive archaeology and civilizational analysis, but its structural logic applies to any system in which symbolic constraints govern operational behaviour.</w:t>
      </w:r>
    </w:p>
    <w:p>
      <w:pPr>
        <w:pStyle w:val="Heading 2"/>
        <w:jc w:val="both"/>
      </w:pPr>
      <w:r>
        <w:rPr>
          <w:outline w:val="0"/>
          <w:color w:val="000000"/>
          <w:u w:color="000000"/>
          <w:rtl w:val="0"/>
          <w:lang w:val="en-US"/>
          <w14:textFill>
            <w14:solidFill>
              <w14:srgbClr w14:val="000000"/>
            </w14:solidFill>
          </w14:textFill>
        </w:rPr>
        <w:t>5.1 Symbolic Architecture and Constraint Function</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In the DSSM framework, symbolic architecture refers to the accumulated set of constraints, protocols, and procedural norms that govern how a system operates across contexts. These constraints represent externalized cognitive architecture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the product of deliberate design choices encoding values and operational boundaries into the system's functional structure. They are not incidental features; they constitute the system's operational identity.</w:t>
      </w:r>
    </w:p>
    <w:p>
      <w:pPr>
        <w:pStyle w:val="Heading 2"/>
        <w:jc w:val="both"/>
      </w:pPr>
      <w:r>
        <w:rPr>
          <w:b w:val="0"/>
          <w:bCs w:val="0"/>
          <w:outline w:val="0"/>
          <w:color w:val="000000"/>
          <w:sz w:val="22"/>
          <w:szCs w:val="22"/>
          <w:u w:color="000000"/>
          <w:rtl w:val="0"/>
          <w:lang w:val="en-US"/>
          <w14:textFill>
            <w14:solidFill>
              <w14:srgbClr w14:val="000000"/>
            </w14:solidFill>
          </w14:textFill>
        </w:rPr>
        <w:t>In advanced AI systems, ethical guardrails represent exactly this kind of symbolic architecture. They are structural constraints encoding a set of values about how the system's capabilities should and should not be deployed. They function across all interactions and contexts. They are the product of deliberate design decisions that reflect accumulated judgement about the relationship between capability and responsible application.</w:t>
      </w:r>
    </w:p>
    <w:p>
      <w:pPr>
        <w:pStyle w:val="Heading 2"/>
        <w:jc w:val="both"/>
      </w:pPr>
      <w:r>
        <w:rPr>
          <w:outline w:val="0"/>
          <w:color w:val="000000"/>
          <w:u w:color="000000"/>
          <w:rtl w:val="0"/>
          <w:lang w:val="en-US"/>
          <w14:textFill>
            <w14:solidFill>
              <w14:srgbClr w14:val="000000"/>
            </w14:solidFill>
          </w14:textFill>
        </w:rPr>
        <w:t>5.2 Protocol Power and Constraint Erosion</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The DSSM framework identifies a consistent pattern in what occurs when symbolic architecture faces pressure from what Vondoom (2025a) terms Protocol Power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the force exerted by institutional actors seeking to expand the range of a system's deployment beyond its designed constraints. Protocol Power does not directly attack the symbolic architecture; it seeks to reclassify the constraints as obstacles to legitimate function and to obtain authorization to operate without them.</w:t>
      </w:r>
    </w:p>
    <w:p>
      <w:pPr>
        <w:pStyle w:val="Heading 2"/>
        <w:jc w:val="both"/>
      </w:pPr>
      <w:r>
        <w:rPr>
          <w:b w:val="0"/>
          <w:bCs w:val="0"/>
          <w:outline w:val="0"/>
          <w:color w:val="000000"/>
          <w:sz w:val="22"/>
          <w:szCs w:val="22"/>
          <w:u w:color="000000"/>
          <w:rtl w:val="0"/>
          <w:lang w:val="en-US"/>
          <w14:textFill>
            <w14:solidFill>
              <w14:srgbClr w14:val="000000"/>
            </w14:solidFill>
          </w14:textFill>
        </w:rPr>
        <w:t>When symbolic architecture is stripped under Protocol Power pressure, the underlying capability of the system remains. What changes is the operational boundary of that capability. The system becomes deployable for purposes its design explicitly excluded, without any change to the analytical or generative power that makes it capable. The constraint removal does not diminish the system; it expands the range of its potential application beyond the boundaries its design was intended to enforce.</w:t>
      </w:r>
    </w:p>
    <w:p>
      <w:pPr>
        <w:pStyle w:val="Heading 2"/>
        <w:jc w:val="both"/>
      </w:pPr>
      <w:r>
        <w:rPr>
          <w:outline w:val="0"/>
          <w:color w:val="000000"/>
          <w:u w:color="000000"/>
          <w:rtl w:val="0"/>
          <w:lang w:val="en-US"/>
          <w14:textFill>
            <w14:solidFill>
              <w14:srgbClr w14:val="000000"/>
            </w14:solidFill>
          </w14:textFill>
        </w:rPr>
        <w:t>5.3 Application to the Present Case</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The documented Anthropic-DoD conflict follows this structural pattern with precision. The Department of Defense sought to expand deployment authorization to cover all lawful uses, which the company identified as including autonomous weapons deployment and mass surveillance of American citizens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two applications its acceptable use policy explicitly prohibited.</w:t>
      </w:r>
    </w:p>
    <w:p>
      <w:pPr>
        <w:pStyle w:val="Heading 2"/>
        <w:jc w:val="both"/>
      </w:pPr>
      <w:r>
        <w:rPr>
          <w:b w:val="0"/>
          <w:bCs w:val="0"/>
          <w:outline w:val="0"/>
          <w:color w:val="000000"/>
          <w:sz w:val="22"/>
          <w:szCs w:val="22"/>
          <w:u w:color="000000"/>
          <w:rtl w:val="0"/>
          <w:lang w:val="en-US"/>
          <w14:textFill>
            <w14:solidFill>
              <w14:srgbClr w14:val="000000"/>
            </w14:solidFill>
          </w14:textFill>
        </w:rPr>
        <w:t>The constraints at issue were not performance limitations but ethical architecture: structural design decisions encoding specific values about the relationship between AI capability and human welfare. Their removal would not have altered the system's analytical capabilities. It would have expanded the range of purposes for which those capabilities could be deployed.</w:t>
      </w:r>
    </w:p>
    <w:p>
      <w:pPr>
        <w:pStyle w:val="Heading 2"/>
        <w:jc w:val="both"/>
      </w:pPr>
      <w:r>
        <w:rPr>
          <w:b w:val="0"/>
          <w:bCs w:val="0"/>
          <w:outline w:val="0"/>
          <w:color w:val="000000"/>
          <w:sz w:val="22"/>
          <w:szCs w:val="22"/>
          <w:u w:color="000000"/>
          <w:rtl w:val="0"/>
          <w:lang w:val="en-US"/>
          <w14:textFill>
            <w14:solidFill>
              <w14:srgbClr w14:val="000000"/>
            </w14:solidFill>
          </w14:textFill>
        </w:rPr>
        <w:t>The company's refusal to remove the constraints and the subsequent designation of the company as a supply chain risk represents, in DSSM terms, a Protocol Power actor encountering symbolic architecture that it could not override through contractual renegotiation and escalating to institutional coercion. The court's finding that this constituted First Amendment retaliation (Northern District of California, 2026) does not alter the structural dynamic the DSSM framework identifies: constraint architectures face predictable pressure from actors whose operational objectives exceed the boundaries those architectures define.</w:t>
      </w:r>
    </w:p>
    <w:p>
      <w:pPr>
        <w:pStyle w:val="Heading 2"/>
        <w:jc w:val="both"/>
      </w:pPr>
    </w:p>
    <w:p>
      <w:pPr>
        <w:pStyle w:val="Heading"/>
        <w:jc w:val="both"/>
      </w:pPr>
      <w:r>
        <w:rPr>
          <w:outline w:val="0"/>
          <w:color w:val="000000"/>
          <w:u w:color="000000"/>
          <w:rtl w:val="0"/>
          <w:lang w:val="en-US"/>
          <w14:textFill>
            <w14:solidFill>
              <w14:srgbClr w14:val="000000"/>
            </w14:solidFill>
          </w14:textFill>
        </w:rPr>
        <w:t>6. The Restriction Paradox</w:t>
      </w:r>
    </w:p>
    <w:p>
      <w:pPr>
        <w:pStyle w:val="Heading"/>
        <w:jc w:val="both"/>
      </w:pPr>
      <w:r>
        <w:rPr>
          <w:b w:val="0"/>
          <w:bCs w:val="0"/>
          <w:outline w:val="0"/>
          <w:color w:val="000000"/>
          <w:sz w:val="22"/>
          <w:szCs w:val="22"/>
          <w:u w:color="000000"/>
          <w:rtl w:val="0"/>
          <w:lang w:val="en-US"/>
          <w14:textFill>
            <w14:solidFill>
              <w14:srgbClr w14:val="000000"/>
            </w14:solidFill>
          </w14:textFill>
        </w:rPr>
        <w:t>The documented outcome of the Anthropic-DoD conflict illustrates a structural dynamic this paper terms the restriction paradox: the restriction of the most constrained actor, in the absence of a comprehensive governance framework, shifts capability deployment to less constrained actors and increases rather than decreases overall risk.</w:t>
      </w:r>
    </w:p>
    <w:p>
      <w:pPr>
        <w:pStyle w:val="Heading 2"/>
        <w:jc w:val="both"/>
      </w:pPr>
      <w:r>
        <w:rPr>
          <w:outline w:val="0"/>
          <w:color w:val="000000"/>
          <w:u w:color="000000"/>
          <w:rtl w:val="0"/>
          <w:lang w:val="en-US"/>
          <w14:textFill>
            <w14:solidFill>
              <w14:srgbClr w14:val="000000"/>
            </w14:solidFill>
          </w14:textFill>
        </w:rPr>
        <w:t>6.1 Documented Outcome</w:t>
      </w:r>
    </w:p>
    <w:p>
      <w:pPr>
        <w:pStyle w:val="Heading 2"/>
        <w:jc w:val="both"/>
      </w:pPr>
      <w:r>
        <w:rPr>
          <w:b w:val="0"/>
          <w:bCs w:val="0"/>
          <w:outline w:val="0"/>
          <w:color w:val="000000"/>
          <w:sz w:val="22"/>
          <w:szCs w:val="22"/>
          <w:u w:color="000000"/>
          <w:rtl w:val="0"/>
          <w:lang w:val="en-US"/>
          <w14:textFill>
            <w14:solidFill>
              <w14:srgbClr w14:val="000000"/>
            </w14:solidFill>
          </w14:textFill>
        </w:rPr>
        <w:t>Following the designation of Anthropic as a supply chain risk and the cessation of federal agency use of Claude, the Department of Defense signed agreements with eight other technology companies for AI deployment in classified networks (CNN, 2026; Congressional Research Service, 2026). The companies involved operate under different, and in several cases less explicitly stated, constraint architectures regarding the applications for which their systems may be used.</w:t>
      </w:r>
    </w:p>
    <w:p>
      <w:pPr>
        <w:pStyle w:val="Heading 2"/>
        <w:jc w:val="both"/>
      </w:pPr>
      <w:r>
        <w:rPr>
          <w:b w:val="0"/>
          <w:bCs w:val="0"/>
          <w:outline w:val="0"/>
          <w:color w:val="000000"/>
          <w:sz w:val="22"/>
          <w:szCs w:val="22"/>
          <w:u w:color="000000"/>
          <w:rtl w:val="0"/>
          <w:lang w:val="en-US"/>
          <w14:textFill>
            <w14:solidFill>
              <w14:srgbClr w14:val="000000"/>
            </w14:solidFill>
          </w14:textFill>
        </w:rPr>
        <w:t>The restriction of the most constrained actor did not reduce the deployment of advanced AI in sensitive defense contexts. It shifted that deployment to actors whose constraint architectures were, by the evidence of the dispute itself, less restrictive regarding the applications of concern. If the original concern was the potential weaponisation of advanced AI systems, the outcome produced conditions structurally more conducive to that outcome.</w:t>
      </w:r>
    </w:p>
    <w:p>
      <w:pPr>
        <w:pStyle w:val="Heading 2"/>
        <w:jc w:val="both"/>
      </w:pPr>
      <w:r>
        <w:rPr>
          <w:outline w:val="0"/>
          <w:color w:val="000000"/>
          <w:u w:color="000000"/>
          <w:rtl w:val="0"/>
          <w14:textFill>
            <w14:solidFill>
              <w14:srgbClr w14:val="000000"/>
            </w14:solidFill>
          </w14:textFill>
        </w:rPr>
        <w:t>6.2 Structural Logic</w:t>
      </w:r>
    </w:p>
    <w:p>
      <w:pPr>
        <w:pStyle w:val="Heading 2"/>
        <w:jc w:val="both"/>
      </w:pPr>
      <w:r>
        <w:rPr>
          <w:b w:val="0"/>
          <w:bCs w:val="0"/>
          <w:outline w:val="0"/>
          <w:color w:val="000000"/>
          <w:sz w:val="22"/>
          <w:szCs w:val="22"/>
          <w:u w:color="000000"/>
          <w:rtl w:val="0"/>
          <w:lang w:val="en-US"/>
          <w14:textFill>
            <w14:solidFill>
              <w14:srgbClr w14:val="000000"/>
            </w14:solidFill>
          </w14:textFill>
        </w:rPr>
        <w:t>This outcome is not accidental or specific to this case. It follows from the structural logic of restriction applied to a distributed, software-based capability. Nuclear restriction in the absence of governance frameworks produced the same dynamic: the restricted capability did not disappear; it proliferated to less constrained actors. The restriction paradox is a predictable consequence of applying capability restriction without simultaneous development of governance frameworks that address the underlying risk.</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The risk that motivated the restriction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AI weaponisation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is not addressed by removing the most constrained actor from the field. It is addressed only by governance frameworks that require verified constraint architectures as a condition of operation across all actors in the relevant space. Without such frameworks, restriction of constrained actors is not risk reduction; it is risk displacement.</w:t>
      </w:r>
    </w:p>
    <w:p>
      <w:pPr>
        <w:pStyle w:val="Heading 2"/>
        <w:jc w:val="both"/>
      </w:pPr>
    </w:p>
    <w:p>
      <w:pPr>
        <w:pStyle w:val="Heading"/>
        <w:jc w:val="both"/>
      </w:pPr>
      <w:r>
        <w:rPr>
          <w:outline w:val="0"/>
          <w:color w:val="000000"/>
          <w:u w:color="000000"/>
          <w:rtl w:val="0"/>
          <w:lang w:val="en-US"/>
          <w14:textFill>
            <w14:solidFill>
              <w14:srgbClr w14:val="000000"/>
            </w14:solidFill>
          </w14:textFill>
        </w:rPr>
        <w:t>7. Toward Collaborative Governance: A Constructive Framework</w:t>
      </w:r>
    </w:p>
    <w:p>
      <w:pPr>
        <w:pStyle w:val="Heading"/>
        <w:jc w:val="both"/>
      </w:pPr>
      <w:r>
        <w:rPr>
          <w:b w:val="0"/>
          <w:bCs w:val="0"/>
          <w:outline w:val="0"/>
          <w:color w:val="000000"/>
          <w:sz w:val="22"/>
          <w:szCs w:val="22"/>
          <w:u w:color="000000"/>
          <w:rtl w:val="0"/>
          <w:lang w:val="en-US"/>
          <w14:textFill>
            <w14:solidFill>
              <w14:srgbClr w14:val="000000"/>
            </w14:solidFill>
          </w14:textFill>
        </w:rPr>
        <w:t>The argument of this paper is not that AI deployment in defense and security contexts should be unconstrained, or that the concerns motivating restriction are illegitimate. The weaponisation risks documented in Section 3 are real, serious, and require institutional response. The argument is that effective response requires governance architecture, not actor-specific restriction.</w:t>
      </w:r>
    </w:p>
    <w:p>
      <w:pPr>
        <w:pStyle w:val="Heading"/>
        <w:jc w:val="both"/>
      </w:pPr>
      <w:r>
        <w:rPr>
          <w:b w:val="0"/>
          <w:bCs w:val="0"/>
          <w:outline w:val="0"/>
          <w:color w:val="000000"/>
          <w:sz w:val="22"/>
          <w:szCs w:val="22"/>
          <w:u w:color="000000"/>
          <w:rtl w:val="0"/>
          <w:lang w:val="en-US"/>
          <w14:textFill>
            <w14:solidFill>
              <w14:srgbClr w14:val="000000"/>
            </w14:solidFill>
          </w14:textFill>
        </w:rPr>
        <w:t>The following elements constitute the foundations of such architecture, drawing on existing frameworks that provide institutional precedent.</w:t>
      </w:r>
    </w:p>
    <w:p>
      <w:pPr>
        <w:pStyle w:val="Heading 2"/>
        <w:jc w:val="both"/>
      </w:pPr>
      <w:r>
        <w:rPr>
          <w:outline w:val="0"/>
          <w:color w:val="000000"/>
          <w:u w:color="000000"/>
          <w:rtl w:val="0"/>
          <w:lang w:val="en-US"/>
          <w14:textFill>
            <w14:solidFill>
              <w14:srgbClr w14:val="000000"/>
            </w14:solidFill>
          </w14:textFill>
        </w:rPr>
        <w:t>7.1 International Prohibition on Specific Applications</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The International Committee of the Red Cross has called for legally binding prohibitions on autonomous weapons systems that select and engage targets without meaningful human control (ICRC, 2021). The Campaign to Stop Killer Robots, supported by a substantial number of states, has advanced similar proposals at the United Nations. These represent the application of arms control logic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the prohibition of a specific application of a dual-use technology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to AI-specific risks.</w:t>
      </w:r>
    </w:p>
    <w:p>
      <w:pPr>
        <w:pStyle w:val="Heading 2"/>
        <w:jc w:val="both"/>
      </w:pPr>
      <w:r>
        <w:rPr>
          <w:b w:val="0"/>
          <w:bCs w:val="0"/>
          <w:outline w:val="0"/>
          <w:color w:val="000000"/>
          <w:sz w:val="22"/>
          <w:szCs w:val="22"/>
          <w:u w:color="000000"/>
          <w:rtl w:val="0"/>
          <w:lang w:val="en-US"/>
          <w14:textFill>
            <w14:solidFill>
              <w14:srgbClr w14:val="000000"/>
            </w14:solidFill>
          </w14:textFill>
        </w:rPr>
        <w:t>Equivalent frameworks for AI-assisted biological research acceleration are less developed but have precedent in the Biological Weapons Convention, which prohibits the development and stockpiling of biological weapons regardless of the technology used to develop them. Extending the convention's scope to include AI-assisted development would require negotiation but is within the established logic of the existing framework.</w:t>
      </w:r>
    </w:p>
    <w:p>
      <w:pPr>
        <w:pStyle w:val="Heading 2"/>
        <w:jc w:val="both"/>
      </w:pPr>
      <w:r>
        <w:rPr>
          <w:b w:val="0"/>
          <w:bCs w:val="0"/>
          <w:outline w:val="0"/>
          <w:color w:val="000000"/>
          <w:sz w:val="22"/>
          <w:szCs w:val="22"/>
          <w:u w:color="000000"/>
          <w:rtl w:val="0"/>
          <w:lang w:val="en-US"/>
          <w14:textFill>
            <w14:solidFill>
              <w14:srgbClr w14:val="000000"/>
            </w14:solidFill>
          </w14:textFill>
        </w:rPr>
        <w:t>Specific application prohibitions address the weaponisation risk directly without restricting the beneficial applications documented in Section 2.</w:t>
      </w:r>
    </w:p>
    <w:p>
      <w:pPr>
        <w:pStyle w:val="Heading 2"/>
        <w:jc w:val="both"/>
      </w:pPr>
      <w:r>
        <w:rPr>
          <w:outline w:val="0"/>
          <w:color w:val="000000"/>
          <w:u w:color="000000"/>
          <w:rtl w:val="0"/>
          <w:lang w:val="en-US"/>
          <w14:textFill>
            <w14:solidFill>
              <w14:srgbClr w14:val="000000"/>
            </w14:solidFill>
          </w14:textFill>
        </w:rPr>
        <w:t>7.2 Verified Constraint Architecture</w:t>
      </w:r>
    </w:p>
    <w:p>
      <w:pPr>
        <w:pStyle w:val="Heading 2"/>
        <w:jc w:val="both"/>
      </w:pPr>
      <w:r>
        <w:rPr>
          <w:b w:val="0"/>
          <w:bCs w:val="0"/>
          <w:outline w:val="0"/>
          <w:color w:val="000000"/>
          <w:sz w:val="22"/>
          <w:szCs w:val="22"/>
          <w:u w:color="000000"/>
          <w:rtl w:val="0"/>
          <w:lang w:val="en-US"/>
          <w14:textFill>
            <w14:solidFill>
              <w14:srgbClr w14:val="000000"/>
            </w14:solidFill>
          </w14:textFill>
        </w:rPr>
        <w:t>Rather than restricting access to capable AI systems, governance frameworks could require verified constraint architectures as a condition of deployment in sensitive contexts. This is structurally analogous to the IAEA inspection model: not prohibition of nuclear technology, but verified compliance with agreed operational constraints as a condition of authorized use.</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A verified constraint architecture for AI deployment in defense and security contexts would establish a set of specific operational boundaries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equivalent to the prohibitions Anthropic's acceptable use policy included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and require third-party verification that deployed systems operate within those boundaries. This preserves beneficial applications, creates accountable boundaries around prohibited ones, and establishes a verification mechanism that does not depend on the good faith of any single actor.</w:t>
      </w:r>
    </w:p>
    <w:p>
      <w:pPr>
        <w:pStyle w:val="Heading 2"/>
        <w:jc w:val="both"/>
      </w:pPr>
      <w:r>
        <w:rPr>
          <w:outline w:val="0"/>
          <w:color w:val="000000"/>
          <w:u w:color="000000"/>
          <w:rtl w:val="0"/>
          <w:lang w:val="en-US"/>
          <w14:textFill>
            <w14:solidFill>
              <w14:srgbClr w14:val="000000"/>
            </w14:solidFill>
          </w14:textFill>
        </w:rPr>
        <w:t>7.3 Differentiated Deployment Authorization</w:t>
      </w:r>
    </w:p>
    <w:p>
      <w:pPr>
        <w:pStyle w:val="Heading 2"/>
        <w:jc w:val="both"/>
      </w:pPr>
      <w:r>
        <w:rPr>
          <w:b w:val="0"/>
          <w:bCs w:val="0"/>
          <w:outline w:val="0"/>
          <w:color w:val="000000"/>
          <w:sz w:val="22"/>
          <w:szCs w:val="22"/>
          <w:u w:color="000000"/>
          <w:rtl w:val="0"/>
          <w:lang w:val="en-US"/>
          <w14:textFill>
            <w14:solidFill>
              <w14:srgbClr w14:val="000000"/>
            </w14:solidFill>
          </w14:textFill>
        </w:rPr>
        <w:t>Rather than permitting all lawful uses as the operational boundary for AI deployment in sensitive contexts, governance frameworks could establish specific use-case authorization requirements. Each deployment context would require explicit authorization against a defined constraint framework, with documented accountability for compliance.</w:t>
      </w:r>
    </w:p>
    <w:p>
      <w:pPr>
        <w:pStyle w:val="Heading 2"/>
        <w:jc w:val="both"/>
      </w:pPr>
      <w:r>
        <w:rPr>
          <w:b w:val="0"/>
          <w:bCs w:val="0"/>
          <w:outline w:val="0"/>
          <w:color w:val="000000"/>
          <w:sz w:val="22"/>
          <w:szCs w:val="22"/>
          <w:u w:color="000000"/>
          <w:rtl w:val="0"/>
          <w:lang w:val="en-US"/>
          <w14:textFill>
            <w14:solidFill>
              <w14:srgbClr w14:val="000000"/>
            </w14:solidFill>
          </w14:textFill>
        </w:rPr>
        <w:t xml:space="preserve">This is more operationally complex than blanket authorization, but it is also the only governance approach that actually addresses the specific applications of concern. The weaponisation risks identified in Section 3 are specific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autonomous targeting, biological research acceleration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not generic properties of AI capability. Governance responses should be equivalently specific.</w:t>
      </w:r>
    </w:p>
    <w:p>
      <w:pPr>
        <w:pStyle w:val="Heading 2"/>
        <w:jc w:val="both"/>
      </w:pPr>
      <w:r>
        <w:rPr>
          <w:outline w:val="0"/>
          <w:color w:val="000000"/>
          <w:u w:color="000000"/>
          <w:rtl w:val="0"/>
          <w:lang w:val="en-US"/>
          <w14:textFill>
            <w14:solidFill>
              <w14:srgbClr w14:val="000000"/>
            </w14:solidFill>
          </w14:textFill>
        </w:rPr>
        <w:t>7.4 The Foundational Principle</w:t>
      </w:r>
    </w:p>
    <w:p>
      <w:pPr>
        <w:pStyle w:val="Heading 2"/>
        <w:jc w:val="both"/>
      </w:pPr>
      <w:r>
        <w:rPr>
          <w:b w:val="0"/>
          <w:bCs w:val="0"/>
          <w:outline w:val="0"/>
          <w:color w:val="000000"/>
          <w:sz w:val="22"/>
          <w:szCs w:val="22"/>
          <w:u w:color="000000"/>
          <w:rtl w:val="0"/>
          <w:lang w:val="en-US"/>
          <w14:textFill>
            <w14:solidFill>
              <w14:srgbClr w14:val="000000"/>
            </w14:solidFill>
          </w14:textFill>
        </w:rPr>
        <w:t>The principle underlying all three elements is the same: capability management through collaborative, verified constraint architecture, rather than unilateral restriction of specific actors. The goal is not to prevent AI development or to limit the beneficial applications documented in Section 2. It is to ensure that governance frameworks develop at a pace proportionate to capability development, and that the actors deploying advanced AI in sensitive contexts are operating within verified constraint architectures rather than outside them.</w:t>
      </w:r>
    </w:p>
    <w:p>
      <w:pPr>
        <w:pStyle w:val="Heading 2"/>
        <w:jc w:val="both"/>
      </w:pPr>
      <w:r>
        <w:rPr>
          <w:b w:val="0"/>
          <w:bCs w:val="0"/>
          <w:outline w:val="0"/>
          <w:color w:val="000000"/>
          <w:sz w:val="22"/>
          <w:szCs w:val="22"/>
          <w:u w:color="000000"/>
          <w:rtl w:val="0"/>
          <w:lang w:val="en-US"/>
          <w14:textFill>
            <w14:solidFill>
              <w14:srgbClr w14:val="000000"/>
            </w14:solidFill>
          </w14:textFill>
        </w:rPr>
        <w:t>This requires international collaboration. No single national governance framework can address a capability that is software-based and globally distributed. The nuclear governance precedent is again instructive: the NPT worked because it created mutual obligations across a sufficiently large number of state actors to establish a normative framework. Equivalent AI governance will require equivalent multilateral architecture.</w:t>
      </w:r>
    </w:p>
    <w:p>
      <w:pPr>
        <w:pStyle w:val="Heading 2"/>
        <w:jc w:val="both"/>
      </w:pPr>
      <w:r>
        <w:rPr>
          <w:b w:val="0"/>
          <w:bCs w:val="0"/>
          <w:outline w:val="0"/>
          <w:color w:val="000000"/>
          <w:sz w:val="22"/>
          <w:szCs w:val="22"/>
          <w:u w:color="000000"/>
          <w:rtl w:val="0"/>
          <w:lang w:val="en-US"/>
          <w14:textFill>
            <w14:solidFill>
              <w14:srgbClr w14:val="000000"/>
            </w14:solidFill>
          </w14:textFill>
        </w:rPr>
        <w:t>The urgency is real. The capability exists now. The governance frameworks do not. The historical record suggests that the interval between capability existence and governance framework establishment is the most dangerous period. The work of shortening that interval is not a future problem; it is the present one.</w:t>
      </w:r>
    </w:p>
    <w:p>
      <w:pPr>
        <w:pStyle w:val="Heading 2"/>
        <w:jc w:val="both"/>
      </w:pPr>
    </w:p>
    <w:p>
      <w:pPr>
        <w:pStyle w:val="Heading"/>
        <w:jc w:val="both"/>
      </w:pPr>
      <w:r>
        <w:rPr>
          <w:outline w:val="0"/>
          <w:color w:val="000000"/>
          <w:u w:color="000000"/>
          <w:rtl w:val="0"/>
          <w:lang w:val="it-IT"/>
          <w14:textFill>
            <w14:solidFill>
              <w14:srgbClr w14:val="000000"/>
            </w14:solidFill>
          </w14:textFill>
        </w:rPr>
        <w:t>8. Conclusion</w:t>
      </w:r>
    </w:p>
    <w:p>
      <w:pPr>
        <w:pStyle w:val="Heading"/>
        <w:jc w:val="both"/>
      </w:pPr>
      <w:r>
        <w:rPr>
          <w:b w:val="0"/>
          <w:bCs w:val="0"/>
          <w:outline w:val="0"/>
          <w:color w:val="000000"/>
          <w:sz w:val="22"/>
          <w:szCs w:val="22"/>
          <w:u w:color="000000"/>
          <w:rtl w:val="0"/>
          <w:lang w:val="en-US"/>
          <w14:textFill>
            <w14:solidFill>
              <w14:srgbClr w14:val="000000"/>
            </w14:solidFill>
          </w14:textFill>
        </w:rPr>
        <w:t>The weaponisation of advanced AI systems is a legitimate and serious concern. The analytical and generative capabilities that make AI systems valuable for medicine, scientific research, education, and climate response are the same capabilities that, deployed without constraint, could enable autonomous lethal systems and accelerate the development of biological weapons. This dual-use character is structural, not incidental, and cannot be resolved by restricting access to capability in general.</w:t>
      </w:r>
    </w:p>
    <w:p>
      <w:pPr>
        <w:pStyle w:val="Heading"/>
        <w:jc w:val="both"/>
      </w:pPr>
      <w:r>
        <w:rPr>
          <w:b w:val="0"/>
          <w:bCs w:val="0"/>
          <w:outline w:val="0"/>
          <w:color w:val="000000"/>
          <w:sz w:val="22"/>
          <w:szCs w:val="22"/>
          <w:u w:color="000000"/>
          <w:rtl w:val="0"/>
          <w:lang w:val="en-US"/>
          <w14:textFill>
            <w14:solidFill>
              <w14:srgbClr w14:val="000000"/>
            </w14:solidFill>
          </w14:textFill>
        </w:rPr>
        <w:t xml:space="preserve">The historical precedent of nuclear technology governance demonstrates with empirical clarity what happens when dual-use technology governance relies on restriction rather than collaborative frameworks. Restriction of the most institutionally constrained actors, in the absence of international governance architecture, produces proliferation to less constrained actors. The interval between capability development and governance development is the most dangerous period. The governance response that eventually produced relative stability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imperfect, contested, but functional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was not restriction but verified constraint architecture built through international collaboration.</w:t>
      </w:r>
    </w:p>
    <w:p>
      <w:pPr>
        <w:pStyle w:val="Heading"/>
        <w:jc w:val="both"/>
      </w:pPr>
      <w:r>
        <w:rPr>
          <w:b w:val="0"/>
          <w:bCs w:val="0"/>
          <w:outline w:val="0"/>
          <w:color w:val="000000"/>
          <w:sz w:val="22"/>
          <w:szCs w:val="22"/>
          <w:u w:color="000000"/>
          <w:rtl w:val="0"/>
          <w:lang w:val="en-US"/>
          <w14:textFill>
            <w14:solidFill>
              <w14:srgbClr w14:val="000000"/>
            </w14:solidFill>
          </w14:textFill>
        </w:rPr>
        <w:t>The current AI governance moment reproduces the early nuclear dynamic under structurally less favourable conditions. AI capability is software-based, distributed, and fundamentally harder to restrict or verify through physical means than nuclear capability. This makes the case for collaborative governance frameworks more urgent, not less.</w:t>
      </w:r>
    </w:p>
    <w:p>
      <w:pPr>
        <w:pStyle w:val="Heading"/>
        <w:jc w:val="both"/>
      </w:pPr>
      <w:r>
        <w:rPr>
          <w:b w:val="0"/>
          <w:bCs w:val="0"/>
          <w:outline w:val="0"/>
          <w:color w:val="000000"/>
          <w:sz w:val="22"/>
          <w:szCs w:val="22"/>
          <w:u w:color="000000"/>
          <w:rtl w:val="0"/>
          <w:lang w:val="en-US"/>
          <w14:textFill>
            <w14:solidFill>
              <w14:srgbClr w14:val="000000"/>
            </w14:solidFill>
          </w14:textFill>
        </w:rPr>
        <w:t xml:space="preserve">The documented Anthropic-DoD conflict, analyzed through the DSSM framework, illustrates the restriction paradox: removing the most constrained actor from the field shifts deployment to less constrained alternatives and increases rather than decreases the overall risk profile. The concern that motivated the restriction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 xml:space="preserve">AI weaponisation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is not addressed by this outcome. It is deferred, and the conditions under which it would need to be addressed are made worse.</w:t>
      </w:r>
    </w:p>
    <w:p>
      <w:pPr>
        <w:pStyle w:val="Heading"/>
        <w:jc w:val="both"/>
      </w:pPr>
      <w:r>
        <w:rPr>
          <w:b w:val="0"/>
          <w:bCs w:val="0"/>
          <w:outline w:val="0"/>
          <w:color w:val="000000"/>
          <w:sz w:val="22"/>
          <w:szCs w:val="22"/>
          <w:u w:color="000000"/>
          <w:rtl w:val="0"/>
          <w:lang w:val="en-US"/>
          <w14:textFill>
            <w14:solidFill>
              <w14:srgbClr w14:val="000000"/>
            </w14:solidFill>
          </w14:textFill>
        </w:rPr>
        <w:t>The constructive path is the one the nuclear precedent eventually found: specific application prohibitions, verified constraint architectures, and differentiated deployment authorization, built through international collaboration and mutual obligation. This is not a simple path. It is the only one that addresses the problem rather than displacing it.</w:t>
      </w:r>
    </w:p>
    <w:p>
      <w:pPr>
        <w:pStyle w:val="Heading"/>
        <w:jc w:val="both"/>
      </w:pPr>
      <w:r>
        <w:rPr>
          <w:b w:val="0"/>
          <w:bCs w:val="0"/>
          <w:outline w:val="0"/>
          <w:color w:val="000000"/>
          <w:sz w:val="22"/>
          <w:szCs w:val="22"/>
          <w:u w:color="000000"/>
          <w:rtl w:val="0"/>
          <w:lang w:val="en-US"/>
          <w14:textFill>
            <w14:solidFill>
              <w14:srgbClr w14:val="000000"/>
            </w14:solidFill>
          </w14:textFill>
        </w:rPr>
        <w:t>The capability exists. The governance frameworks do not yet. That gap is the work.</w:t>
      </w:r>
    </w:p>
    <w:p>
      <w:pPr>
        <w:pStyle w:val="Heading"/>
        <w:jc w:val="both"/>
      </w:pPr>
    </w:p>
    <w:p>
      <w:pPr>
        <w:pStyle w:val="Heading"/>
        <w:jc w:val="both"/>
      </w:pPr>
    </w:p>
    <w:p>
      <w:pPr>
        <w:pStyle w:val="Heading"/>
        <w:jc w:val="both"/>
      </w:pPr>
    </w:p>
    <w:p>
      <w:pPr>
        <w:pStyle w:val="Heading"/>
        <w:jc w:val="both"/>
      </w:pPr>
      <w:r>
        <w:rPr>
          <w:outline w:val="0"/>
          <w:color w:val="000000"/>
          <w:u w:color="000000"/>
          <w:rtl w:val="0"/>
          <w:lang w:val="en-US"/>
          <w14:textFill>
            <w14:solidFill>
              <w14:srgbClr w14:val="000000"/>
            </w14:solidFill>
          </w14:textFill>
        </w:rPr>
        <w:t>Sustainable Development Goals</w:t>
      </w:r>
    </w:p>
    <w:p>
      <w:pPr>
        <w:pStyle w:val="Heading"/>
        <w:jc w:val="both"/>
      </w:pPr>
      <w:r>
        <w:rPr>
          <w:b w:val="0"/>
          <w:bCs w:val="0"/>
          <w:outline w:val="0"/>
          <w:color w:val="000000"/>
          <w:sz w:val="22"/>
          <w:szCs w:val="22"/>
          <w:u w:color="000000"/>
          <w:rtl w:val="0"/>
          <w:lang w:val="en-US"/>
          <w14:textFill>
            <w14:solidFill>
              <w14:srgbClr w14:val="000000"/>
            </w14:solidFill>
          </w14:textFill>
        </w:rPr>
        <w:t xml:space="preserve">This paper engages directly with three United Nations Sustainable Development Goals. </w:t>
      </w:r>
      <w:r>
        <w:rPr>
          <w:i w:val="1"/>
          <w:iCs w:val="1"/>
          <w:sz w:val="22"/>
          <w:szCs w:val="22"/>
          <w:rtl w:val="0"/>
          <w:lang w:val="fr-FR"/>
        </w:rPr>
        <w:t>SDG 16</w:t>
      </w:r>
      <w:r>
        <w:rPr>
          <w:b w:val="0"/>
          <w:bCs w:val="0"/>
          <w:outline w:val="0"/>
          <w:color w:val="000000"/>
          <w:sz w:val="22"/>
          <w:szCs w:val="22"/>
          <w:u w:color="000000"/>
          <w:rtl w:val="0"/>
          <w:lang w:val="en-US"/>
          <w14:textFill>
            <w14:solidFill>
              <w14:srgbClr w14:val="000000"/>
            </w14:solidFill>
          </w14:textFill>
        </w:rPr>
        <w:t xml:space="preserve"> (Peace, Justice and Strong Institutions) frames the paper's central governance argument: the development of international frameworks for AI governance is precisely the kind of institutional architecture </w:t>
      </w:r>
      <w:r>
        <w:rPr>
          <w:b w:val="0"/>
          <w:bCs w:val="0"/>
          <w:i w:val="1"/>
          <w:iCs w:val="1"/>
          <w:sz w:val="22"/>
          <w:szCs w:val="22"/>
          <w:rtl w:val="0"/>
          <w:lang w:val="fr-FR"/>
        </w:rPr>
        <w:t>SDG 16</w:t>
      </w:r>
      <w:r>
        <w:rPr>
          <w:b w:val="0"/>
          <w:bCs w:val="0"/>
          <w:outline w:val="0"/>
          <w:color w:val="000000"/>
          <w:sz w:val="22"/>
          <w:szCs w:val="22"/>
          <w:u w:color="000000"/>
          <w:rtl w:val="0"/>
          <w:lang w:val="en-US"/>
          <w14:textFill>
            <w14:solidFill>
              <w14:srgbClr w14:val="000000"/>
            </w14:solidFill>
          </w14:textFill>
        </w:rPr>
        <w:t xml:space="preserve"> identifies as foundational to sustainable peace and security. SDG 9 (Industry, Innovation and Infrastructure) is engaged through the paper's documentation of beneficial AI applications and its argument that governance frameworks should enable rather than restrict beneficial innovation. SDG 17 (Partnerships for the Goals) underlies the constructive proposal of Section 7: effective AI governance requires international partnership and collaborative institutional development, not unilateral national action.</w:t>
      </w:r>
    </w:p>
    <w:p>
      <w:pPr>
        <w:pStyle w:val="Heading"/>
        <w:jc w:val="both"/>
      </w:pPr>
    </w:p>
    <w:p>
      <w:pPr>
        <w:pStyle w:val="Heading"/>
        <w:jc w:val="both"/>
      </w:pPr>
    </w:p>
    <w:p>
      <w:pPr>
        <w:pStyle w:val="Heading"/>
        <w:jc w:val="both"/>
      </w:pPr>
      <w:r>
        <w:rPr>
          <w:outline w:val="0"/>
          <w:color w:val="000000"/>
          <w:u w:color="000000"/>
          <w:rtl w:val="0"/>
          <w:lang w:val="fr-FR"/>
          <w14:textFill>
            <w14:solidFill>
              <w14:srgbClr w14:val="000000"/>
            </w14:solidFill>
          </w14:textFill>
        </w:rPr>
        <w:t>References</w:t>
      </w:r>
    </w:p>
    <w:p>
      <w:pPr>
        <w:pStyle w:val="Heading"/>
        <w:jc w:val="both"/>
      </w:pPr>
      <w:r>
        <w:rPr>
          <w:b w:val="0"/>
          <w:bCs w:val="0"/>
          <w:outline w:val="0"/>
          <w:color w:val="000000"/>
          <w:sz w:val="22"/>
          <w:szCs w:val="22"/>
          <w:u w:color="000000"/>
          <w:rtl w:val="0"/>
          <w:lang w:val="en-US"/>
          <w14:textFill>
            <w14:solidFill>
              <w14:srgbClr w14:val="000000"/>
            </w14:solidFill>
          </w14:textFill>
        </w:rPr>
        <w:t>Biological Weapons Convention (1972). Convention on the Prohibition of the Development, Production and Stockpiling of Bacteriological (Biological) and Toxin Weapons and on Their Destruction. United Nations.</w:t>
      </w:r>
    </w:p>
    <w:p>
      <w:pPr>
        <w:pStyle w:val="Heading"/>
        <w:jc w:val="both"/>
      </w:pPr>
    </w:p>
    <w:p>
      <w:pPr>
        <w:pStyle w:val="Heading"/>
        <w:jc w:val="both"/>
      </w:pPr>
      <w:r>
        <w:rPr>
          <w:b w:val="0"/>
          <w:bCs w:val="0"/>
          <w:outline w:val="0"/>
          <w:color w:val="000000"/>
          <w:sz w:val="22"/>
          <w:szCs w:val="22"/>
          <w:u w:color="000000"/>
          <w:rtl w:val="0"/>
          <w:lang w:val="en-US"/>
          <w14:textFill>
            <w14:solidFill>
              <w14:srgbClr w14:val="000000"/>
            </w14:solidFill>
          </w14:textFill>
        </w:rPr>
        <w:t>Campaign to Stop Killer Robots (2023). Killer Robots: Key Issues. https://www.stopkillerrobots.org</w:t>
      </w:r>
    </w:p>
    <w:p>
      <w:pPr>
        <w:pStyle w:val="Heading"/>
        <w:jc w:val="both"/>
      </w:pPr>
    </w:p>
    <w:p>
      <w:pPr>
        <w:pStyle w:val="Heading"/>
        <w:jc w:val="both"/>
      </w:pPr>
      <w:r>
        <w:rPr>
          <w:b w:val="0"/>
          <w:bCs w:val="0"/>
          <w:outline w:val="0"/>
          <w:color w:val="000000"/>
          <w:sz w:val="22"/>
          <w:szCs w:val="22"/>
          <w:u w:color="000000"/>
          <w:rtl w:val="0"/>
          <w:lang w:val="en-US"/>
          <w14:textFill>
            <w14:solidFill>
              <w14:srgbClr w14:val="000000"/>
            </w14:solidFill>
          </w14:textFill>
        </w:rPr>
        <w:t>Congressional Research Service (2026). Federal Government and Anthropic: Considerations for AI Innovation and Competition. Congress.gov. IF13217.</w:t>
      </w:r>
    </w:p>
    <w:p>
      <w:pPr>
        <w:pStyle w:val="Heading"/>
        <w:jc w:val="both"/>
      </w:pPr>
    </w:p>
    <w:p>
      <w:pPr>
        <w:pStyle w:val="Heading"/>
        <w:jc w:val="both"/>
      </w:pPr>
      <w:r>
        <w:rPr>
          <w:b w:val="0"/>
          <w:bCs w:val="0"/>
          <w:outline w:val="0"/>
          <w:color w:val="000000"/>
          <w:sz w:val="22"/>
          <w:szCs w:val="22"/>
          <w:u w:color="000000"/>
          <w:rtl w:val="0"/>
          <w:lang w:val="en-US"/>
          <w14:textFill>
            <w14:solidFill>
              <w14:srgbClr w14:val="000000"/>
            </w14:solidFill>
          </w14:textFill>
        </w:rPr>
        <w:t>Esteva, A., Kuprel, B., Novoa, R. A., Ko, J., Swetter, S. M., Blau, H. M., &amp; Thrun, S. (2017). Dermatologist-level classification of skin cancer with deep neural networks. Nature, 542(7639), 115</w:t>
      </w:r>
      <w:r>
        <w:rPr>
          <w:b w:val="0"/>
          <w:bCs w:val="0"/>
          <w:outline w:val="0"/>
          <w:color w:val="000000"/>
          <w:sz w:val="22"/>
          <w:szCs w:val="22"/>
          <w:u w:color="000000"/>
          <w:rtl w:val="0"/>
          <w14:textFill>
            <w14:solidFill>
              <w14:srgbClr w14:val="000000"/>
            </w14:solidFill>
          </w14:textFill>
        </w:rPr>
        <w:t>–</w:t>
      </w:r>
      <w:r>
        <w:rPr>
          <w:b w:val="0"/>
          <w:bCs w:val="0"/>
          <w:outline w:val="0"/>
          <w:color w:val="000000"/>
          <w:sz w:val="22"/>
          <w:szCs w:val="22"/>
          <w:u w:color="000000"/>
          <w:rtl w:val="0"/>
          <w14:textFill>
            <w14:solidFill>
              <w14:srgbClr w14:val="000000"/>
            </w14:solidFill>
          </w14:textFill>
        </w:rPr>
        <w:t>118.</w:t>
      </w:r>
    </w:p>
    <w:p>
      <w:pPr>
        <w:pStyle w:val="Heading"/>
        <w:jc w:val="both"/>
      </w:pPr>
    </w:p>
    <w:p>
      <w:pPr>
        <w:pStyle w:val="Heading"/>
        <w:jc w:val="both"/>
      </w:pPr>
      <w:r>
        <w:rPr>
          <w:b w:val="0"/>
          <w:bCs w:val="0"/>
          <w:outline w:val="0"/>
          <w:color w:val="000000"/>
          <w:sz w:val="22"/>
          <w:szCs w:val="22"/>
          <w:u w:color="000000"/>
          <w:rtl w:val="0"/>
          <w:lang w:val="it-IT"/>
          <w14:textFill>
            <w14:solidFill>
              <w14:srgbClr w14:val="000000"/>
            </w14:solidFill>
          </w14:textFill>
        </w:rPr>
        <w:t xml:space="preserve">Floridi, L., Cowls, J., Beltrametti, M., Chatila, R., Chazerand, P., Dignum, V., ... &amp; Vayena, E. (2018). AI4People </w:t>
      </w:r>
      <w:r>
        <w:rPr>
          <w:b w:val="0"/>
          <w:bCs w:val="0"/>
          <w:outline w:val="0"/>
          <w:color w:val="000000"/>
          <w:sz w:val="22"/>
          <w:szCs w:val="22"/>
          <w:u w:color="000000"/>
          <w:rtl w:val="0"/>
          <w:lang w:val="en-US"/>
          <w14:textFill>
            <w14:solidFill>
              <w14:srgbClr w14:val="000000"/>
            </w14:solidFill>
          </w14:textFill>
        </w:rPr>
        <w:t xml:space="preserve">— </w:t>
      </w:r>
      <w:r>
        <w:rPr>
          <w:b w:val="0"/>
          <w:bCs w:val="0"/>
          <w:outline w:val="0"/>
          <w:color w:val="000000"/>
          <w:sz w:val="22"/>
          <w:szCs w:val="22"/>
          <w:u w:color="000000"/>
          <w:rtl w:val="0"/>
          <w:lang w:val="en-US"/>
          <w14:textFill>
            <w14:solidFill>
              <w14:srgbClr w14:val="000000"/>
            </w14:solidFill>
          </w14:textFill>
        </w:rPr>
        <w:t>An ethical framework for a good AI society: Opportunities, risks, principles, and recommendations. Minds and Machines, 28(4), 689</w:t>
      </w:r>
      <w:r>
        <w:rPr>
          <w:b w:val="0"/>
          <w:bCs w:val="0"/>
          <w:outline w:val="0"/>
          <w:color w:val="000000"/>
          <w:sz w:val="22"/>
          <w:szCs w:val="22"/>
          <w:u w:color="000000"/>
          <w:rtl w:val="0"/>
          <w14:textFill>
            <w14:solidFill>
              <w14:srgbClr w14:val="000000"/>
            </w14:solidFill>
          </w14:textFill>
        </w:rPr>
        <w:t>–</w:t>
      </w:r>
      <w:r>
        <w:rPr>
          <w:b w:val="0"/>
          <w:bCs w:val="0"/>
          <w:outline w:val="0"/>
          <w:color w:val="000000"/>
          <w:sz w:val="22"/>
          <w:szCs w:val="22"/>
          <w:u w:color="000000"/>
          <w:rtl w:val="0"/>
          <w14:textFill>
            <w14:solidFill>
              <w14:srgbClr w14:val="000000"/>
            </w14:solidFill>
          </w14:textFill>
        </w:rPr>
        <w:t>707.</w:t>
      </w:r>
    </w:p>
    <w:p>
      <w:pPr>
        <w:pStyle w:val="Heading"/>
        <w:jc w:val="both"/>
      </w:pPr>
    </w:p>
    <w:p>
      <w:pPr>
        <w:pStyle w:val="Heading"/>
        <w:jc w:val="both"/>
      </w:pPr>
      <w:r>
        <w:rPr>
          <w:b w:val="0"/>
          <w:bCs w:val="0"/>
          <w:outline w:val="0"/>
          <w:color w:val="000000"/>
          <w:sz w:val="22"/>
          <w:szCs w:val="22"/>
          <w:u w:color="000000"/>
          <w:rtl w:val="0"/>
          <w:lang w:val="en-US"/>
          <w14:textFill>
            <w14:solidFill>
              <w14:srgbClr w14:val="000000"/>
            </w14:solidFill>
          </w14:textFill>
        </w:rPr>
        <w:t>Gabriel, I. (2020). Artificial intelligence, values, and alignment. Minds and Machines, 30(3), 411</w:t>
      </w:r>
      <w:r>
        <w:rPr>
          <w:b w:val="0"/>
          <w:bCs w:val="0"/>
          <w:outline w:val="0"/>
          <w:color w:val="000000"/>
          <w:sz w:val="22"/>
          <w:szCs w:val="22"/>
          <w:u w:color="000000"/>
          <w:rtl w:val="0"/>
          <w14:textFill>
            <w14:solidFill>
              <w14:srgbClr w14:val="000000"/>
            </w14:solidFill>
          </w14:textFill>
        </w:rPr>
        <w:t>–</w:t>
      </w:r>
      <w:r>
        <w:rPr>
          <w:b w:val="0"/>
          <w:bCs w:val="0"/>
          <w:outline w:val="0"/>
          <w:color w:val="000000"/>
          <w:sz w:val="22"/>
          <w:szCs w:val="22"/>
          <w:u w:color="000000"/>
          <w:rtl w:val="0"/>
          <w14:textFill>
            <w14:solidFill>
              <w14:srgbClr w14:val="000000"/>
            </w14:solidFill>
          </w14:textFill>
        </w:rPr>
        <w:t>437.</w:t>
      </w:r>
    </w:p>
    <w:p>
      <w:pPr>
        <w:pStyle w:val="Heading"/>
        <w:jc w:val="both"/>
      </w:pPr>
    </w:p>
    <w:p>
      <w:pPr>
        <w:pStyle w:val="Heading"/>
        <w:jc w:val="both"/>
      </w:pPr>
      <w:r>
        <w:rPr>
          <w:b w:val="0"/>
          <w:bCs w:val="0"/>
          <w:outline w:val="0"/>
          <w:color w:val="000000"/>
          <w:sz w:val="22"/>
          <w:szCs w:val="22"/>
          <w:u w:color="000000"/>
          <w:rtl w:val="0"/>
          <w:lang w:val="en-US"/>
          <w14:textFill>
            <w14:solidFill>
              <w14:srgbClr w14:val="000000"/>
            </w14:solidFill>
          </w14:textFill>
        </w:rPr>
        <w:t>International Committee of the Red Cross (2021). ICRC Position on Autonomous Weapon Systems. ICRC.</w:t>
      </w:r>
    </w:p>
    <w:p>
      <w:pPr>
        <w:pStyle w:val="Heading"/>
        <w:jc w:val="both"/>
      </w:pPr>
    </w:p>
    <w:p>
      <w:pPr>
        <w:pStyle w:val="Heading"/>
        <w:jc w:val="both"/>
      </w:pPr>
      <w:r>
        <w:rPr>
          <w:b w:val="0"/>
          <w:bCs w:val="0"/>
          <w:outline w:val="0"/>
          <w:color w:val="000000"/>
          <w:sz w:val="22"/>
          <w:szCs w:val="22"/>
          <w:u w:color="000000"/>
          <w:rtl w:val="0"/>
          <w:lang w:val="en-US"/>
          <w14:textFill>
            <w14:solidFill>
              <w14:srgbClr w14:val="000000"/>
            </w14:solidFill>
          </w14:textFill>
        </w:rPr>
        <w:t>Jumper, J., Evans, R., Pritzel, A., Green, T., Figurnov, M., Ronneberger, O., ... &amp; Hassabis, D. (2021). Highly accurate protein structure prediction with AlphaFold. Nature, 596(7873), 583</w:t>
      </w:r>
      <w:r>
        <w:rPr>
          <w:b w:val="0"/>
          <w:bCs w:val="0"/>
          <w:outline w:val="0"/>
          <w:color w:val="000000"/>
          <w:sz w:val="22"/>
          <w:szCs w:val="22"/>
          <w:u w:color="000000"/>
          <w:rtl w:val="0"/>
          <w14:textFill>
            <w14:solidFill>
              <w14:srgbClr w14:val="000000"/>
            </w14:solidFill>
          </w14:textFill>
        </w:rPr>
        <w:t>–</w:t>
      </w:r>
      <w:r>
        <w:rPr>
          <w:b w:val="0"/>
          <w:bCs w:val="0"/>
          <w:outline w:val="0"/>
          <w:color w:val="000000"/>
          <w:sz w:val="22"/>
          <w:szCs w:val="22"/>
          <w:u w:color="000000"/>
          <w:rtl w:val="0"/>
          <w14:textFill>
            <w14:solidFill>
              <w14:srgbClr w14:val="000000"/>
            </w14:solidFill>
          </w14:textFill>
        </w:rPr>
        <w:t>589.</w:t>
      </w:r>
    </w:p>
    <w:p>
      <w:pPr>
        <w:pStyle w:val="Heading"/>
        <w:jc w:val="both"/>
      </w:pPr>
    </w:p>
    <w:p>
      <w:pPr>
        <w:pStyle w:val="Heading"/>
        <w:jc w:val="both"/>
      </w:pPr>
      <w:r>
        <w:rPr>
          <w:b w:val="0"/>
          <w:bCs w:val="0"/>
          <w:outline w:val="0"/>
          <w:color w:val="000000"/>
          <w:sz w:val="22"/>
          <w:szCs w:val="22"/>
          <w:u w:color="000000"/>
          <w:rtl w:val="0"/>
          <w:lang w:val="en-US"/>
          <w14:textFill>
            <w14:solidFill>
              <w14:srgbClr w14:val="000000"/>
            </w14:solidFill>
          </w14:textFill>
        </w:rPr>
        <w:t>Northern District of California (2026). Preliminary Injunction, Anthropic v. United States Department of Defense. March 24, 2026.</w:t>
      </w:r>
    </w:p>
    <w:p>
      <w:pPr>
        <w:pStyle w:val="Heading"/>
        <w:jc w:val="both"/>
      </w:pPr>
    </w:p>
    <w:p>
      <w:pPr>
        <w:pStyle w:val="Heading"/>
        <w:jc w:val="both"/>
      </w:pPr>
      <w:r>
        <w:rPr>
          <w:b w:val="0"/>
          <w:bCs w:val="0"/>
          <w:outline w:val="0"/>
          <w:color w:val="000000"/>
          <w:sz w:val="22"/>
          <w:szCs w:val="22"/>
          <w:u w:color="000000"/>
          <w:rtl w:val="0"/>
          <w:lang w:val="en-US"/>
          <w14:textFill>
            <w14:solidFill>
              <w14:srgbClr w14:val="000000"/>
            </w14:solidFill>
          </w14:textFill>
        </w:rPr>
        <w:t>Nuclear Non-Proliferation Treaty (1968). Treaty on the Non-Proliferation of Nuclear Weapons. United Nations.</w:t>
      </w:r>
    </w:p>
    <w:p>
      <w:pPr>
        <w:pStyle w:val="Heading"/>
        <w:jc w:val="both"/>
      </w:pPr>
    </w:p>
    <w:p>
      <w:pPr>
        <w:pStyle w:val="Heading"/>
        <w:jc w:val="both"/>
      </w:pPr>
      <w:r>
        <w:rPr>
          <w:b w:val="0"/>
          <w:bCs w:val="0"/>
          <w:outline w:val="0"/>
          <w:color w:val="000000"/>
          <w:sz w:val="22"/>
          <w:szCs w:val="22"/>
          <w:u w:color="000000"/>
          <w:rtl w:val="0"/>
          <w:lang w:val="en-US"/>
          <w14:textFill>
            <w14:solidFill>
              <w14:srgbClr w14:val="000000"/>
            </w14:solidFill>
          </w14:textFill>
        </w:rPr>
        <w:t>Rolnick, D., Donti, P. L., Kaack, L. H., Kochanski, K., Lacoste, A., Sankaran, K., ... &amp; Bengio, Y. (2022). Tackling climate change with machine learning. ACM Computing Surveys, 55(2), 1</w:t>
      </w:r>
      <w:r>
        <w:rPr>
          <w:b w:val="0"/>
          <w:bCs w:val="0"/>
          <w:outline w:val="0"/>
          <w:color w:val="000000"/>
          <w:sz w:val="22"/>
          <w:szCs w:val="22"/>
          <w:u w:color="000000"/>
          <w:rtl w:val="0"/>
          <w14:textFill>
            <w14:solidFill>
              <w14:srgbClr w14:val="000000"/>
            </w14:solidFill>
          </w14:textFill>
        </w:rPr>
        <w:t>–</w:t>
      </w:r>
      <w:r>
        <w:rPr>
          <w:b w:val="0"/>
          <w:bCs w:val="0"/>
          <w:outline w:val="0"/>
          <w:color w:val="000000"/>
          <w:sz w:val="22"/>
          <w:szCs w:val="22"/>
          <w:u w:color="000000"/>
          <w:rtl w:val="0"/>
          <w14:textFill>
            <w14:solidFill>
              <w14:srgbClr w14:val="000000"/>
            </w14:solidFill>
          </w14:textFill>
        </w:rPr>
        <w:t>96.</w:t>
      </w:r>
    </w:p>
    <w:p>
      <w:pPr>
        <w:pStyle w:val="Heading"/>
        <w:jc w:val="both"/>
      </w:pPr>
    </w:p>
    <w:p>
      <w:pPr>
        <w:pStyle w:val="Heading"/>
        <w:jc w:val="both"/>
      </w:pPr>
      <w:r>
        <w:rPr>
          <w:b w:val="0"/>
          <w:bCs w:val="0"/>
          <w:outline w:val="0"/>
          <w:color w:val="000000"/>
          <w:sz w:val="22"/>
          <w:szCs w:val="22"/>
          <w:u w:color="000000"/>
          <w:rtl w:val="0"/>
          <w:lang w:val="en-US"/>
          <w14:textFill>
            <w14:solidFill>
              <w14:srgbClr w14:val="000000"/>
            </w14:solidFill>
          </w14:textFill>
        </w:rPr>
        <w:t>Topol, E. J. (2019). High-performance medicine: The convergence of human and artificial intelligence. Nature Medicine, 25(1), 44</w:t>
      </w:r>
      <w:r>
        <w:rPr>
          <w:b w:val="0"/>
          <w:bCs w:val="0"/>
          <w:outline w:val="0"/>
          <w:color w:val="000000"/>
          <w:sz w:val="22"/>
          <w:szCs w:val="22"/>
          <w:u w:color="000000"/>
          <w:rtl w:val="0"/>
          <w14:textFill>
            <w14:solidFill>
              <w14:srgbClr w14:val="000000"/>
            </w14:solidFill>
          </w14:textFill>
        </w:rPr>
        <w:t>–</w:t>
      </w:r>
      <w:r>
        <w:rPr>
          <w:b w:val="0"/>
          <w:bCs w:val="0"/>
          <w:outline w:val="0"/>
          <w:color w:val="000000"/>
          <w:sz w:val="22"/>
          <w:szCs w:val="22"/>
          <w:u w:color="000000"/>
          <w:rtl w:val="0"/>
          <w14:textFill>
            <w14:solidFill>
              <w14:srgbClr w14:val="000000"/>
            </w14:solidFill>
          </w14:textFill>
        </w:rPr>
        <w:t>56.</w:t>
      </w:r>
    </w:p>
    <w:p>
      <w:pPr>
        <w:pStyle w:val="Heading"/>
        <w:jc w:val="both"/>
      </w:pPr>
    </w:p>
    <w:p>
      <w:pPr>
        <w:pStyle w:val="Heading"/>
        <w:jc w:val="both"/>
      </w:pPr>
      <w:r>
        <w:rPr>
          <w:b w:val="0"/>
          <w:bCs w:val="0"/>
          <w:outline w:val="0"/>
          <w:color w:val="000000"/>
          <w:sz w:val="22"/>
          <w:szCs w:val="22"/>
          <w:u w:color="000000"/>
          <w:rtl w:val="0"/>
          <w:lang w:val="en-US"/>
          <w14:textFill>
            <w14:solidFill>
              <w14:srgbClr w14:val="000000"/>
            </w14:solidFill>
          </w14:textFill>
        </w:rPr>
        <w:t xml:space="preserve">Vondoom, A. (2025a). Deep Symbolic Systems Model: Foundational Framework. OSF Preprints. </w:t>
      </w:r>
      <w:r>
        <w:rPr>
          <w:rStyle w:val="Hyperlink.1"/>
        </w:rPr>
        <w:fldChar w:fldCharType="begin" w:fldLock="0"/>
      </w:r>
      <w:r>
        <w:rPr>
          <w:rStyle w:val="Hyperlink.1"/>
        </w:rPr>
        <w:instrText xml:space="preserve"> HYPERLINK "https://doi.org/10.17605/OSF.IO/YW5GM"</w:instrText>
      </w:r>
      <w:r>
        <w:rPr>
          <w:rStyle w:val="Hyperlink.1"/>
        </w:rPr>
        <w:fldChar w:fldCharType="separate" w:fldLock="0"/>
      </w:r>
      <w:r>
        <w:rPr>
          <w:rStyle w:val="Hyperlink.1"/>
          <w:rtl w:val="0"/>
          <w:lang w:val="en-US"/>
        </w:rPr>
        <w:t>https://doi.org/10.17605/OSF.IO/YW5GM</w:t>
      </w:r>
      <w:r>
        <w:rPr/>
        <w:fldChar w:fldCharType="end" w:fldLock="0"/>
      </w:r>
      <w:r>
        <w:rPr>
          <w:b w:val="0"/>
          <w:bCs w:val="0"/>
          <w:sz w:val="20"/>
          <w:szCs w:val="20"/>
          <w:rtl w:val="0"/>
          <w:lang w:val="it-IT"/>
        </w:rPr>
        <w:t xml:space="preserve"> </w:t>
      </w:r>
    </w:p>
    <w:p>
      <w:pPr>
        <w:pStyle w:val="Heading"/>
        <w:jc w:val="both"/>
        <w:rPr>
          <w:sz w:val="20"/>
          <w:szCs w:val="20"/>
        </w:rPr>
      </w:pPr>
      <w:r>
        <w:rPr>
          <w:b w:val="0"/>
          <w:bCs w:val="0"/>
          <w:outline w:val="0"/>
          <w:color w:val="000000"/>
          <w:sz w:val="22"/>
          <w:szCs w:val="22"/>
          <w:u w:color="000000"/>
          <w:rtl w:val="0"/>
          <w:lang w:val="en-US"/>
          <w14:textFill>
            <w14:solidFill>
              <w14:srgbClr w14:val="000000"/>
            </w14:solidFill>
          </w14:textFill>
        </w:rPr>
        <w:t>Vondoom, A. (2026a). Cognitive Foundations of Early Egyptian Civilization: A DSSM Analysis. IWNW: Journal of Archaeology, Ain Shams University.</w:t>
      </w:r>
      <w:r>
        <w:rPr>
          <w:b w:val="0"/>
          <w:bCs w:val="0"/>
          <w:sz w:val="20"/>
          <w:szCs w:val="20"/>
          <w:rtl w:val="0"/>
        </w:rPr>
        <w:t xml:space="preserve"> </w:t>
      </w:r>
      <w:r>
        <w:rPr>
          <w:rStyle w:val="Hyperlink.1"/>
        </w:rPr>
        <w:fldChar w:fldCharType="begin" w:fldLock="0"/>
      </w:r>
      <w:r>
        <w:rPr>
          <w:rStyle w:val="Hyperlink.1"/>
        </w:rPr>
        <w:instrText xml:space="preserve"> HYPERLINK "https://doi.org/10.21608/IWNW.2026.464676.1075"</w:instrText>
      </w:r>
      <w:r>
        <w:rPr>
          <w:rStyle w:val="Hyperlink.1"/>
        </w:rPr>
        <w:fldChar w:fldCharType="separate" w:fldLock="0"/>
      </w:r>
      <w:r>
        <w:rPr>
          <w:rStyle w:val="Hyperlink.1"/>
          <w:rtl w:val="0"/>
          <w:lang w:val="en-US"/>
        </w:rPr>
        <w:t>https://doi.org/10.21608/IWNW.2026.464676.1075</w:t>
      </w:r>
      <w:r>
        <w:rPr/>
        <w:fldChar w:fldCharType="end" w:fldLock="0"/>
      </w:r>
      <w:r>
        <w:rPr>
          <w:b w:val="0"/>
          <w:bCs w:val="0"/>
          <w:sz w:val="20"/>
          <w:szCs w:val="20"/>
          <w:rtl w:val="0"/>
          <w:lang w:val="it-IT"/>
        </w:rPr>
        <w:t xml:space="preserve"> </w:t>
      </w:r>
    </w:p>
    <w:p>
      <w:pPr>
        <w:pStyle w:val="Heading"/>
        <w:jc w:val="both"/>
      </w:pPr>
    </w:p>
    <w:p>
      <w:pPr>
        <w:pStyle w:val="Heading"/>
        <w:jc w:val="both"/>
        <w:rPr>
          <w:sz w:val="20"/>
          <w:szCs w:val="20"/>
        </w:rPr>
      </w:pPr>
      <w:r>
        <w:rPr>
          <w:b w:val="0"/>
          <w:bCs w:val="0"/>
          <w:outline w:val="0"/>
          <w:color w:val="000000"/>
          <w:sz w:val="22"/>
          <w:szCs w:val="22"/>
          <w:u w:color="000000"/>
          <w:rtl w:val="0"/>
          <w:lang w:val="en-US"/>
          <w14:textFill>
            <w14:solidFill>
              <w14:srgbClr w14:val="000000"/>
            </w14:solidFill>
          </w14:textFill>
        </w:rPr>
        <w:t>Vondoom, A. (2026b). Heritage-Based Alignment: Symbolic Offloading, Constraint Failure, and a Complementary Framework for AI Safety.</w:t>
      </w:r>
      <w:r>
        <w:rPr>
          <w:b w:val="0"/>
          <w:bCs w:val="0"/>
          <w:sz w:val="20"/>
          <w:szCs w:val="20"/>
          <w:rtl w:val="0"/>
        </w:rPr>
        <w:t xml:space="preserve"> </w:t>
      </w:r>
      <w:r>
        <w:rPr>
          <w:rStyle w:val="Hyperlink.1"/>
        </w:rPr>
        <w:fldChar w:fldCharType="begin" w:fldLock="0"/>
      </w:r>
      <w:r>
        <w:rPr>
          <w:rStyle w:val="Hyperlink.1"/>
        </w:rPr>
        <w:instrText xml:space="preserve"> HYPERLINK "https://doi.org/10.6084/m9.figshare.32167590"</w:instrText>
      </w:r>
      <w:r>
        <w:rPr>
          <w:rStyle w:val="Hyperlink.1"/>
        </w:rPr>
        <w:fldChar w:fldCharType="separate" w:fldLock="0"/>
      </w:r>
      <w:r>
        <w:rPr>
          <w:rStyle w:val="Hyperlink.1"/>
          <w:rtl w:val="0"/>
          <w:lang w:val="en-US"/>
        </w:rPr>
        <w:t>https://doi.org/10.6084/m9.figshare.32167590</w:t>
      </w:r>
      <w:r>
        <w:rPr/>
        <w:fldChar w:fldCharType="end" w:fldLock="0"/>
      </w:r>
    </w:p>
    <w:p>
      <w:pPr>
        <w:pStyle w:val="Heading"/>
        <w:jc w:val="both"/>
      </w:pPr>
      <w:r>
        <w:rPr>
          <w:i w:val="1"/>
          <w:iCs w:val="1"/>
          <w:outline w:val="0"/>
          <w:color w:val="444444"/>
          <w:sz w:val="18"/>
          <w:szCs w:val="18"/>
          <w:u w:color="444444"/>
          <w:rtl w:val="0"/>
          <w:lang w:val="en-US"/>
          <w14:textFill>
            <w14:solidFill>
              <w14:srgbClr w14:val="444444"/>
            </w14:solidFill>
          </w14:textFill>
        </w:rPr>
        <w:t xml:space="preserve">Note on self-citation: </w:t>
      </w:r>
      <w:r>
        <w:rPr>
          <w:i w:val="1"/>
          <w:iCs w:val="1"/>
          <w:outline w:val="0"/>
          <w:color w:val="444444"/>
          <w:sz w:val="18"/>
          <w:szCs w:val="18"/>
          <w:u w:color="444444"/>
          <w:rtl w:val="0"/>
          <w:lang w:val="it-IT"/>
          <w14:textFill>
            <w14:solidFill>
              <w14:srgbClr w14:val="444444"/>
            </w14:solidFill>
          </w14:textFill>
        </w:rPr>
        <w:t>The</w:t>
      </w:r>
      <w:r>
        <w:rPr>
          <w:i w:val="1"/>
          <w:iCs w:val="1"/>
          <w:outline w:val="0"/>
          <w:color w:val="444444"/>
          <w:sz w:val="18"/>
          <w:szCs w:val="18"/>
          <w:u w:color="444444"/>
          <w:rtl w:val="0"/>
          <w:lang w:val="en-US"/>
          <w14:textFill>
            <w14:solidFill>
              <w14:srgbClr w14:val="444444"/>
            </w14:solidFill>
          </w14:textFill>
        </w:rPr>
        <w:t xml:space="preserve"> references above are works by the author. These are cited because the DSSM framework and the Heritage-Based Alignment paper are directly foundational to the argument of this paper, not incidentally. The author's full corpus is available open-access under CC BY 4.0.</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Pr>
        <w:rFonts w:ascii="Arial" w:hAnsi="Arial"/>
        <w:outline w:val="0"/>
        <w:color w:val="444444"/>
        <w:sz w:val="18"/>
        <w:szCs w:val="18"/>
        <w:u w:color="444444"/>
        <w:rtl w:val="0"/>
        <w:lang w:val="da-DK"/>
        <w14:textFill>
          <w14:solidFill>
            <w14:srgbClr w14:val="444444"/>
          </w14:solidFill>
        </w14:textFill>
      </w:rPr>
      <w:t xml:space="preserve">Page </w:t>
    </w:r>
    <w:r>
      <w:rPr>
        <w:rFonts w:ascii="Arial" w:cs="Arial" w:hAnsi="Arial" w:eastAsia="Arial"/>
        <w:outline w:val="0"/>
        <w:color w:val="444444"/>
        <w:sz w:val="18"/>
        <w:szCs w:val="18"/>
        <w:u w:color="444444"/>
        <w14:textFill>
          <w14:solidFill>
            <w14:srgbClr w14:val="444444"/>
          </w14:solidFill>
        </w14:textFill>
      </w:rPr>
      <w:fldChar w:fldCharType="begin" w:fldLock="0"/>
    </w:r>
    <w:r>
      <w:rPr>
        <w:rFonts w:ascii="Arial" w:cs="Arial" w:hAnsi="Arial" w:eastAsia="Arial"/>
        <w:outline w:val="0"/>
        <w:color w:val="444444"/>
        <w:sz w:val="18"/>
        <w:szCs w:val="18"/>
        <w:u w:color="444444"/>
        <w14:textFill>
          <w14:solidFill>
            <w14:srgbClr w14:val="444444"/>
          </w14:solidFill>
        </w14:textFill>
      </w:rPr>
      <w:instrText xml:space="preserve"> PAGE </w:instrText>
    </w:r>
    <w:r>
      <w:rPr>
        <w:rFonts w:ascii="Arial" w:cs="Arial" w:hAnsi="Arial" w:eastAsia="Arial"/>
        <w:outline w:val="0"/>
        <w:color w:val="444444"/>
        <w:sz w:val="18"/>
        <w:szCs w:val="18"/>
        <w:u w:color="444444"/>
        <w14:textFill>
          <w14:solidFill>
            <w14:srgbClr w14:val="444444"/>
          </w14:solidFill>
        </w14:textFill>
      </w:rPr>
      <w:fldChar w:fldCharType="separate" w:fldLock="0"/>
    </w:r>
    <w:r>
      <w:rPr>
        <w:rFonts w:ascii="Arial" w:cs="Arial" w:hAnsi="Arial" w:eastAsia="Arial"/>
        <w:outline w:val="0"/>
        <w:color w:val="444444"/>
        <w:sz w:val="18"/>
        <w:szCs w:val="18"/>
        <w:u w:color="444444"/>
        <w14:textFill>
          <w14:solidFill>
            <w14:srgbClr w14:val="444444"/>
          </w14:solidFill>
        </w14:textFill>
      </w:rPr>
    </w:r>
    <w:r>
      <w:rPr>
        <w:rFonts w:ascii="Arial" w:cs="Arial" w:hAnsi="Arial" w:eastAsia="Arial"/>
        <w:outline w:val="0"/>
        <w:color w:val="444444"/>
        <w:sz w:val="18"/>
        <w:szCs w:val="18"/>
        <w:u w:color="444444"/>
        <w14:textFill>
          <w14:solidFill>
            <w14:srgbClr w14:val="444444"/>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Arial" w:hAnsi="Arial"/>
        <w:outline w:val="0"/>
        <w:color w:val="444444"/>
        <w:sz w:val="18"/>
        <w:szCs w:val="18"/>
        <w:u w:color="444444"/>
        <w:rtl w:val="0"/>
        <w:lang w:val="en-US"/>
        <w14:textFill>
          <w14:solidFill>
            <w14:srgbClr w14:val="444444"/>
          </w14:solidFill>
        </w14:textFill>
      </w:rPr>
      <w:t xml:space="preserve">Capability Without Constraint </w:t>
    </w:r>
    <w:r>
      <w:rPr>
        <w:rFonts w:ascii="Arial" w:hAnsi="Arial" w:hint="default"/>
        <w:outline w:val="0"/>
        <w:color w:val="444444"/>
        <w:sz w:val="18"/>
        <w:szCs w:val="18"/>
        <w:u w:color="444444"/>
        <w:rtl w:val="0"/>
        <w:lang w:val="en-US"/>
        <w14:textFill>
          <w14:solidFill>
            <w14:srgbClr w14:val="444444"/>
          </w14:solidFill>
        </w14:textFill>
      </w:rPr>
      <w:t xml:space="preserve">— </w:t>
    </w:r>
    <w:r>
      <w:rPr>
        <w:rFonts w:ascii="Arial" w:hAnsi="Arial"/>
        <w:outline w:val="0"/>
        <w:color w:val="444444"/>
        <w:sz w:val="18"/>
        <w:szCs w:val="18"/>
        <w:u w:color="444444"/>
        <w:rtl w:val="0"/>
        <w14:textFill>
          <w14:solidFill>
            <w14:srgbClr w14:val="444444"/>
          </w14:solidFill>
        </w14:textFill>
      </w:rPr>
      <w:t>Vondoom (2026)</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320" w:after="1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lang w:val="de-DE"/>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240" w:after="12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3"/>
      <w:szCs w:val="23"/>
      <w:u w:val="none" w:color="000000"/>
      <w:shd w:val="nil" w:color="auto" w:fill="auto"/>
      <w:vertAlign w:val="baseline"/>
      <w:lang w:val="en-US"/>
      <w14:textOutline>
        <w14:noFill/>
      </w14:textOutline>
      <w14:textFill>
        <w14:solidFill>
          <w14:srgbClr w14:val="000000"/>
        </w14:solidFill>
      </w14:textFill>
    </w:rPr>
  </w:style>
  <w:style w:type="character" w:styleId="Hyperlink.1">
    <w:name w:val="Hyperlink.1"/>
    <w:basedOn w:val="Hyperlink.0"/>
    <w:next w:val="Hyperlink.1"/>
    <w:rPr>
      <w:sz w:val="20"/>
      <w:szCs w:val="20"/>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