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82"/>
          <w:szCs w:val="82"/>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82"/>
          <w:szCs w:val="82"/>
        </w:rPr>
      </w:pPr>
      <w:r>
        <w:rPr>
          <w:rFonts w:ascii="Verdana" w:hAnsi="Verdana"/>
          <w:sz w:val="82"/>
          <w:szCs w:val="82"/>
          <w:rtl w:val="0"/>
          <w:lang w:val="en-US"/>
        </w:rPr>
        <w:t>Before the Monument: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32"/>
          <w:szCs w:val="32"/>
          <w:rtl w:val="0"/>
          <w:lang w:val="en-US"/>
        </w:rPr>
        <w:t>Cooking, Cognition, and the Social Origins of Civilization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r>
        <w:rPr>
          <w:rFonts w:ascii="Verdana" w:hAnsi="Verdana"/>
          <w:rtl w:val="0"/>
          <w:lang w:val="it-IT"/>
        </w:rPr>
        <w:t xml:space="preserve">2026 </w:t>
      </w:r>
      <w:r>
        <w:rPr>
          <w:rStyle w:val="Hyperlink.0"/>
        </w:rPr>
        <w:fldChar w:fldCharType="begin" w:fldLock="0"/>
      </w:r>
      <w:r>
        <w:rPr>
          <w:rStyle w:val="Hyperlink.0"/>
        </w:rPr>
        <w:instrText xml:space="preserve"> HYPERLINK "https://doi.org/10.6084/m9.figshare.32666430"</w:instrText>
      </w:r>
      <w:r>
        <w:rPr>
          <w:rStyle w:val="Hyperlink.0"/>
        </w:rPr>
        <w:fldChar w:fldCharType="separate" w:fldLock="0"/>
      </w:r>
      <w:r>
        <w:rPr>
          <w:rStyle w:val="Hyperlink.0"/>
          <w:rtl w:val="0"/>
          <w:lang w:val="en-US"/>
        </w:rPr>
        <w:t>https://doi.org/10.6084/m9.figshare.32666430</w:t>
      </w:r>
      <w:r>
        <w:rPr/>
        <w:fldChar w:fldCharType="end" w:fldLock="0"/>
      </w:r>
      <w:r>
        <w:rPr>
          <w:rStyle w:val="None"/>
          <w:rFonts w:ascii="Verdana" w:hAnsi="Verdana"/>
          <w:rtl w:val="0"/>
          <w:lang w:val="it-IT"/>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r>
        <w:rPr>
          <w:rStyle w:val="None"/>
          <w:rFonts w:ascii="Verdana" w:hAnsi="Verdana"/>
          <w:sz w:val="26"/>
          <w:szCs w:val="26"/>
          <w:rtl w:val="0"/>
          <w:lang w:val="en-US"/>
        </w:rPr>
        <w:t>Anthony Vondoom</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r>
        <w:rPr>
          <w:rStyle w:val="None"/>
          <w:rFonts w:ascii="Verdana" w:hAnsi="Verdana"/>
          <w:i w:val="1"/>
          <w:iCs w:val="1"/>
          <w:sz w:val="24"/>
          <w:szCs w:val="24"/>
          <w:rtl w:val="0"/>
          <w:lang w:val="en-US"/>
        </w:rPr>
        <w:t>Independent Researcher, Cognitive Archaeology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sz w:val="24"/>
          <w:szCs w:val="24"/>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cs="Verdana" w:hAnsi="Verdana" w:eastAsia="Verdana"/>
          <w:sz w:val="30"/>
          <w:szCs w:val="30"/>
        </w:rPr>
      </w:pPr>
      <w:r>
        <w:rPr>
          <w:rStyle w:val="None"/>
          <w:rFonts w:ascii="Verdana" w:hAnsi="Verdana"/>
          <w:sz w:val="30"/>
          <w:szCs w:val="30"/>
          <w:rtl w:val="0"/>
          <w:lang w:val="de-DE"/>
        </w:rPr>
        <w:t>Abstract</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Civilization is conventionally defined by the artifacts it leaves behind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monumental architecture, written language, administrative records. This paper argues that such markers reflect a fundamental methodological bias: they privilege what survives in stone over what preceded stone by hundreds of thousands of years. Cooking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the controlled application of heat to transform food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is proposed here as one of the earliest, most continuous, and most consequential knowledge systems in human history. Long before the first monument was erected or the first word inscribed, hominins had likely developed systematic methods of food acquisition, fire management, material transformation, and social organization around the hearth. This paper traces three interconnected arguments: (1) that food acquisition was a primary driver of early hominin cognitive development; (2) that the hearth may represent one of the earliest recurring human social institutions, generating organizational patterns we later associate with governance, knowledge transmission, and community; and (3) that food surplus was a direct precondition for much of the institutional complexity we associate with early civilization. These arguments do not constitute a settled history but a reframing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an invitation to look earlier, and lower to the ground, for where the human project began.</w:t>
      </w: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Keywords: cooking, hominin cognition, hearth, social origins, food surplus, civilization, deep prehistory, culinary knowledge</w:t>
      </w: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r>
        <w:rPr>
          <w:rStyle w:val="None"/>
          <w:rFonts w:ascii="Verdana" w:hAnsi="Verdana"/>
          <w:b w:val="0"/>
          <w:bCs w:val="0"/>
          <w:rtl w:val="0"/>
          <w:lang w:val="en-US"/>
        </w:rPr>
        <w:t>1. The Bias Problem: Why We Look in the Wrong Place</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Imagine a fire. The light of it falls across faces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some old, some young. A hunt has ended. The animal is cooking. There is nothing to do but wait. And so people talk. They sit close. Someone traces the shape of the animal on the cave wall with a burnt stick. A child watches. An elder speaks. The shaman makes meaning of what happened out in the dark.</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This scene is reconstructed rather than directly observed. But it is consistent with what the archaeological record of hearth use, cave imagery, and Palaeolithic social groupings suggests about the recurring texture of hominin life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a texture that was probably playing out nightly, across many inhabited landscapes, long before a single pyramid rose from the desert floor or a single administrator pressed a reed into clay.</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And yet when scholars ask when human civilization began, they turn almost universally to monuments and writing. The first cities. The first kings. The first inscribed tablets. The implicit logic is straightforward: these things left evidence. We can excavate them, date them, study them. The fire and what happened around it left almost nothing we can hold in our hands.</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This paper argues that the resulting bias is not merely methodological but foundational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that in privileging durable material remains, the academic tradition has tended to misidentify when organized human knowledge, social complexity, and institutional behavior actually emerged. The question of exactly when is one the evidence cannot yet fully resolve. But the direction of the argument is clear: significantly earlier than monuments, and significantly closer to fire.</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Cooking may be civilization's oldest knowledge system. It simply did not leave the kind of evidence we were trained to look for.</w:t>
      </w:r>
    </w:p>
    <w:p>
      <w:pPr>
        <w:pStyle w:val="Heading"/>
        <w:rPr>
          <w:rStyle w:val="None"/>
          <w:rFonts w:ascii="Verdana" w:cs="Verdana" w:hAnsi="Verdana" w:eastAsia="Verdana"/>
          <w:b w:val="0"/>
          <w:bCs w:val="0"/>
        </w:rPr>
      </w:pPr>
      <w:r>
        <w:rPr>
          <w:rStyle w:val="None"/>
          <w:rFonts w:ascii="Verdana" w:hAnsi="Verdana"/>
          <w:b w:val="0"/>
          <w:bCs w:val="0"/>
          <w:rtl w:val="0"/>
          <w:lang w:val="en-US"/>
        </w:rPr>
        <w:t>2. Everything Was About Food: Hunting, Gathering, and the Cognitive Driver</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For the overwhelming majority of human prehistory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spanning well over two million years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the organizing logic of hominin life was the acquisition of food. Hunting and gathering were not primitive activities engaged in by cognitively simple beings waiting for civilization to arrive. They were sophisticated, knowledge-intensive, ecologically embedded enterprises that placed substantial demands on memory, planning, social coordination, and communication.</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Consider what successful hunting likely required. A hunter operating in a Pleistocene landscape needed detailed knowledge of animal behavior across seasons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not only where prey is now, but where it is likely to be in the coming days or at the turn of the season. This implies something like abstraction: the capacity to hold a mental model of an animal's behavioral patterns across time and project that model forward. It also required landscape literacy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reading terrain, water sources, migration corridors, and seasonal vegetation changes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and social coordination: cooperative hunts involving role assignment, timing, communication under pressure, and the execution of a shared plan across multiple individuals simultaneously.</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These cognitive demands did not emerge from nowhere. They were presumably selected for, over long spans of time, partly because the payoff was food. The spear was not, in all likelihood, invented primarily for war. The capacity for forward planning was not developed in the first instance for politics. The social bonds that enabled coordinated action were not originally forged for ceremony. The evidence suggests that much of early hominin cognitive development was grounded in the practical demands of feeding oneself and one's group.</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Gathering placed parallel demands on a different cognitive register. Identifying edible plant species required taxonomic knowledge of considerable granularity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distinguishing safe from toxic plants that may differ only subtly in appearance, knowing which parts of which plants are edible at which stages of development, and tracking the seasonal rhythms of many species across a given landscape. This constitutes botanical expertise of a kind that would not be systematically written down for hundreds of thousands of years, yet it was transmitted reliably enough that populations survived, adapted, and spread.</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Every behavior we frame as evidence of early cognitive complexity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tool manufacture, fire control, seasonal migration, plant taxonomy, cooperative hunting, long-distance material transport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may, in its origin, have been food-motivated problem solving. If so, the cognitive architecture underlying what we call civilization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planning, abstraction, social coordination, knowledge transmission, specialist roles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was not invented at the dawn of recorded history. It was inherited, already ancient, from the long project of feeding oneself and one's group in a complex environment.</w:t>
      </w:r>
    </w:p>
    <w:p>
      <w:pPr>
        <w:pStyle w:val="Heading"/>
        <w:rPr>
          <w:rStyle w:val="None"/>
          <w:rFonts w:ascii="Verdana" w:cs="Verdana" w:hAnsi="Verdana" w:eastAsia="Verdana"/>
          <w:b w:val="0"/>
          <w:bCs w:val="0"/>
        </w:rPr>
      </w:pPr>
      <w:r>
        <w:rPr>
          <w:rStyle w:val="None"/>
          <w:rFonts w:ascii="Verdana" w:hAnsi="Verdana"/>
          <w:b w:val="0"/>
          <w:bCs w:val="0"/>
          <w:rtl w:val="0"/>
          <w:lang w:val="en-US"/>
        </w:rPr>
        <w:t>3. Nature's Laboratory: The Observational Origin of Cooking</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The question of how cooking began has sometimes been framed as though it required a moment of invention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a deliberate decision to apply fire to food. This framing likely misunderstands the pathway that preceded intentional cooking.</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Wildfire is among the oldest features of the terrestrial landscape. Lightning strikes have ignited vegetation for hundreds of millions of years. Any hominin living in savannah or woodland environments would have had repeated exposure to the aftermath of natural fire: scorched earth, burnt vegetation, and the carcasses of animals caught in or near the blaze. The observation that burnt meat differs from raw meat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in smell, texture, palatability, and ease of consumption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was not a difficult one to make. It required only attention to a repeatedly available natural event.</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The pathway from natural observation to intentional replication likely required repetition and memory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the same basic mechanism underlying much behavioral learning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rather than a singular conceptual breakthrough. An animal is found near a fire. It is eaten. The experience differs from raw consumption in ways that may have been immediately apparent. Over repeated such encounters, the association between fire and improved food could plausibly have become behavioral.</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What makes this origin pathway significant for the broader argument of this paper is the cognitive template it may have established. Before cooking, food acquisition required knowing where to find food and how to obtain it. After cooking, it required a third element: knowing how to transform it. The recognition that applying heat changes the properties of a material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its texture, digestibility, and in many cases its safety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is not a trivial observation. The same basic insight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that controlled heat can reveal or produce something that was not apparent in the raw material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arguably underlies later developments in ceramics and metallurgy. Whether this connection was cognitively continuous or convergent remains an open question, but the structural parallel is suggestive.</w:t>
      </w: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r>
        <w:rPr>
          <w:rStyle w:val="None"/>
          <w:rFonts w:ascii="Verdana" w:hAnsi="Verdana"/>
          <w:b w:val="0"/>
          <w:bCs w:val="0"/>
          <w:rtl w:val="0"/>
          <w:lang w:val="en-US"/>
        </w:rPr>
        <w:t>4. What Cooking Did to the Brain</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The relationship between cooking and human cognitive evolution is a matter of active scholarly debate rather than settled consensus, but the case is substantial. Wrangham's influential thesis, developed across multiple publications and synthesized in Catching Fire (2009), proposes that the adoption of cooking was a transformative biological event in human evolution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not merely a cultural one. The argument rests on the metabolic economics of digestion.</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Raw food requires substantial energetic investment to process. Cooking partially externalizes this digestive work: heat breaks down cell walls, denatures proteins, and increases the bioavailability of calories before the food is consumed. The result, Wrangham argues, is that a cooked meal delivers significantly more usable energy than the same meal consumed raw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an efficiency gain with significant biological consequences.</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Wrangham connects this to the anatomy of Homo erectus, which shows a dramatically reduced gut size compared to earlier hominins. If cooking was already underway by the time of H. erectus, the expensive metabolic tissue of a large digestive system may no longer have been as necessary. The energy freed from maintaining a large gut could then have been available for other metabolically expensive tissue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including the brain, which is the most energetically costly organ in the human body. Its expansion in the Homo lineage correlates with, and may have been partly enabled by, the caloric gains that cooking provided. This thesis is debated, and the earliest firm evidence for controlled fire use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currently around one million years ago at Wonderwerk Cave in South Africa (Berna et al., 2012)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leaves open the question of exactly when cooking became habitual. Wrangham places the threshold considerably earlier, at approximately 1.8 million years ago, on anatomical grounds. The matter remains unresolved.</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The evidence for Neanderthal cooking adds a separate dimension to this picture. Far from representing cognitively simple near-humans, Neanderthals demonstrate a constellation of behaviors requiring sustained knowledge, social coordination, and intergenerational transmission. They appear to have controlled fire, maintained hearths, and processed food thermally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as suggested by analysis of dental calculus and faunal assemblages at multiple sites. They manufactured complex tools requiring multi-stage production sequences. Analysis of dental calculus from the El Sidr</w:t>
      </w:r>
      <w:r>
        <w:rPr>
          <w:rStyle w:val="None"/>
          <w:rFonts w:ascii="Verdana" w:hAnsi="Verdana" w:hint="default"/>
          <w:b w:val="0"/>
          <w:bCs w:val="0"/>
          <w:sz w:val="24"/>
          <w:szCs w:val="24"/>
          <w:rtl w:val="0"/>
          <w:lang w:val="es-ES_tradnl"/>
        </w:rPr>
        <w:t>ó</w:t>
      </w:r>
      <w:r>
        <w:rPr>
          <w:rStyle w:val="None"/>
          <w:rFonts w:ascii="Verdana" w:hAnsi="Verdana"/>
          <w:b w:val="0"/>
          <w:bCs w:val="0"/>
          <w:sz w:val="24"/>
          <w:szCs w:val="24"/>
          <w:rtl w:val="0"/>
          <w:lang w:val="en-US"/>
        </w:rPr>
        <w:t xml:space="preserve">n site in Spain has been interpreted as showing residues of yarrow and groundsel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de-DE"/>
        </w:rPr>
        <w:t xml:space="preserve">bitter plants with no caloric value but known analgesic and anti-inflammatory properties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which Hardy et al. (2012) read as suggesting deliberate self-medication. This interpretation remains contested, with some researchers arguing that incidental ingestion cannot be ruled out, but it is consistent with the broader pattern of behavioral complexity the Neanderthal record presents.</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Recent analysis of dentition from Chagyrskaya Cave in Siberia has been interpreted as evidence of intentional dental intervention in a Neanderthal individual (Zubova et al., 2026). If this reading holds, it would imply a causal reasoning chain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recognition of a pathological condition, belief that intervention could improve the outcome, tolerance or management of pain, and the cooperation of another individual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of a kind not easily explained by reflex or instinct. Whether or not the dental intervention interpretation is ultimately confirmed, the cumulative Neanderthal evidence suggests that cognitively demanding behavior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including knowledge of pharmacological plants, procedural problem-solving, and cooperative action on behalf of an injured group member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predates Homo sapiens. The caloric platform that cooking provided may have been a necessary, though not sufficient, condition for sustaining the cognitive load such behaviors required.</w:t>
      </w:r>
    </w:p>
    <w:p>
      <w:pPr>
        <w:pStyle w:val="Heading"/>
        <w:rPr>
          <w:rStyle w:val="None"/>
          <w:rFonts w:ascii="Verdana" w:cs="Verdana" w:hAnsi="Verdana" w:eastAsia="Verdana"/>
          <w:b w:val="0"/>
          <w:bCs w:val="0"/>
        </w:rPr>
      </w:pPr>
      <w:r>
        <w:rPr>
          <w:rStyle w:val="None"/>
          <w:rFonts w:ascii="Verdana" w:hAnsi="Verdana"/>
          <w:b w:val="0"/>
          <w:bCs w:val="0"/>
          <w:rtl w:val="0"/>
          <w:lang w:val="en-US"/>
        </w:rPr>
        <w:t>5. The Hearth as First Institution</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The shift from cooking as individual behavior to cooking as social practice organized around a fixed location is among the more consequential transitions in human prehistory. The hearth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a controlled, maintained fire in a defined location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changed not only what hominins ate but where they spent time, how long they remained in one place, and what happened during the waiting.</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A hearth creates a reason to remain in one place. Before fire, movement was governed primarily by the distribution of food resources and predator pressure. A maintained fire introduces a different logic: the fire is here, the food will be prepared here, there is reason to return here. This may represent the beginning of place as a social concept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not merely a geographic location but a recurring, shared commitment.</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Around a hearth, differentiated roles become practical in ways they may not have been before. Someone tends the fire. Someone processes and prepares food. The hunters who brought the kill occupy a different position in the gathering from those who did not go out. The elders, no longer capable of the physical demands of the hunt, hold value of a different kind: accumulated knowledge of terrain, animal behavior, seasonal patterns, plant properties, group history. They become the memory of the group in a way that is most useful precisely when the group is stationary and gathered.</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Something else occurs around the hearth that no monument replicates in its regularity: people wait together. In waiting, they become present to each other in a way that the active demands of foraging and hunting do not allow. Dunbar (1996) has argued that language evolved partly as a mechanism for social bonding at the scale that larger hominin groups required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a form of vocal grooming that could maintain relationships across a wider social network than physical grooming permitted. The hearth, as a recurring gathering point centered on food preparation, may have been one of the primary contexts in which this bonding language was exercised.</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The images of animals at Lascaux, Altamira, and Chauvet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located predominantly in areas that firelight would have reached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may plausibly be understood, at least in part, as having served communicative or transmissive functions alongside whatever symbolic or ritual meanings they carried. The context of a firelit gathering after a hunt, in which knowledge about prey behavior, anatomy, and location would have had immediate practical value, is at least as plausible a production context as solitary spiritual practice. This is not to reduce cave art to a single function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its meanings were almost certainly multiple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but to note that functional interpretations have often been underweighted relative to symbolic ones.</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The organizational structure around the hearth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resource management, differentiated roles, knowledge hierarchy, social bonding, intergenerational transmission, communal meaning-making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resembles, in embryonic form, the structures we associate with organized society. It required no writing and no stone. It required fire, food, and people assembled around both. Whether this constitutes an 'institution' in the full sociological sense is a matter of definition, but the hearth arguably satisfies the core criteria: recurrence in defined locations, differentiated participant roles, knowledge transmission across generations, and persistence under conditions of environmental and social stress. L</w:t>
      </w:r>
      <w:r>
        <w:rPr>
          <w:rStyle w:val="None"/>
          <w:rFonts w:ascii="Verdana" w:hAnsi="Verdana" w:hint="default"/>
          <w:b w:val="0"/>
          <w:bCs w:val="0"/>
          <w:sz w:val="24"/>
          <w:szCs w:val="24"/>
          <w:rtl w:val="0"/>
          <w:lang w:val="fr-FR"/>
        </w:rPr>
        <w:t>é</w:t>
      </w:r>
      <w:r>
        <w:rPr>
          <w:rStyle w:val="None"/>
          <w:rFonts w:ascii="Verdana" w:hAnsi="Verdana"/>
          <w:b w:val="0"/>
          <w:bCs w:val="0"/>
          <w:sz w:val="24"/>
          <w:szCs w:val="24"/>
          <w:rtl w:val="0"/>
          <w:lang w:val="en-US"/>
        </w:rPr>
        <w:t xml:space="preserve">vi-Strauss famously framed the opposition between raw and cooked as one of the fundamental structuring principles of human culture (1969)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the argument advanced here is that this opposition did not merely organize symbolic thought but organized social life around the physical act of cooking itself.</w:t>
      </w:r>
    </w:p>
    <w:p>
      <w:pPr>
        <w:pStyle w:val="Heading"/>
        <w:rPr>
          <w:rStyle w:val="None"/>
          <w:rFonts w:ascii="Verdana" w:cs="Verdana" w:hAnsi="Verdana" w:eastAsia="Verdana"/>
          <w:b w:val="0"/>
          <w:bCs w:val="0"/>
        </w:rPr>
      </w:pPr>
      <w:r>
        <w:rPr>
          <w:rStyle w:val="None"/>
          <w:rFonts w:ascii="Verdana" w:hAnsi="Verdana"/>
          <w:b w:val="0"/>
          <w:bCs w:val="0"/>
          <w:rtl w:val="0"/>
          <w:lang w:val="en-US"/>
        </w:rPr>
        <w:t>6. The Knowledge Nobody Wrote Down</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The body of knowledge required to cook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systematically, reliably, across a range of ingredients, techniques, and contexts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is considerably more complex than is generally acknowledged. Cooking demanded taxonomy: knowing which organisms are edible and which are toxic, often on the basis of subtle visual or olfactory cues. It demanded seasonality: knowing when different food sources are available, at what stage of development they are optimal, and how to locate them in a given landscape. It demanded technique: understanding how different materials respond to heat, how timing and temperature interact, how combination of ingredients can produce outcomes that no single ingredient produces alone. And it demanded preservation: extending the useful life of food through drying, smoking, fermentation, and storage.</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This is a substantial body of organized knowledge. It was refined across enormous spans of time and transmitted with sufficient fidelity that populations survived, adapted to new environments, and passed what they knew to the next generation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without a single written word.</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The transmission mechanism is worth examining carefully, because it has not changed. Culinary knowledge resists full linguistic encoding because it is not, at its core, propositional. A recipe is an ingredient list: it specifies what and in what quantities. It does not convey how. The how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the feel of dough correctly developed, the sound of oil at the right temperature, the precise color change that signals the moment to act, the pressure and timing that come from attention rather than a clock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does not live in language. It lives in the hands and body. It is transmitted through demonstration and repetition, through watching and doing, through the correction of small errors in real time by someone who already knows.</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This is not historical. It is current. In professional kitchens today, the most technically demanding culinary knowledge is still transmitted through apprenticeship. The recipe book exists. The procedure is shown. The trained cook does not learn from documentation; they learn from a person, over a fire, with food transforming in front of both of them. The fact that this transmission mechanism has persisted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not as nostalgia but as practical necessity, because the knowledge genuinely resists other forms of encoding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suggests it is a property of the knowledge itself rather than a gap in the documentation.</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Cooking knowledge was transmitted this way for hundreds of thousands of years before writing existed. It is transmitted this way still. The thread is not merely old. It is unbroken.</w:t>
      </w:r>
    </w:p>
    <w:p>
      <w:pPr>
        <w:pStyle w:val="Heading"/>
        <w:rPr>
          <w:rStyle w:val="None"/>
          <w:rFonts w:ascii="Verdana" w:cs="Verdana" w:hAnsi="Verdana" w:eastAsia="Verdana"/>
          <w:b w:val="0"/>
          <w:bCs w:val="0"/>
        </w:rPr>
      </w:pPr>
      <w:r>
        <w:rPr>
          <w:rStyle w:val="None"/>
          <w:rFonts w:ascii="Verdana" w:hAnsi="Verdana"/>
          <w:b w:val="0"/>
          <w:bCs w:val="0"/>
          <w:rtl w:val="0"/>
          <w:lang w:val="en-US"/>
        </w:rPr>
        <w:t>7. Surplus and the Birth of Complexity</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The transition from immediate-return foraging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where food is consumed roughly when it is acquired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to delayed-return systems involving storage and redistribution is among the most consequential economic transitions in human history. It is, at its root, a food management transition: the development of techniques for producing, preserving, and organizing food beyond immediate need.</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Food surplus is not merely an economic phenomenon. It is a social one. When a group produces more food than it immediately consumes, a set of questions arises that did not exist before: Who owns the surplus? Who decides how it is distributed? Who is responsible for protecting it? Who tracks what is stored, how much, and for how long? These are questions of governance. The answers to them, repeated across seasons and years, tend to institutionalize into roles, hierarchies, and administrative systems.</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Archaeological evidence from the ancient Near East broadly supports the interpretation that storage architecture preceded palatial or monumental architecture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that managing food came before managing political power, or perhaps that managing food was the earliest form of managing political power. The administrative complexity required to track surplus grain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quantities in, quantities out, claims on distribution, planning for seasonal shortage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is structurally identical to the administrative complexity that eventually produces writing. The earliest writing systems in both Mesopotamia and Egypt are not literary. They are accounting records: lists of grain, cattle, and oil. The outputs of the food system that someone needed to count.</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Fermentation deserves mention here. The deliberate fermentation of grain and fruit to produce alcohol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managed empirically by early brewers without any understanding of the underlying microbiology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represents a sophisticated application of systematic knowledge to food transformation. Evidence for deliberate fermentation extends to at least 13,000 years ago at Raqefet Cave in Israel (Liu et al., 2018), and possibly earlier. Fermented beverages appear to have occupied a central role in early social rituals, feasting, gift exchange, and the bonding of large social groups. Hayden (2014) has argued that competitive feasting was a significant driver of social complexity in the transition to agriculture, and the evidence from archaeological contexts across multiple continents is broadly consistent with that interpretation, though the causal relationships involved remain a matter of debate.</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The broad sequence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food surplus generating administrative need, administrative need generating record-keeping, record-keeping generating writing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is well-supported in its general outlines, even if the specific mechanisms and timelines remain subjects of active research. What is clear is that the chain begins not with an idea but with a practical problem: more food than could be immediately consumed, and the need to manage what remained.</w:t>
      </w:r>
    </w:p>
    <w:p>
      <w:pPr>
        <w:pStyle w:val="Heading"/>
        <w:rPr>
          <w:rStyle w:val="None"/>
          <w:rFonts w:ascii="Verdana" w:cs="Verdana" w:hAnsi="Verdana" w:eastAsia="Verdana"/>
          <w:b w:val="0"/>
          <w:bCs w:val="0"/>
        </w:rPr>
      </w:pPr>
      <w:r>
        <w:rPr>
          <w:rStyle w:val="None"/>
          <w:rFonts w:ascii="Verdana" w:hAnsi="Verdana"/>
          <w:b w:val="0"/>
          <w:bCs w:val="0"/>
          <w:rtl w:val="0"/>
          <w:lang w:val="en-US"/>
        </w:rPr>
        <w:t>8. Conclusion: The Oldest Continuous Thread</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This paper has argued for a significant reframing of where the human civilizational project begins. Not in the city. Not in the palace. Not in the temple or the archive. It arguably begins around a fire, with food cooking, and a group of people assembled to wait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and in waiting, to become a community.</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The three arguments developed here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cognitive, social, and economic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converge on the same conclusion from different directions. Cognitively, the demands of food acquisition appear to have been a primary driver of the mental architecture that civilization would later apply to other purposes: planning, abstraction, social coordination, knowledge transmission. Socially, the hearth may represent one of the earliest recurring human institutions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generating differentiated roles, knowledge hierarchies, intergenerational transmission, and the communal gathering that maintained group identity across time. Economically, food surplus was in all probability a primary driver of the administrative complexity that produced every institutional structure we associate with early civilization, including writing itself.</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The case being made here is not that cooking explains everything, or that the other drivers of civilizational development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symbolic behavior, ritual, trade, warfare, ecological pressure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were secondary. They were not. But cooking has been largely absent from these accounts, and its absence distorts the picture. If food acquisition was the organizing logic of hominin life for most of our species' existence, and if the management of food was the practical origin of administrative complexity, then food is not a background condition of civilization. It is a foundational driver of it.</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The hunter was, in all probability, among the earliest specialists in human prehistory: the individual whose skills, knowledge, and risk tolerance were dedicated not to personal survival alone but to the provisioning of the group. The cook was likely among the earliest as well: the one who received what the hunter brought back and transformed it into something the group could share. Around the result of their combined work, early organizational structures of human society may have coalesced.</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 xml:space="preserve">The evidence for all of this is indirect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in anatomy, in hearth architecture, in residues on ancient teeth, in the structure of the earliest writing systems. Cooking left no monuments. What it left was us: bodies shaped by its caloric efficiency, societies shaped by its social gravity, administrative systems shaped by the need to manage its outputs. And in kitchens around the world today, the most demanding culinary knowledge is still transmitted the way it always has been: from a person to a person, over a fire, with food transforming in front of both of them.</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The oldest knowledge system in human history is still running. It has simply never stopped.</w:t>
      </w: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r>
        <w:rPr>
          <w:rStyle w:val="None"/>
          <w:rFonts w:ascii="Verdana" w:hAnsi="Verdana"/>
          <w:b w:val="0"/>
          <w:bCs w:val="0"/>
          <w:rtl w:val="0"/>
          <w:lang w:val="en-US"/>
        </w:rPr>
        <w:t>Sustainable Development Goals (SDG) Relevance</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This paper contributes to the following United Nations Sustainable Development Goals:</w:t>
      </w:r>
    </w:p>
    <w:p>
      <w:pPr>
        <w:pStyle w:val="Heading"/>
        <w:rPr>
          <w:rStyle w:val="None"/>
          <w:rFonts w:ascii="Verdana" w:cs="Verdana" w:hAnsi="Verdana" w:eastAsia="Verdana"/>
          <w:b w:val="0"/>
          <w:bCs w:val="0"/>
        </w:rPr>
      </w:pPr>
      <w:r>
        <w:rPr>
          <w:rStyle w:val="None"/>
          <w:rFonts w:ascii="Verdana" w:hAnsi="Verdana"/>
          <w:b w:val="0"/>
          <w:bCs w:val="0"/>
          <w:sz w:val="24"/>
          <w:szCs w:val="24"/>
          <w:rtl w:val="0"/>
          <w:lang w:val="fr-FR"/>
        </w:rPr>
        <w:t xml:space="preserve">SDG 2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Zero Hunger: By tracing the deep evolutionary and social history of food acquisition, preparation, and distribution, this paper contributes to a foundational understanding of the human relationship with food as a driver of social organization, potentially informing perspectives on food equity and access.</w:t>
      </w:r>
    </w:p>
    <w:p>
      <w:pPr>
        <w:pStyle w:val="Heading"/>
        <w:rPr>
          <w:rStyle w:val="None"/>
          <w:rFonts w:ascii="Verdana" w:cs="Verdana" w:hAnsi="Verdana" w:eastAsia="Verdana"/>
          <w:b w:val="0"/>
          <w:bCs w:val="0"/>
        </w:rPr>
      </w:pPr>
      <w:r>
        <w:rPr>
          <w:rStyle w:val="None"/>
          <w:rFonts w:ascii="Verdana" w:hAnsi="Verdana"/>
          <w:b w:val="0"/>
          <w:bCs w:val="0"/>
          <w:sz w:val="24"/>
          <w:szCs w:val="24"/>
          <w:rtl w:val="0"/>
          <w:lang w:val="fr-FR"/>
        </w:rPr>
        <w:t xml:space="preserve">SDG 4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Quality Education: The analysis of cooking as an underrecognized knowledge transmission system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one that operated across hundreds of thousands of years through embodied, non-documentary pedagogy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has implications for understanding diverse forms of knowledge and their legitimacy in educational contexts.</w:t>
      </w:r>
    </w:p>
    <w:p>
      <w:pPr>
        <w:pStyle w:val="Heading"/>
        <w:rPr>
          <w:rStyle w:val="None"/>
          <w:rFonts w:ascii="Verdana" w:cs="Verdana" w:hAnsi="Verdana" w:eastAsia="Verdana"/>
          <w:b w:val="0"/>
          <w:bCs w:val="0"/>
        </w:rPr>
      </w:pPr>
      <w:r>
        <w:rPr>
          <w:rStyle w:val="None"/>
          <w:rFonts w:ascii="Verdana" w:hAnsi="Verdana"/>
          <w:b w:val="0"/>
          <w:bCs w:val="0"/>
          <w:sz w:val="24"/>
          <w:szCs w:val="24"/>
          <w:rtl w:val="0"/>
          <w:lang w:val="fr-FR"/>
        </w:rPr>
        <w:t xml:space="preserve">SDG 10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Reduced Inequalities: The argument that the hearth may represent an early egalitarian social institution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 xml:space="preserve">gathering members of a group without formal gatekeeping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and that culinary knowledge constitutes a form of expertise systematically undervalued in academic and institutional frameworks, connects to broader discussions of epistemic justice and the recognition of non-literate and non-monumental knowledge traditions.</w:t>
      </w:r>
    </w:p>
    <w:p>
      <w:pPr>
        <w:pStyle w:val="Heading"/>
        <w:rPr>
          <w:rStyle w:val="None"/>
          <w:rFonts w:ascii="Verdana" w:cs="Verdana" w:hAnsi="Verdana" w:eastAsia="Verdana"/>
          <w:b w:val="0"/>
          <w:bCs w:val="0"/>
        </w:rPr>
      </w:pPr>
      <w:r>
        <w:rPr>
          <w:rStyle w:val="None"/>
          <w:rFonts w:ascii="Verdana" w:hAnsi="Verdana"/>
          <w:b w:val="0"/>
          <w:bCs w:val="0"/>
          <w:sz w:val="24"/>
          <w:szCs w:val="24"/>
          <w:rtl w:val="0"/>
          <w:lang w:val="fr-FR"/>
        </w:rPr>
        <w:t xml:space="preserve">SDG 11 </w:t>
      </w:r>
      <w:r>
        <w:rPr>
          <w:rStyle w:val="None"/>
          <w:rFonts w:ascii="Verdana" w:hAnsi="Verdana" w:hint="default"/>
          <w:b w:val="0"/>
          <w:bCs w:val="0"/>
          <w:sz w:val="24"/>
          <w:szCs w:val="24"/>
          <w:rtl w:val="0"/>
          <w:lang w:val="en-US"/>
        </w:rPr>
        <w:t xml:space="preserve">— </w:t>
      </w:r>
      <w:r>
        <w:rPr>
          <w:rStyle w:val="None"/>
          <w:rFonts w:ascii="Verdana" w:hAnsi="Verdana"/>
          <w:b w:val="0"/>
          <w:bCs w:val="0"/>
          <w:sz w:val="24"/>
          <w:szCs w:val="24"/>
          <w:rtl w:val="0"/>
          <w:lang w:val="en-US"/>
        </w:rPr>
        <w:t>Sustainable Cities and Communities: The tracing of social organization from the hearth through the surplus economy to the first urban settlements illuminates the food-based foundations of community formation, with relevance to contemporary discussions of food systems, shared public space, and social cohesion.</w:t>
      </w: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r>
        <w:rPr>
          <w:rStyle w:val="None"/>
          <w:rFonts w:ascii="Verdana" w:hAnsi="Verdana"/>
          <w:b w:val="0"/>
          <w:bCs w:val="0"/>
          <w:rtl w:val="0"/>
          <w:lang w:val="en-US"/>
        </w:rPr>
        <w:t>AI Disclosure</w:t>
      </w:r>
    </w:p>
    <w:p>
      <w:pPr>
        <w:pStyle w:val="Heading"/>
        <w:rPr>
          <w:rStyle w:val="None"/>
          <w:rFonts w:ascii="Verdana" w:cs="Verdana" w:hAnsi="Verdana" w:eastAsia="Verdana"/>
          <w:b w:val="0"/>
          <w:bCs w:val="0"/>
        </w:rPr>
      </w:pPr>
      <w:r>
        <w:rPr>
          <w:rStyle w:val="None"/>
          <w:rFonts w:ascii="Verdana" w:hAnsi="Verdana"/>
          <w:b w:val="0"/>
          <w:bCs w:val="0"/>
          <w:sz w:val="24"/>
          <w:szCs w:val="24"/>
          <w:rtl w:val="0"/>
          <w:lang w:val="en-US"/>
        </w:rPr>
        <w:t>This paper was developed with the assistance of Claude (Anthropic), an artificial intelligence language model, used as a research interlocutor, structural collaborator, and drafting assistant. The intellectual framework, core arguments, empirical claims, and scholarly interpretation are those of the author. AI assistance was used in the elaboration and articulation of ideas developed through original research and professional expertise. All citations have been verified by the author. This disclosure is made in accordance with the author's standard practice of transparent AI use across all published work.</w:t>
      </w: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lang w:val="fr-FR"/>
        </w:rPr>
      </w:pPr>
      <w:r>
        <w:rPr>
          <w:rStyle w:val="None"/>
          <w:rFonts w:ascii="Verdana" w:hAnsi="Verdana"/>
          <w:b w:val="0"/>
          <w:bCs w:val="0"/>
          <w:rtl w:val="0"/>
          <w:lang w:val="fr-FR"/>
        </w:rPr>
        <w:t>References</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Aiello, L. C., &amp; Wheeler, P. (1995). The expensive-tissue hypothesis: The brain and the digestive system in human and primate evolution. Current Anthropology, 36(2), 199</w:t>
      </w:r>
      <w:r>
        <w:rPr>
          <w:rStyle w:val="None"/>
          <w:rFonts w:ascii="Verdana" w:hAnsi="Verdana" w:hint="default"/>
          <w:b w:val="0"/>
          <w:bCs w:val="0"/>
          <w:sz w:val="20"/>
          <w:szCs w:val="20"/>
          <w:rtl w:val="0"/>
          <w:lang w:val="en-US"/>
        </w:rPr>
        <w:t>–</w:t>
      </w:r>
      <w:r>
        <w:rPr>
          <w:rStyle w:val="None"/>
          <w:rFonts w:ascii="Verdana" w:hAnsi="Verdana"/>
          <w:b w:val="0"/>
          <w:bCs w:val="0"/>
          <w:sz w:val="20"/>
          <w:szCs w:val="20"/>
          <w:rtl w:val="0"/>
          <w:lang w:val="en-US"/>
        </w:rPr>
        <w:t>221.</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Bar-Yosef, O. (1998). The Natufian culture in the Levant: Threshold to the origins of agriculture. Evolutionary Anthropology, 6(5), 159</w:t>
      </w:r>
      <w:r>
        <w:rPr>
          <w:rStyle w:val="None"/>
          <w:rFonts w:ascii="Verdana" w:hAnsi="Verdana" w:hint="default"/>
          <w:b w:val="0"/>
          <w:bCs w:val="0"/>
          <w:sz w:val="20"/>
          <w:szCs w:val="20"/>
          <w:rtl w:val="0"/>
          <w:lang w:val="en-US"/>
        </w:rPr>
        <w:t>–</w:t>
      </w:r>
      <w:r>
        <w:rPr>
          <w:rStyle w:val="None"/>
          <w:rFonts w:ascii="Verdana" w:hAnsi="Verdana"/>
          <w:b w:val="0"/>
          <w:bCs w:val="0"/>
          <w:sz w:val="20"/>
          <w:szCs w:val="20"/>
          <w:rtl w:val="0"/>
          <w:lang w:val="en-US"/>
        </w:rPr>
        <w:t>177.</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Berna, F., Goldberg, P., Horwitz, L. K., Brink, J., Holt, S., Bamford, M., &amp; Chazan, M. (2012). Microstratigraphic evidence of in situ fire in the Acheulean strata of Wonderwerk Cave, Northern Cape province, South Africa. Proceedings of the National Academy of Sciences, 109(20), E1215</w:t>
      </w:r>
      <w:r>
        <w:rPr>
          <w:rStyle w:val="None"/>
          <w:rFonts w:ascii="Verdana" w:hAnsi="Verdana" w:hint="default"/>
          <w:b w:val="0"/>
          <w:bCs w:val="0"/>
          <w:sz w:val="20"/>
          <w:szCs w:val="20"/>
          <w:rtl w:val="0"/>
          <w:lang w:val="en-US"/>
        </w:rPr>
        <w:t>–</w:t>
      </w:r>
      <w:r>
        <w:rPr>
          <w:rStyle w:val="None"/>
          <w:rFonts w:ascii="Verdana" w:hAnsi="Verdana"/>
          <w:b w:val="0"/>
          <w:bCs w:val="0"/>
          <w:sz w:val="20"/>
          <w:szCs w:val="20"/>
          <w:rtl w:val="0"/>
          <w:lang w:val="en-US"/>
        </w:rPr>
        <w:t>E1220.</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Clottes, J. (2016). What is Paleolithic Art? Cave Paintings and the Dawn of Human Creativity. University of Chicago Press.</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Dunbar, R. I. M. (1996). Grooming, Gossip, and the Evolution of Language. Harvard University Press.</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s-ES_tradnl"/>
        </w:rPr>
        <w:t>Fern</w:t>
      </w:r>
      <w:r>
        <w:rPr>
          <w:rStyle w:val="None"/>
          <w:rFonts w:ascii="Verdana" w:hAnsi="Verdana" w:hint="default"/>
          <w:b w:val="0"/>
          <w:bCs w:val="0"/>
          <w:sz w:val="20"/>
          <w:szCs w:val="20"/>
          <w:rtl w:val="0"/>
          <w:lang w:val="en-US"/>
        </w:rPr>
        <w:t>á</w:t>
      </w:r>
      <w:r>
        <w:rPr>
          <w:rStyle w:val="None"/>
          <w:rFonts w:ascii="Verdana" w:hAnsi="Verdana"/>
          <w:b w:val="0"/>
          <w:bCs w:val="0"/>
          <w:sz w:val="20"/>
          <w:szCs w:val="20"/>
          <w:rtl w:val="0"/>
          <w:lang w:val="pt-PT"/>
        </w:rPr>
        <w:t>ndez-Armesto, F. (2001). Food: A History. Macmillan.</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Graeber, D., &amp; Wengrow, D. (2021). The Dawn of Everything: A New History of Humanity. Farrar, Straus and Giroux.</w:t>
      </w:r>
    </w:p>
    <w:p>
      <w:pPr>
        <w:pStyle w:val="Heading"/>
        <w:rPr>
          <w:rStyle w:val="None"/>
          <w:rFonts w:ascii="Verdana" w:cs="Verdana" w:hAnsi="Verdana" w:eastAsia="Verdana"/>
          <w:b w:val="0"/>
          <w:bCs w:val="0"/>
        </w:rPr>
      </w:pPr>
      <w:r>
        <w:rPr>
          <w:rStyle w:val="None"/>
          <w:rFonts w:ascii="Verdana" w:hAnsi="Verdana"/>
          <w:b w:val="0"/>
          <w:bCs w:val="0"/>
          <w:sz w:val="20"/>
          <w:szCs w:val="20"/>
          <w:rtl w:val="0"/>
          <w:lang w:val="de-DE"/>
        </w:rPr>
        <w:t>Hardy, K., Buckley, S., Collins, M. J., Estalrrich, A., Brothwell, D., Copeland, L., Garc</w:t>
      </w:r>
      <w:r>
        <w:rPr>
          <w:rStyle w:val="None"/>
          <w:rFonts w:ascii="Verdana" w:hAnsi="Verdana" w:hint="default"/>
          <w:b w:val="0"/>
          <w:bCs w:val="0"/>
          <w:sz w:val="20"/>
          <w:szCs w:val="20"/>
          <w:rtl w:val="0"/>
          <w:lang w:val="en-US"/>
        </w:rPr>
        <w:t>í</w:t>
      </w:r>
      <w:r>
        <w:rPr>
          <w:rStyle w:val="None"/>
          <w:rFonts w:ascii="Verdana" w:hAnsi="Verdana"/>
          <w:b w:val="0"/>
          <w:bCs w:val="0"/>
          <w:sz w:val="20"/>
          <w:szCs w:val="20"/>
          <w:rtl w:val="0"/>
          <w:lang w:val="es-ES_tradnl"/>
        </w:rPr>
        <w:t>a-Tabernero, A., Garc</w:t>
      </w:r>
      <w:r>
        <w:rPr>
          <w:rStyle w:val="None"/>
          <w:rFonts w:ascii="Verdana" w:hAnsi="Verdana" w:hint="default"/>
          <w:b w:val="0"/>
          <w:bCs w:val="0"/>
          <w:sz w:val="20"/>
          <w:szCs w:val="20"/>
          <w:rtl w:val="0"/>
          <w:lang w:val="en-US"/>
        </w:rPr>
        <w:t>í</w:t>
      </w:r>
      <w:r>
        <w:rPr>
          <w:rStyle w:val="None"/>
          <w:rFonts w:ascii="Verdana" w:hAnsi="Verdana"/>
          <w:b w:val="0"/>
          <w:bCs w:val="0"/>
          <w:sz w:val="20"/>
          <w:szCs w:val="20"/>
          <w:rtl w:val="0"/>
          <w:lang w:val="es-ES_tradnl"/>
        </w:rPr>
        <w:t>a-Vargas, S., de la Rasilla, M., Lalueza-Fox, C., Huguet, R., Bastir, M., Santamar</w:t>
      </w:r>
      <w:r>
        <w:rPr>
          <w:rStyle w:val="None"/>
          <w:rFonts w:ascii="Verdana" w:hAnsi="Verdana" w:hint="default"/>
          <w:b w:val="0"/>
          <w:bCs w:val="0"/>
          <w:sz w:val="20"/>
          <w:szCs w:val="20"/>
          <w:rtl w:val="0"/>
          <w:lang w:val="en-US"/>
        </w:rPr>
        <w:t>í</w:t>
      </w:r>
      <w:r>
        <w:rPr>
          <w:rStyle w:val="None"/>
          <w:rFonts w:ascii="Verdana" w:hAnsi="Verdana"/>
          <w:b w:val="0"/>
          <w:bCs w:val="0"/>
          <w:sz w:val="20"/>
          <w:szCs w:val="20"/>
          <w:rtl w:val="0"/>
          <w:lang w:val="it-IT"/>
        </w:rPr>
        <w:t>a, D., Madella, M., Wilson, J., Cort</w:t>
      </w:r>
      <w:r>
        <w:rPr>
          <w:rStyle w:val="None"/>
          <w:rFonts w:ascii="Verdana" w:hAnsi="Verdana" w:hint="default"/>
          <w:b w:val="0"/>
          <w:bCs w:val="0"/>
          <w:sz w:val="20"/>
          <w:szCs w:val="20"/>
          <w:rtl w:val="0"/>
          <w:lang w:val="fr-FR"/>
        </w:rPr>
        <w:t>é</w:t>
      </w:r>
      <w:r>
        <w:rPr>
          <w:rStyle w:val="None"/>
          <w:rFonts w:ascii="Verdana" w:hAnsi="Verdana"/>
          <w:b w:val="0"/>
          <w:bCs w:val="0"/>
          <w:sz w:val="20"/>
          <w:szCs w:val="20"/>
          <w:rtl w:val="0"/>
          <w:lang w:val="en-US"/>
        </w:rPr>
        <w:t xml:space="preserve">s, </w:t>
      </w:r>
      <w:r>
        <w:rPr>
          <w:rStyle w:val="None"/>
          <w:rFonts w:ascii="Verdana" w:hAnsi="Verdana" w:hint="default"/>
          <w:b w:val="0"/>
          <w:bCs w:val="0"/>
          <w:sz w:val="20"/>
          <w:szCs w:val="20"/>
          <w:rtl w:val="0"/>
          <w:lang w:val="en-US"/>
        </w:rPr>
        <w:t>Á</w:t>
      </w:r>
      <w:r>
        <w:rPr>
          <w:rStyle w:val="None"/>
          <w:rFonts w:ascii="Verdana" w:hAnsi="Verdana"/>
          <w:b w:val="0"/>
          <w:bCs w:val="0"/>
          <w:sz w:val="20"/>
          <w:szCs w:val="20"/>
          <w:rtl w:val="0"/>
          <w:lang w:val="en-US"/>
        </w:rPr>
        <w:t>. F., &amp; Rosas, A. (2012). Neanderthal medics? Evidence for food, cooking, and medicinal plants entrapped in dental calculus. Naturwissenschaften, 99(8), 617</w:t>
      </w:r>
      <w:r>
        <w:rPr>
          <w:rStyle w:val="None"/>
          <w:rFonts w:ascii="Verdana" w:hAnsi="Verdana" w:hint="default"/>
          <w:b w:val="0"/>
          <w:bCs w:val="0"/>
          <w:sz w:val="20"/>
          <w:szCs w:val="20"/>
          <w:rtl w:val="0"/>
          <w:lang w:val="en-US"/>
        </w:rPr>
        <w:t>–</w:t>
      </w:r>
      <w:r>
        <w:rPr>
          <w:rStyle w:val="None"/>
          <w:rFonts w:ascii="Verdana" w:hAnsi="Verdana"/>
          <w:b w:val="0"/>
          <w:bCs w:val="0"/>
          <w:sz w:val="20"/>
          <w:szCs w:val="20"/>
          <w:rtl w:val="0"/>
          <w:lang w:val="en-US"/>
        </w:rPr>
        <w:t>626.</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Hayden, B. (2014). The Power of Feasts: From Prehistory to the Present. Cambridge University Press.</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Lewis-Williams, D. (2002). The Mind in the Cave: Consciousness and the Origins of Art. Thames &amp; Hudson.</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L</w:t>
      </w:r>
      <w:r>
        <w:rPr>
          <w:rStyle w:val="None"/>
          <w:rFonts w:ascii="Verdana" w:hAnsi="Verdana" w:hint="default"/>
          <w:b w:val="0"/>
          <w:bCs w:val="0"/>
          <w:sz w:val="20"/>
          <w:szCs w:val="20"/>
          <w:rtl w:val="0"/>
          <w:lang w:val="fr-FR"/>
        </w:rPr>
        <w:t>é</w:t>
      </w:r>
      <w:r>
        <w:rPr>
          <w:rStyle w:val="None"/>
          <w:rFonts w:ascii="Verdana" w:hAnsi="Verdana"/>
          <w:b w:val="0"/>
          <w:bCs w:val="0"/>
          <w:sz w:val="20"/>
          <w:szCs w:val="20"/>
          <w:rtl w:val="0"/>
          <w:lang w:val="en-US"/>
        </w:rPr>
        <w:t>vi-Strauss, C. (1969). The Raw and the Cooked (J. Weightman &amp; D. Weightman, Trans.). Harper &amp; Row. (Original work published 1964)</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Liu, L., Wang, J., Rosenberg, D., Zhao, H., Lengyel, G., &amp; Nadel, D. (2018). Fermented beverage and food storage in 13,000-year-old stone mortars at Raqefet Cave, Israel. Journal of Archaeological Science: Reports, 21, 783</w:t>
      </w:r>
      <w:r>
        <w:rPr>
          <w:rStyle w:val="None"/>
          <w:rFonts w:ascii="Verdana" w:hAnsi="Verdana" w:hint="default"/>
          <w:b w:val="0"/>
          <w:bCs w:val="0"/>
          <w:sz w:val="20"/>
          <w:szCs w:val="20"/>
          <w:rtl w:val="0"/>
          <w:lang w:val="en-US"/>
        </w:rPr>
        <w:t>–</w:t>
      </w:r>
      <w:r>
        <w:rPr>
          <w:rStyle w:val="None"/>
          <w:rFonts w:ascii="Verdana" w:hAnsi="Verdana"/>
          <w:b w:val="0"/>
          <w:bCs w:val="0"/>
          <w:sz w:val="20"/>
          <w:szCs w:val="20"/>
          <w:rtl w:val="0"/>
          <w:lang w:val="en-US"/>
        </w:rPr>
        <w:t>793.</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Pollan, M. (2013). Cooked: A Natural History of Transformation. Penguin Press.</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Roebroeks, W., &amp; Villa, P. (2011). On the earliest evidence for habitual use of fire in Europe. Proceedings of the National Academy of Sciences, 108(13), 5209</w:t>
      </w:r>
      <w:r>
        <w:rPr>
          <w:rStyle w:val="None"/>
          <w:rFonts w:ascii="Verdana" w:hAnsi="Verdana" w:hint="default"/>
          <w:b w:val="0"/>
          <w:bCs w:val="0"/>
          <w:sz w:val="20"/>
          <w:szCs w:val="20"/>
          <w:rtl w:val="0"/>
          <w:lang w:val="en-US"/>
        </w:rPr>
        <w:t>–</w:t>
      </w:r>
      <w:r>
        <w:rPr>
          <w:rStyle w:val="None"/>
          <w:rFonts w:ascii="Verdana" w:hAnsi="Verdana"/>
          <w:b w:val="0"/>
          <w:bCs w:val="0"/>
          <w:sz w:val="20"/>
          <w:szCs w:val="20"/>
          <w:rtl w:val="0"/>
          <w:lang w:val="en-US"/>
        </w:rPr>
        <w:t>5214.</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Shipman, P. (2010). The animal connection and human evolution. Current Anthropology, 51(4), 519</w:t>
      </w:r>
      <w:r>
        <w:rPr>
          <w:rStyle w:val="None"/>
          <w:rFonts w:ascii="Verdana" w:hAnsi="Verdana" w:hint="default"/>
          <w:b w:val="0"/>
          <w:bCs w:val="0"/>
          <w:sz w:val="20"/>
          <w:szCs w:val="20"/>
          <w:rtl w:val="0"/>
          <w:lang w:val="en-US"/>
        </w:rPr>
        <w:t>–</w:t>
      </w:r>
      <w:r>
        <w:rPr>
          <w:rStyle w:val="None"/>
          <w:rFonts w:ascii="Verdana" w:hAnsi="Verdana"/>
          <w:b w:val="0"/>
          <w:bCs w:val="0"/>
          <w:sz w:val="20"/>
          <w:szCs w:val="20"/>
          <w:rtl w:val="0"/>
          <w:lang w:val="en-US"/>
        </w:rPr>
        <w:t>538.</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Wrangham, R. (2009). Catching Fire: How Cooking Made Us Human. Basic Books.</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Wrangham, R., &amp; Carmody, R. (2010). Human adaptation to the control of fire. Evolutionary Anthropology, 19(5), 187</w:t>
      </w:r>
      <w:r>
        <w:rPr>
          <w:rStyle w:val="None"/>
          <w:rFonts w:ascii="Verdana" w:hAnsi="Verdana" w:hint="default"/>
          <w:b w:val="0"/>
          <w:bCs w:val="0"/>
          <w:sz w:val="20"/>
          <w:szCs w:val="20"/>
          <w:rtl w:val="0"/>
          <w:lang w:val="en-US"/>
        </w:rPr>
        <w:t>–</w:t>
      </w:r>
      <w:r>
        <w:rPr>
          <w:rStyle w:val="None"/>
          <w:rFonts w:ascii="Verdana" w:hAnsi="Verdana"/>
          <w:b w:val="0"/>
          <w:bCs w:val="0"/>
          <w:sz w:val="20"/>
          <w:szCs w:val="20"/>
          <w:rtl w:val="0"/>
          <w:lang w:val="en-US"/>
        </w:rPr>
        <w:t>199.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jc w:val="left"/>
        <w:rPr>
          <w:outline w:val="0"/>
          <w:color w:val="131313"/>
          <w:sz w:val="20"/>
          <w:szCs w:val="20"/>
          <w:shd w:val="clear" w:color="auto" w:fill="ffffff"/>
          <w14:textFill>
            <w14:solidFill>
              <w14:srgbClr w14:val="141413"/>
            </w14:solidFill>
          </w14:textFill>
        </w:rPr>
      </w:pPr>
      <w:r>
        <w:rPr>
          <w:outline w:val="0"/>
          <w:color w:val="131313"/>
          <w:sz w:val="20"/>
          <w:szCs w:val="20"/>
          <w:shd w:val="clear" w:color="auto" w:fill="ffffff"/>
          <w:rtl w:val="0"/>
          <w14:textFill>
            <w14:solidFill>
              <w14:srgbClr w14:val="141413"/>
            </w14:solidFill>
          </w14:textFill>
        </w:rPr>
        <w:t xml:space="preserve">Zubova, A., Kolobova, K., Zotkina, L., Shalagina, A., Viola, B., Shunkov, M., &amp; Derevianko,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jc w:val="left"/>
        <w:rPr>
          <w:outline w:val="0"/>
          <w:color w:val="131313"/>
          <w:sz w:val="20"/>
          <w:szCs w:val="20"/>
          <w:shd w:val="clear" w:color="auto" w:fill="ffffff"/>
          <w14:textFill>
            <w14:solidFill>
              <w14:srgbClr w14:val="141413"/>
            </w14:solidFill>
          </w14:textFill>
        </w:rPr>
      </w:pPr>
      <w:r>
        <w:rPr>
          <w:outline w:val="0"/>
          <w:color w:val="131313"/>
          <w:sz w:val="20"/>
          <w:szCs w:val="20"/>
          <w:shd w:val="clear" w:color="auto" w:fill="ffffff"/>
          <w:rtl w:val="0"/>
          <w:lang w:val="en-US"/>
          <w14:textFill>
            <w14:solidFill>
              <w14:srgbClr w14:val="141413"/>
            </w14:solidFill>
          </w14:textFill>
        </w:rPr>
        <w:t xml:space="preserve">A. (2026). Earliest evidence for invasive mitigation of dental caries by Neanderthals. PLOS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jc w:val="left"/>
        <w:rPr>
          <w:rStyle w:val="None"/>
          <w:rFonts w:ascii="Verdana" w:cs="Verdana" w:hAnsi="Verdana" w:eastAsia="Verdana"/>
          <w:outline w:val="0"/>
          <w:color w:val="131313"/>
          <w:sz w:val="20"/>
          <w:szCs w:val="20"/>
          <w:shd w:val="clear" w:color="auto" w:fill="ffffff"/>
          <w14:textFill>
            <w14:solidFill>
              <w14:srgbClr w14:val="141413"/>
            </w14:solidFill>
          </w14:textFill>
        </w:rPr>
      </w:pPr>
      <w:r>
        <w:rPr>
          <w:outline w:val="0"/>
          <w:color w:val="131313"/>
          <w:sz w:val="20"/>
          <w:szCs w:val="20"/>
          <w:shd w:val="clear" w:color="auto" w:fill="ffffff"/>
          <w:rtl w:val="0"/>
          <w:lang w:val="en-US"/>
          <w14:textFill>
            <w14:solidFill>
              <w14:srgbClr w14:val="141413"/>
            </w14:solidFill>
          </w14:textFill>
        </w:rPr>
        <w:t>One. https://doi.org/10.1371/journal.pone.0347662</w:t>
      </w: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r>
        <w:rPr>
          <w:rStyle w:val="None"/>
          <w:rFonts w:ascii="Verdana" w:hAnsi="Verdana" w:hint="default"/>
          <w:b w:val="0"/>
          <w:bCs w:val="0"/>
          <w:i w:val="1"/>
          <w:iCs w:val="1"/>
          <w:sz w:val="20"/>
          <w:szCs w:val="20"/>
          <w:rtl w:val="0"/>
          <w:lang w:val="de-DE"/>
        </w:rPr>
        <w:t xml:space="preserve">© </w:t>
      </w:r>
      <w:r>
        <w:rPr>
          <w:rStyle w:val="None"/>
          <w:rFonts w:ascii="Verdana" w:hAnsi="Verdana"/>
          <w:b w:val="0"/>
          <w:bCs w:val="0"/>
          <w:i w:val="1"/>
          <w:iCs w:val="1"/>
          <w:sz w:val="20"/>
          <w:szCs w:val="20"/>
          <w:rtl w:val="0"/>
          <w:lang w:val="en-US"/>
        </w:rPr>
        <w:t>2026 Anthony Vondoom. Published under Creative Commons Attribution 4.0 International (CC BY 4.0). You are free to share and adapt this material for any purpose, provided appropriate credit is given.</w:t>
      </w:r>
    </w:p>
    <w:p>
      <w:pPr>
        <w:pStyle w:val="Heading"/>
      </w:pPr>
      <w:r>
        <w:rPr>
          <w:rStyle w:val="None"/>
          <w:rFonts w:ascii="Verdana" w:hAnsi="Verdana"/>
          <w:b w:val="0"/>
          <w:bCs w:val="0"/>
          <w:i w:val="1"/>
          <w:iCs w:val="1"/>
          <w:sz w:val="20"/>
          <w:szCs w:val="20"/>
          <w:rtl w:val="0"/>
          <w:lang w:val="en-US"/>
        </w:rPr>
        <w:t xml:space="preserve">Correspondence: anthony.vondoom@outlook.com | </w:t>
      </w:r>
      <w:r>
        <w:rPr>
          <w:rStyle w:val="None"/>
          <w:rFonts w:ascii="Verdana" w:hAnsi="Verdana"/>
          <w:b w:val="0"/>
          <w:bCs w:val="0"/>
          <w:i w:val="1"/>
          <w:iCs w:val="1"/>
          <w:sz w:val="20"/>
          <w:szCs w:val="20"/>
          <w:rtl w:val="0"/>
          <w:lang w:val="it-IT"/>
        </w:rPr>
        <w:t>www.dssm.academy</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sz w:val="20"/>
        <w:szCs w:val="20"/>
        <w:rtl w:val="0"/>
        <w:lang w:val="en-US"/>
      </w:rPr>
      <w:t xml:space="preserve">Vondoom, A. (2026) </w:t>
    </w:r>
    <w:r>
      <w:rPr>
        <w:rFonts w:ascii="Arial" w:hAnsi="Arial" w:hint="default"/>
        <w:sz w:val="20"/>
        <w:szCs w:val="20"/>
        <w:rtl w:val="0"/>
        <w:lang w:val="en-US"/>
      </w:rPr>
      <w:t xml:space="preserve">— </w:t>
    </w:r>
    <w:r>
      <w:rPr>
        <w:rFonts w:ascii="Arial" w:hAnsi="Arial"/>
        <w:sz w:val="20"/>
        <w:szCs w:val="20"/>
        <w:rtl w:val="0"/>
        <w:lang w:val="en-US"/>
      </w:rPr>
      <w:t xml:space="preserve">Before the Monument   |   Page </w:t>
    </w:r>
    <w:r>
      <w:rPr>
        <w:rFonts w:ascii="Arial" w:cs="Arial" w:hAnsi="Arial" w:eastAsia="Arial"/>
        <w:sz w:val="20"/>
        <w:szCs w:val="20"/>
      </w:rPr>
      <w:fldChar w:fldCharType="begin" w:fldLock="0"/>
    </w:r>
    <w:r>
      <w:rPr>
        <w:rFonts w:ascii="Arial" w:cs="Arial" w:hAnsi="Arial" w:eastAsia="Arial"/>
        <w:sz w:val="20"/>
        <w:szCs w:val="20"/>
      </w:rPr>
      <w:instrText xml:space="preserve"> PAGE </w:instrText>
    </w:r>
    <w:r>
      <w:rPr>
        <w:rFonts w:ascii="Arial" w:cs="Arial" w:hAnsi="Arial" w:eastAsia="Arial"/>
        <w:sz w:val="20"/>
        <w:szCs w:val="20"/>
      </w:rPr>
      <w:fldChar w:fldCharType="separate" w:fldLock="0"/>
    </w:r>
    <w:r>
      <w:rPr>
        <w:rFonts w:ascii="Arial" w:cs="Arial" w:hAnsi="Arial" w:eastAsia="Arial"/>
        <w:sz w:val="20"/>
        <w:szCs w:val="20"/>
      </w:rPr>
    </w:r>
    <w:r>
      <w:rPr>
        <w:rFonts w:ascii="Arial" w:cs="Arial" w:hAnsi="Arial" w:eastAsia="Arial"/>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Verdana" w:cs="Verdana" w:hAnsi="Verdana" w:eastAsia="Verdana"/>
      <w:outline w:val="0"/>
      <w:color w:val="0563c1"/>
      <w:u w:val="single" w:color="0563c1"/>
      <w:lang w:val="en-US"/>
      <w14:textFill>
        <w14:solidFill>
          <w14:srgbClr w14:val="0563C1"/>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400" w:after="20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