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sz w:val="36"/>
          <w:szCs w:val="36"/>
          <w:rtl w:val="0"/>
          <w:lang w:val="en-US"/>
        </w:rPr>
        <w:t>PROCEDURE WITHOUT PREFRONTAL DOMINANCE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i w:val="1"/>
          <w:iCs w:val="1"/>
          <w:sz w:val="28"/>
          <w:szCs w:val="28"/>
          <w:rtl w:val="0"/>
          <w:lang w:val="en-US"/>
        </w:rPr>
        <w:t>Neanderthal Dental Surgery at 59,000 BP, Embodied Transmission,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i w:val="1"/>
          <w:iCs w:val="1"/>
          <w:sz w:val="28"/>
          <w:szCs w:val="28"/>
          <w:rtl w:val="0"/>
          <w:lang w:val="en-US"/>
        </w:rPr>
        <w:t>and the Demographic Absorption Hypothesis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sz w:val="24"/>
          <w:szCs w:val="24"/>
          <w:rtl w:val="0"/>
          <w:lang w:val="en-US"/>
        </w:rPr>
        <w:t>Anthony Vondoom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r>
        <w:rPr>
          <w:rFonts w:ascii="Verdana" w:hAnsi="Verdana"/>
          <w:sz w:val="24"/>
          <w:szCs w:val="24"/>
          <w:rtl w:val="0"/>
          <w:lang w:val="en-US"/>
        </w:rPr>
        <w:t>Independent Researcher in Cognitive Archaeology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sz w:val="24"/>
          <w:szCs w:val="24"/>
        </w:rPr>
      </w:pPr>
      <w:r>
        <w:rPr>
          <w:rFonts w:ascii="Verdana" w:hAnsi="Verdana"/>
          <w:sz w:val="24"/>
          <w:szCs w:val="24"/>
          <w:rtl w:val="0"/>
          <w:lang w:val="it-IT"/>
        </w:rPr>
        <w:t>Sirmione, Italy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rPr>
      </w:pPr>
      <w:r>
        <w:rPr>
          <w:rFonts w:ascii="Verdana" w:hAnsi="Verdana"/>
          <w:i w:val="1"/>
          <w:iCs w:val="1"/>
          <w:rtl w:val="0"/>
          <w:lang w:val="en-US"/>
        </w:rPr>
        <w:t>AI Disclosure: This paper was developed in collaboration with Claude (Anthropic) as a research and drafting partner. All intellectual framing, theoretical argumentation, and editorial decisions are those of the author.</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i w:val="1"/>
          <w:iCs w:val="1"/>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8"/>
          <w:szCs w:val="28"/>
        </w:rPr>
      </w:pPr>
      <w:r>
        <w:rPr>
          <w:rFonts w:ascii="Verdana" w:hAnsi="Verdana"/>
          <w:sz w:val="28"/>
          <w:szCs w:val="28"/>
          <w:rtl w:val="0"/>
          <w:lang w:val="de-DE"/>
        </w:rPr>
        <w:t>Abstract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rtl w:val="0"/>
          <w:lang w:val="en-US"/>
        </w:rPr>
        <w:t xml:space="preserve">A 59,000-year-old Neanderthal molar recovered from Chagyrskaya Cave, Siberia, bears strong experimental evidence of deliberate dental drilling using locally sourced jasper tools. The patient survived the procedure and continued chewing with the treated tooth, constituting the oldest documented instance of invasive medical intervention in the hominin fossil record </w:t>
      </w:r>
      <w:r>
        <w:rPr>
          <w:rFonts w:ascii="Verdana" w:hAnsi="Verdana" w:hint="default"/>
          <w:rtl w:val="0"/>
          <w:lang w:val="en-US"/>
        </w:rPr>
        <w:t xml:space="preserve">— </w:t>
      </w:r>
      <w:r>
        <w:rPr>
          <w:rFonts w:ascii="Verdana" w:hAnsi="Verdana"/>
          <w:rtl w:val="0"/>
          <w:lang w:val="en-US"/>
        </w:rPr>
        <w:t>predating the earliest comparable evidence in Homo sapiens by more than 40,000 years. When situated alongside the Krapina mechanical self-treatment record (130,000 BP, Croatia) and the El Sidr</w:t>
      </w:r>
      <w:r>
        <w:rPr>
          <w:rFonts w:ascii="Verdana" w:hAnsi="Verdana" w:hint="default"/>
          <w:rtl w:val="0"/>
          <w:lang w:val="es-ES_tradnl"/>
        </w:rPr>
        <w:t>ó</w:t>
      </w:r>
      <w:r>
        <w:rPr>
          <w:rFonts w:ascii="Verdana" w:hAnsi="Verdana"/>
          <w:rtl w:val="0"/>
          <w:lang w:val="en-US"/>
        </w:rPr>
        <w:t>n chemical self-medication evidence (48,000 BP, Spain), the three sites establish a geographically distributed, multi-modal pattern of Neanderthal dental knowledge spanning the full east-west extent of the species' range over 82,000 years.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rtl w:val="0"/>
          <w:lang w:val="en-US"/>
        </w:rPr>
        <w:t xml:space="preserve">The Chagyrskaya finding creates a neurological paradox within the standard cognitive archaeology framework: Neanderthals possessed a relatively underdeveloped prefrontal cortex compared to contemporary H. sapiens, yet executed complex two-person invasive medical interventions with demonstrated functional outcomes. This paper resolves the paradox by arguing that procedural knowledge transmission does not require modern prefrontal architecture but operates through embodied, socially embedded practice </w:t>
      </w:r>
      <w:r>
        <w:rPr>
          <w:rFonts w:ascii="Verdana" w:hAnsi="Verdana" w:hint="default"/>
          <w:rtl w:val="0"/>
          <w:lang w:val="en-US"/>
        </w:rPr>
        <w:t xml:space="preserve">— </w:t>
      </w:r>
      <w:r>
        <w:rPr>
          <w:rFonts w:ascii="Verdana" w:hAnsi="Verdana"/>
          <w:rtl w:val="0"/>
          <w:lang w:val="en-US"/>
        </w:rPr>
        <w:t>a substrate operational in Neanderthals 100,000 years before the H. sapiens symbolic explosion.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rtl w:val="0"/>
          <w:lang w:val="en-US"/>
        </w:rPr>
        <w:t xml:space="preserve">The deeper implication concerns the Neanderthal "extinction" narrative. A species that performed dental surgery, transmitted technique across 71,000 years, and maintained social infrastructure sufficient for two-person medical procedures was not cognitively outcompeted. The genetic record confirms this: Neanderthals did not disappear </w:t>
      </w:r>
      <w:r>
        <w:rPr>
          <w:rFonts w:ascii="Verdana" w:hAnsi="Verdana" w:hint="default"/>
          <w:rtl w:val="0"/>
          <w:lang w:val="en-US"/>
        </w:rPr>
        <w:t xml:space="preserve">— </w:t>
      </w:r>
      <w:r>
        <w:rPr>
          <w:rFonts w:ascii="Verdana" w:hAnsi="Verdana"/>
          <w:rtl w:val="0"/>
          <w:lang w:val="en-US"/>
        </w:rPr>
        <w:t>they were absorbed. All non-African modern humans carry one to four percent Neanderthal DNA, the indelible trace of multiple admixture events across overlapping territory. What archaeology records as Neanderthal extinction is better understood as demographic absorption: a population with an effective size of approximately 3,000</w:t>
      </w:r>
      <w:r>
        <w:rPr>
          <w:rFonts w:ascii="Verdana" w:hAnsi="Verdana" w:hint="default"/>
          <w:rtl w:val="0"/>
        </w:rPr>
        <w:t>–</w:t>
      </w:r>
      <w:r>
        <w:rPr>
          <w:rFonts w:ascii="Verdana" w:hAnsi="Verdana"/>
          <w:rtl w:val="0"/>
          <w:lang w:val="en-US"/>
        </w:rPr>
        <w:t>12,000 individuals encountered an expanding H. sapiens wave numbering in the tens of thousands, and was progressively incorporated into it. The dental evidence does not merely push back a timeline. It dismantles the cognitive basis for the extinction narrative and forces the demographic one forward.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rtl w:val="0"/>
          <w:lang w:val="en-US"/>
        </w:rPr>
        <w:t>The findings are interpreted through the Deep Symbolic Systems Model (DSSM), which argues that procedural knowledge transmission operates through repeated embodied practices that stabilize across generations, with monumentality and writing as late-stage externalizations of transmission systems already operational long before formal notation (Vondoom, 2026r; Vondoom, 2026o).</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rtl w:val="0"/>
          <w:lang w:val="en-US"/>
        </w:rPr>
        <w:t>Keywords: Chagyrskaya Cave; Neanderthal dental surgery; procedural transmission; Deep Symbolic Systems Model; demographic absorption; hominin extinction; working memory; EWMH; embodied cognition; admixture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numPr>
          <w:ilvl w:val="0"/>
          <w:numId w:val="2"/>
        </w:numPr>
        <w:rPr>
          <w:rFonts w:ascii="Verdana" w:hAnsi="Verdana"/>
          <w:sz w:val="28"/>
          <w:szCs w:val="28"/>
          <w:lang w:val="fr-FR"/>
        </w:rPr>
      </w:pPr>
      <w:r>
        <w:rPr>
          <w:rFonts w:ascii="Verdana" w:hAnsi="Verdana"/>
          <w:sz w:val="28"/>
          <w:szCs w:val="28"/>
          <w:rtl w:val="0"/>
          <w:lang w:val="fr-FR"/>
        </w:rPr>
        <w:t>Introductio</w:t>
      </w:r>
      <w:r>
        <w:rPr>
          <w:rFonts w:ascii="Verdana" w:hAnsi="Verdana"/>
          <w:sz w:val="28"/>
          <w:szCs w:val="28"/>
          <w:rtl w:val="0"/>
          <w:lang w:val="it-IT"/>
        </w:rPr>
        <w:t>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 xml:space="preserve">In May 2026, Zubova et al. published findings in PLOS One confirming that a lower left second molar originally unearthed in 2016 and recovered from Chagyrskaya Cave in the Altai Mountains of Siberia </w:t>
      </w:r>
      <w:r>
        <w:rPr>
          <w:rFonts w:ascii="Verdana" w:hAnsi="Verdana" w:hint="default"/>
          <w:sz w:val="24"/>
          <w:szCs w:val="24"/>
          <w:rtl w:val="0"/>
          <w:lang w:val="en-US"/>
        </w:rPr>
        <w:t xml:space="preserve">— </w:t>
      </w:r>
      <w:r>
        <w:rPr>
          <w:rFonts w:ascii="Verdana" w:hAnsi="Verdana"/>
          <w:sz w:val="24"/>
          <w:szCs w:val="24"/>
          <w:rtl w:val="0"/>
          <w:lang w:val="en-US"/>
        </w:rPr>
        <w:t xml:space="preserve">designated Chagyrskaya 64 and dated to approximately 59,000 years before present </w:t>
      </w:r>
      <w:r>
        <w:rPr>
          <w:rFonts w:ascii="Verdana" w:hAnsi="Verdana" w:hint="default"/>
          <w:sz w:val="24"/>
          <w:szCs w:val="24"/>
          <w:rtl w:val="0"/>
          <w:lang w:val="en-US"/>
        </w:rPr>
        <w:t xml:space="preserve">— </w:t>
      </w:r>
      <w:r>
        <w:rPr>
          <w:rFonts w:ascii="Verdana" w:hAnsi="Verdana"/>
          <w:sz w:val="24"/>
          <w:szCs w:val="24"/>
          <w:rtl w:val="0"/>
          <w:lang w:val="en-US"/>
        </w:rPr>
        <w:t>bore unmistakable evidence of deliberate dental drilling. The tooth belonged to an adult Neanderthal. The drilling was performed using a sharp jasper perforator consistent with tools found at the same stratigraphic level. The cavity penetrates from the occlusal surface through the crown and into the pulp chamber. Post-operative wear marks on the treated surface confirm that the individual survived the procedure and used the tooth for normal mastication afterward.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sz w:val="24"/>
          <w:szCs w:val="24"/>
          <w:rtl w:val="0"/>
          <w:lang w:val="en-US"/>
        </w:rPr>
        <w:t xml:space="preserve">This finding is the oldest documented instance of invasive medical intervention in the entire hominin fossil record. It predates the previous record </w:t>
      </w:r>
      <w:r>
        <w:rPr>
          <w:rFonts w:ascii="Verdana" w:hAnsi="Verdana" w:hint="default"/>
          <w:sz w:val="24"/>
          <w:szCs w:val="24"/>
          <w:rtl w:val="0"/>
          <w:lang w:val="en-US"/>
        </w:rPr>
        <w:t xml:space="preserve">— </w:t>
      </w:r>
      <w:r>
        <w:rPr>
          <w:rFonts w:ascii="Verdana" w:hAnsi="Verdana"/>
          <w:sz w:val="24"/>
          <w:szCs w:val="24"/>
          <w:rtl w:val="0"/>
          <w:lang w:val="en-US"/>
        </w:rPr>
        <w:t xml:space="preserve">a H. sapiens specimen from Villabruna, northern Italy, dated to approximately 14,000 BP </w:t>
      </w:r>
      <w:r>
        <w:rPr>
          <w:rFonts w:ascii="Verdana" w:hAnsi="Verdana" w:hint="default"/>
          <w:sz w:val="24"/>
          <w:szCs w:val="24"/>
          <w:rtl w:val="0"/>
          <w:lang w:val="en-US"/>
        </w:rPr>
        <w:t xml:space="preserve">— </w:t>
      </w:r>
      <w:r>
        <w:rPr>
          <w:rFonts w:ascii="Verdana" w:hAnsi="Verdana"/>
          <w:sz w:val="24"/>
          <w:szCs w:val="24"/>
          <w:rtl w:val="0"/>
          <w:lang w:val="en-US"/>
        </w:rPr>
        <w:t>by more than 40,000 years. It is the first evidence of dental surgery in any species other than Homo sapiens.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The paradox it creates is neurological rather than merely chronological. Performing deliberate invasive dental work requires capabilities mainstream paleoanthropology has consistently associated with the expanded prefrontal and parietal architecture of anatomically modern H. sapiens: suppression of acute trigeminal pain signals, prospective cognition sufficient to tolerate present suffering in anticipation of future relief, fine motor control under duress, and transmission of complex procedural technique between individuals. Neanderthals possessed relatively less development in these circuits compared to their H. sapiens contemporaries. Yet they performed the procedure. The patient endured it. The outcome was functional.</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 xml:space="preserve">This paper makes two arguments that follow from this evidence. The first concerns cognitive architecture: the procedural knowledge transmission system that enabled the Chagyrskaya intervention was not a product of modern prefrontal development. It was older, deeper, and more robust than the discontinuity model has allowed. The interpretive framework is the Deep Symbolic Systems Model (DSSM), which proposes that complex knowledge transmission operates through repeated embodied practices that stabilize across generations </w:t>
      </w:r>
      <w:r>
        <w:rPr>
          <w:rFonts w:ascii="Verdana" w:hAnsi="Verdana" w:hint="default"/>
          <w:sz w:val="24"/>
          <w:szCs w:val="24"/>
          <w:rtl w:val="0"/>
          <w:lang w:val="en-US"/>
        </w:rPr>
        <w:t xml:space="preserve">— </w:t>
      </w:r>
      <w:r>
        <w:rPr>
          <w:rFonts w:ascii="Verdana" w:hAnsi="Verdana"/>
          <w:sz w:val="24"/>
          <w:szCs w:val="24"/>
          <w:rtl w:val="0"/>
          <w:lang w:val="en-US"/>
        </w:rPr>
        <w:t>with monumentality and writing as late-stage externalizations of transmission systems already operational in Neanderthals (Vondoom, 2026r; Vondoom, 2026o).</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 xml:space="preserve">The second argument concerns the Neanderthal "extinction" narrative. A species capable of dental surgery, with the social infrastructure to support a two-person medical procedure and the knowledge transmission system to propagate technique across 71,000 years, was not cognitively outcompeted. The genetic record confirms this directly: Neanderthals did not go extinct. They merged with a numerically larger population. What archaeology records as disappearance is better understood as demographic absorption </w:t>
      </w:r>
      <w:r>
        <w:rPr>
          <w:rFonts w:ascii="Verdana" w:hAnsi="Verdana" w:hint="default"/>
          <w:sz w:val="24"/>
          <w:szCs w:val="24"/>
          <w:rtl w:val="0"/>
          <w:lang w:val="en-US"/>
        </w:rPr>
        <w:t xml:space="preserve">— </w:t>
      </w:r>
      <w:r>
        <w:rPr>
          <w:rFonts w:ascii="Verdana" w:hAnsi="Verdana"/>
          <w:sz w:val="24"/>
          <w:szCs w:val="24"/>
          <w:rtl w:val="0"/>
          <w:lang w:val="en-US"/>
        </w:rPr>
        <w:t>a predictable outcome when a small but cognitively sophisticated population encounters an expanding one that is orders of magnitude larger. The dental evidence is not peripheral to this argument. It is its foundation.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8"/>
          <w:szCs w:val="28"/>
        </w:rPr>
      </w:pPr>
      <w:r>
        <w:rPr>
          <w:rFonts w:ascii="Verdana" w:hAnsi="Verdana"/>
          <w:sz w:val="28"/>
          <w:szCs w:val="28"/>
          <w:rtl w:val="0"/>
          <w:lang w:val="en-US"/>
        </w:rPr>
        <w:t>2. Cranial Architecture at 59,000 BP: A Comparative Framework</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At approximately 59,000 BP, two hominin lineages coexisted across Eurasia. In the Altai region of Siberia, Neanderthal populations occupied cave systems and employed Micoquian stone tool traditions. Anatomically modern H. sapiens populations had dispersed from Africa and were present across South Asia, the Levant, and parts of Europe. Their cranial architectures were measurably distinct.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sz w:val="24"/>
          <w:szCs w:val="24"/>
          <w:rtl w:val="0"/>
          <w:lang w:val="en-US"/>
        </w:rPr>
        <w:t xml:space="preserve">Neanderthal brains were large </w:t>
      </w:r>
      <w:r>
        <w:rPr>
          <w:rFonts w:ascii="Verdana" w:hAnsi="Verdana" w:hint="default"/>
          <w:sz w:val="24"/>
          <w:szCs w:val="24"/>
          <w:rtl w:val="0"/>
          <w:lang w:val="en-US"/>
        </w:rPr>
        <w:t xml:space="preserve">— </w:t>
      </w:r>
      <w:r>
        <w:rPr>
          <w:rFonts w:ascii="Verdana" w:hAnsi="Verdana"/>
          <w:sz w:val="24"/>
          <w:szCs w:val="24"/>
          <w:rtl w:val="0"/>
          <w:lang w:val="en-US"/>
        </w:rPr>
        <w:t>mean cranial volume estimates range from approximately 1,410 to 1,500 cc, marginally exceeding the H. sapiens mean of approximately 1,350 cc. Volume alone does not determine cognitive architecture. The critical difference lies in brain shape. Using CT scans of seven Neanderthal fossil skulls and nineteen modern human skulls to generate virtual endocasts, Gunz et al. (2019) established a quantitative globularity index validated against structural MRI data from approximately 4,500 living humans. Their analysis confirmed that Neanderthal endocrania are consistently elongated relative to the globular shape characteristic of H. sapiens. CT comparisons highlighted two specific features absent or reduced in Neanderthals: an enlarged posterior cranial fossa housing the cerebellum, and bulging of the parietal bones. Neanderthal crania are elongated and low-vaulted, with pronounced occipital buns reflecting enlarged occipital lobes consistent with visuospatial and sensorimotor dominance. The parietal lobes were relatively smaller and less projecting (Bastir et al., 2020).</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 xml:space="preserve">Globularity is not an aesthetic distinction. The parietal lobes house the precuneus and posterior parietal cortex, which together form the core of the parietal-frontal working memory network. This network underlies the capacity to hold multiple representations simultaneously, update them in response to incoming information, and bind them into coherent plans that extend across time. The angular gyrus, located at the junction of the temporal and parietal lobes and more developed in H. sapiens, supports relational binding </w:t>
      </w:r>
      <w:r>
        <w:rPr>
          <w:rFonts w:ascii="Verdana" w:hAnsi="Verdana" w:hint="default"/>
          <w:sz w:val="24"/>
          <w:szCs w:val="24"/>
          <w:rtl w:val="0"/>
          <w:lang w:val="en-US"/>
        </w:rPr>
        <w:t xml:space="preserve">— </w:t>
      </w:r>
      <w:r>
        <w:rPr>
          <w:rFonts w:ascii="Verdana" w:hAnsi="Verdana"/>
          <w:sz w:val="24"/>
          <w:szCs w:val="24"/>
          <w:rtl w:val="0"/>
          <w:lang w:val="en-US"/>
        </w:rPr>
        <w:t>connecting concepts, symbols, and causal chains across modalities.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 xml:space="preserve">The cerebellar difference is particularly significant. Using computational neuroanatomy to reconstruct Neanderthal brain shape, Kochiyama et al. (2018) found that early H. sapiens possessed relatively larger cerebellar hemispheres than Neanderthals, and that in living humans, size-adjusted cerebellar volume correlates positively with cognitive flexibility, attention, language processing, episodic memory, and working memory capacity. The cerebellum is not merely a motor coordination structure </w:t>
      </w:r>
      <w:r>
        <w:rPr>
          <w:rFonts w:ascii="Verdana" w:hAnsi="Verdana" w:hint="default"/>
          <w:sz w:val="24"/>
          <w:szCs w:val="24"/>
          <w:rtl w:val="0"/>
          <w:lang w:val="en-US"/>
        </w:rPr>
        <w:t xml:space="preserve">— </w:t>
      </w:r>
      <w:r>
        <w:rPr>
          <w:rFonts w:ascii="Verdana" w:hAnsi="Verdana"/>
          <w:sz w:val="24"/>
          <w:szCs w:val="24"/>
          <w:rtl w:val="0"/>
          <w:lang w:val="en-US"/>
        </w:rPr>
        <w:t>it is a high-bandwidth cognitive processing hub, and Neanderthals had comparatively less of it. The prefrontal cortex in Neanderthals was relatively less developed than in contemporary H. sapiens, particularly in the orbitofrontal and anterior cingulate regions, which are central to inhibitory control and the top-down suppression of ascending nociceptive signals.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These morphological differences are real and quantifiable. Schoenemann et al. (2026), in a reconsideration of Neanderthal brain and cognition published in PNAS, demonstrated that anatomical differences between Neanderthal and modern human brains do not exceed the variance found among modern human populations, predicting a cognitive difference effect size of only 0.14 standard deviations or less. The morphology differs measurably. Whether it maps onto meaningful behavioral incapacity is precisely what the Chagyrskaya evidence challenges.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8"/>
          <w:szCs w:val="28"/>
        </w:rPr>
      </w:pPr>
      <w:r>
        <w:rPr>
          <w:rFonts w:ascii="Verdana" w:hAnsi="Verdana"/>
          <w:sz w:val="28"/>
          <w:szCs w:val="28"/>
          <w:rtl w:val="0"/>
          <w:lang w:val="pt-PT"/>
        </w:rPr>
        <w:t>3. The Trigeminal Paradox</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 xml:space="preserve">The trigeminal nerve </w:t>
      </w:r>
      <w:r>
        <w:rPr>
          <w:rFonts w:ascii="Verdana" w:hAnsi="Verdana" w:hint="default"/>
          <w:sz w:val="24"/>
          <w:szCs w:val="24"/>
          <w:rtl w:val="0"/>
          <w:lang w:val="en-US"/>
        </w:rPr>
        <w:t xml:space="preserve">— </w:t>
      </w:r>
      <w:r>
        <w:rPr>
          <w:rFonts w:ascii="Verdana" w:hAnsi="Verdana"/>
          <w:sz w:val="24"/>
          <w:szCs w:val="24"/>
          <w:rtl w:val="0"/>
          <w:lang w:val="it-IT"/>
        </w:rPr>
        <w:t xml:space="preserve">cranial nerve V </w:t>
      </w:r>
      <w:r>
        <w:rPr>
          <w:rFonts w:ascii="Verdana" w:hAnsi="Verdana" w:hint="default"/>
          <w:sz w:val="24"/>
          <w:szCs w:val="24"/>
          <w:rtl w:val="0"/>
          <w:lang w:val="en-US"/>
        </w:rPr>
        <w:t xml:space="preserve">— </w:t>
      </w:r>
      <w:r>
        <w:rPr>
          <w:rFonts w:ascii="Verdana" w:hAnsi="Verdana"/>
          <w:sz w:val="24"/>
          <w:szCs w:val="24"/>
          <w:rtl w:val="0"/>
          <w:lang w:val="en-US"/>
        </w:rPr>
        <w:t xml:space="preserve">innervates the entire face and oral cavity. Pulpal infection, the precise condition present in Chagyrskaya 64, generates continuous escalating pressure within the enclosed tooth structure with no mechanical relief valve. Trigeminal neuralgia in its most severe form has been described in clinical literature as the most acute pain experienced by human patients (Jandial et al., 2010). A jasper shard penetrating an already inflamed pulp chamber is not a comfortable procedure. A meta-analysis by Apkarian et al. (2005) confirmed that acute pain consistently activates the prefrontal cortex and anterior cingulate cortex </w:t>
      </w:r>
      <w:r>
        <w:rPr>
          <w:rFonts w:ascii="Verdana" w:hAnsi="Verdana" w:hint="default"/>
          <w:sz w:val="24"/>
          <w:szCs w:val="24"/>
          <w:rtl w:val="0"/>
          <w:lang w:val="en-US"/>
        </w:rPr>
        <w:t xml:space="preserve">— </w:t>
      </w:r>
      <w:r>
        <w:rPr>
          <w:rFonts w:ascii="Verdana" w:hAnsi="Verdana"/>
          <w:sz w:val="24"/>
          <w:szCs w:val="24"/>
          <w:rtl w:val="0"/>
          <w:lang w:val="en-US"/>
        </w:rPr>
        <w:t>circuits governing inhibitory control, affective modulation, and prospective cognition. Neanderthals had relatively less development in both regions. The paradox as usually stated is therefore: how did they endure the procedure given what they lacked?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sz w:val="24"/>
          <w:szCs w:val="24"/>
          <w:rtl w:val="0"/>
          <w:lang w:val="en-US"/>
        </w:rPr>
        <w:t>This framing asks the wrong question. It presupposes that endurance was the primary cognitive challenge. Endurance is downstream of a prior question the framing obscures entirely: why did they attempt the procedure at all? The attempt is the cognitive event. The endurance followed from it.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Hunter-gatherers who knapped flint, worked bone tools, and butchered animals daily carried in their hands a direct embodied understanding of material properties that bears directly on dental drilling. Flint knapping requires understanding resistance, angle of strike, depth of penetration, and the difference between controlled removal and catastrophic fracture. Bone working requires fine motor control over hard biological material with variable internal structure. Animal butchery requires anatomical knowledge: where tissue layers are, how cavities open, what happens when you cut into structures that are intact versus infected. These are not abstract propositions. They are knowledge carried in the body, refined through repetition, transmitted through demonstration.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 xml:space="preserve">A Neanderthal presented with a tooth in which decay had reached the pulp would not have been encountering an unfamiliar category of problem. They understood cavities in hard material. They understood that infection required physical intervention: abscesses were drained, wounds were cleaned, foreign objects were removed. The move from bone and stone working to dental drilling is not a leap into a different cognitive domain. It is the application of existing manual knowledge to a new material </w:t>
      </w:r>
      <w:r>
        <w:rPr>
          <w:rFonts w:ascii="Verdana" w:hAnsi="Verdana" w:hint="default"/>
          <w:sz w:val="24"/>
          <w:szCs w:val="24"/>
          <w:rtl w:val="0"/>
          <w:lang w:val="en-US"/>
        </w:rPr>
        <w:t xml:space="preserve">— </w:t>
      </w:r>
      <w:r>
        <w:rPr>
          <w:rFonts w:ascii="Verdana" w:hAnsi="Verdana"/>
          <w:sz w:val="24"/>
          <w:szCs w:val="24"/>
          <w:rtl w:val="0"/>
          <w:lang w:val="en-US"/>
        </w:rPr>
        <w:t xml:space="preserve">a tooth </w:t>
      </w:r>
      <w:r>
        <w:rPr>
          <w:rFonts w:ascii="Verdana" w:hAnsi="Verdana" w:hint="default"/>
          <w:sz w:val="24"/>
          <w:szCs w:val="24"/>
          <w:rtl w:val="0"/>
          <w:lang w:val="en-US"/>
        </w:rPr>
        <w:t xml:space="preserve">— </w:t>
      </w:r>
      <w:r>
        <w:rPr>
          <w:rFonts w:ascii="Verdana" w:hAnsi="Verdana"/>
          <w:sz w:val="24"/>
          <w:szCs w:val="24"/>
          <w:rtl w:val="0"/>
          <w:lang w:val="en-US"/>
        </w:rPr>
        <w:t>that happens to be located inside another person's mouth.</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This reframing dissolves the trigeminal paradox without dismissing the neurological architecture it invokes. The prefrontal circuits for prospective cognition and pain suppression are real, and their relative underdevelopment in Neanderthals is real. But those circuits are not the only pathway to tolerating a necessary painful procedure. Social trust, procedural conditioning, and the practical understanding that present pain can resolve chronic future pain are all accessible through embodied social experience rather than abstract prefrontal modeling. A patient who trusts the practitioner from shared daily practice, who has already endured continuous infection pain for days or weeks, and who has watched others recover from similar interventions does not require a modern anterior cingulate cortex to endure a drilling procedure. They require what Neanderthals demonstrably had: social cohesion, practical intelligence, and the experiential knowledge that doing nothing was worse.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sz w:val="24"/>
          <w:szCs w:val="24"/>
          <w:rtl w:val="0"/>
          <w:lang w:val="en-US"/>
        </w:rPr>
        <w:t xml:space="preserve">The paradox, properly stated, is not neurological but evidential. It is not that Neanderthals lacked the architecture to perform or endure the procedure. It is that the mainstream framework has underestimated the cognitive and practical resources present in embodied, socially transmitted knowledge operating below the threshold of working memory </w:t>
      </w:r>
      <w:r>
        <w:rPr>
          <w:rFonts w:ascii="Verdana" w:hAnsi="Verdana" w:hint="default"/>
          <w:sz w:val="24"/>
          <w:szCs w:val="24"/>
          <w:rtl w:val="0"/>
          <w:lang w:val="en-US"/>
        </w:rPr>
        <w:t xml:space="preserve">— </w:t>
      </w:r>
      <w:r>
        <w:rPr>
          <w:rFonts w:ascii="Verdana" w:hAnsi="Verdana"/>
          <w:sz w:val="24"/>
          <w:szCs w:val="24"/>
          <w:rtl w:val="0"/>
          <w:lang w:val="en-US"/>
        </w:rPr>
        <w:t>resources sufficient, as the post-operative wear marks on Chagyrskaya 64 confirm, to produce a functional clinical outcome.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8"/>
          <w:szCs w:val="28"/>
        </w:rPr>
      </w:pPr>
      <w:r>
        <w:rPr>
          <w:rFonts w:ascii="Verdana" w:hAnsi="Verdana"/>
          <w:sz w:val="28"/>
          <w:szCs w:val="28"/>
          <w:rtl w:val="0"/>
          <w:lang w:val="en-US"/>
        </w:rPr>
        <w:t>4. The Archaeological Dental Record: 130,000 BP to 6,500 BP</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The Chagyrskaya molar does not stand alone. When situated within the full archaeological dental record, it becomes the anchor of a sequence that reveals both the depth of dental practice in the hominin lineage and the differential distribution of technique across species and time.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 xml:space="preserve">At approximately 130,000 BP, the Krapina site in Croatia yielded four teeth </w:t>
      </w:r>
      <w:r>
        <w:rPr>
          <w:rFonts w:ascii="Verdana" w:hAnsi="Verdana" w:hint="default"/>
          <w:sz w:val="24"/>
          <w:szCs w:val="24"/>
          <w:rtl w:val="0"/>
          <w:lang w:val="en-US"/>
        </w:rPr>
        <w:t xml:space="preserve">— </w:t>
      </w:r>
      <w:r>
        <w:rPr>
          <w:rFonts w:ascii="Verdana" w:hAnsi="Verdana"/>
          <w:sz w:val="24"/>
          <w:szCs w:val="24"/>
          <w:rtl w:val="0"/>
          <w:lang w:val="en-US"/>
        </w:rPr>
        <w:t xml:space="preserve">three molars and one premolar </w:t>
      </w:r>
      <w:r>
        <w:rPr>
          <w:rFonts w:ascii="Verdana" w:hAnsi="Verdana" w:hint="default"/>
          <w:sz w:val="24"/>
          <w:szCs w:val="24"/>
          <w:rtl w:val="0"/>
          <w:lang w:val="en-US"/>
        </w:rPr>
        <w:t xml:space="preserve">— </w:t>
      </w:r>
      <w:r>
        <w:rPr>
          <w:rFonts w:ascii="Verdana" w:hAnsi="Verdana"/>
          <w:sz w:val="24"/>
          <w:szCs w:val="24"/>
          <w:rtl w:val="0"/>
          <w:lang w:val="en-US"/>
        </w:rPr>
        <w:t>from a single Neanderthal individual showing multiple toothpick grooves and signs of systematic manipulation consistent with deliberate self-treatment of a dental problem (Frayer et al., 2017). The grooves are consistent, distributed across adjacent teeth, and interpreted as a coordinated response to an impaction or infection affecting the lower left quadrant. This is the earliest evidence of dental self-care in the fossil record, and it belongs to a Neanderthal.</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At approximately 48,000 BP, an El Sidr</w:t>
      </w:r>
      <w:r>
        <w:rPr>
          <w:rFonts w:ascii="Verdana" w:hAnsi="Verdana" w:hint="default"/>
          <w:sz w:val="24"/>
          <w:szCs w:val="24"/>
          <w:rtl w:val="0"/>
          <w:lang w:val="es-ES_tradnl"/>
        </w:rPr>
        <w:t>ó</w:t>
      </w:r>
      <w:r>
        <w:rPr>
          <w:rFonts w:ascii="Verdana" w:hAnsi="Verdana"/>
          <w:sz w:val="24"/>
          <w:szCs w:val="24"/>
          <w:rtl w:val="0"/>
          <w:lang w:val="en-US"/>
        </w:rPr>
        <w:t xml:space="preserve">n Neanderthal in northern Spain presents a third independent data point from the opposite end of the Neanderthal range. Ancient DNA extracted from dental calculus identified poplar </w:t>
      </w:r>
      <w:r>
        <w:rPr>
          <w:rFonts w:ascii="Verdana" w:hAnsi="Verdana" w:hint="default"/>
          <w:sz w:val="24"/>
          <w:szCs w:val="24"/>
          <w:rtl w:val="0"/>
          <w:lang w:val="en-US"/>
        </w:rPr>
        <w:t xml:space="preserve">— </w:t>
      </w:r>
      <w:r>
        <w:rPr>
          <w:rFonts w:ascii="Verdana" w:hAnsi="Verdana"/>
          <w:sz w:val="24"/>
          <w:szCs w:val="24"/>
          <w:rtl w:val="0"/>
          <w:lang w:val="en-US"/>
        </w:rPr>
        <w:t xml:space="preserve">containing salicylic acid, the active ingredient of aspirin </w:t>
      </w:r>
      <w:r>
        <w:rPr>
          <w:rFonts w:ascii="Verdana" w:hAnsi="Verdana" w:hint="default"/>
          <w:sz w:val="24"/>
          <w:szCs w:val="24"/>
          <w:rtl w:val="0"/>
          <w:lang w:val="en-US"/>
        </w:rPr>
        <w:t xml:space="preserve">— </w:t>
      </w:r>
      <w:r>
        <w:rPr>
          <w:rFonts w:ascii="Verdana" w:hAnsi="Verdana"/>
          <w:sz w:val="24"/>
          <w:szCs w:val="24"/>
          <w:rtl w:val="0"/>
          <w:lang w:val="en-US"/>
        </w:rPr>
        <w:t xml:space="preserve">in an individual with a confirmed dental abscess visible on the jawbone (Hardy et al., 2012). The calculus of the same individual additionally contained DNA sequences from Penicillium rubens, the natural producer of penicillin, alongside an intestinal parasite causing acute gastrointestinal distress (Weyrich et al., 2017). The convergence of a confirmed dental abscess with the selective ingestion of a salicylate-bearing plant constitutes the primary evidence for deliberate self-medication. This is chemically sophisticated pain management applied to a dental pathology </w:t>
      </w:r>
      <w:r>
        <w:rPr>
          <w:rFonts w:ascii="Verdana" w:hAnsi="Verdana" w:hint="default"/>
          <w:sz w:val="24"/>
          <w:szCs w:val="24"/>
          <w:rtl w:val="0"/>
          <w:lang w:val="en-US"/>
        </w:rPr>
        <w:t xml:space="preserve">— </w:t>
      </w:r>
      <w:r>
        <w:rPr>
          <w:rFonts w:ascii="Verdana" w:hAnsi="Verdana"/>
          <w:sz w:val="24"/>
          <w:szCs w:val="24"/>
          <w:rtl w:val="0"/>
          <w:lang w:val="en-US"/>
        </w:rPr>
        <w:t>a different cognitive operation from Krapina's mechanical toothpicking, and a different modality again from Chagyrskaya's invasive drilling. Three Neanderthal sites, three modalities, three points on a behavioral arc spanning the western, central, and eastern extent of the species' range.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At approximately 59,000 BP, Chagyrskaya represents a qualitative escalation: from self-applied surface manipulation to operator-administered invasive surgery. The jump from toothpicking to pulp-chamber drilling is not incremental. It implies accumulated knowledge of tooth anatomy, awareness of the relationship between cavity depth and pain source, and the social infrastructure to support a two-person medical intervention.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 xml:space="preserve">At approximately 14,000 BP, the Villabruna specimen from northern Italy provides the oldest evidence of dental intervention in H. sapiens (Oxilia et al., 2015). The technique is scratching and levering with pointed flint tools </w:t>
      </w:r>
      <w:r>
        <w:rPr>
          <w:rFonts w:ascii="Verdana" w:hAnsi="Verdana" w:hint="default"/>
          <w:sz w:val="24"/>
          <w:szCs w:val="24"/>
          <w:rtl w:val="0"/>
          <w:lang w:val="en-US"/>
        </w:rPr>
        <w:t xml:space="preserve">— </w:t>
      </w:r>
      <w:r>
        <w:rPr>
          <w:rFonts w:ascii="Verdana" w:hAnsi="Verdana"/>
          <w:sz w:val="24"/>
          <w:szCs w:val="24"/>
          <w:rtl w:val="0"/>
          <w:lang w:val="en-US"/>
        </w:rPr>
        <w:t>working around the edges of a carious cavity rather than drilling directly into it. This is less invasive and less direct than the Chagyrskaya approach, despite appearing 45,000 years later in a species with more developed prefrontal and parietal architecture.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 xml:space="preserve">At approximately 13,000 BP, two upper central incisors from Riparo Fredian near Lucca, northern Italy, were filled with bitumen packed over drilled cavities, with plant fibers and hair embedded in the material </w:t>
      </w:r>
      <w:r>
        <w:rPr>
          <w:rFonts w:ascii="Verdana" w:hAnsi="Verdana" w:hint="default"/>
          <w:sz w:val="24"/>
          <w:szCs w:val="24"/>
          <w:rtl w:val="0"/>
          <w:lang w:val="en-US"/>
        </w:rPr>
        <w:t xml:space="preserve">— </w:t>
      </w:r>
      <w:r>
        <w:rPr>
          <w:rFonts w:ascii="Verdana" w:hAnsi="Verdana"/>
          <w:sz w:val="24"/>
          <w:szCs w:val="24"/>
          <w:rtl w:val="0"/>
          <w:lang w:val="en-US"/>
        </w:rPr>
        <w:t>an antiseptic composite plug functioning analogously to a modern resin filling (Oxilia et al., 2017).</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 xml:space="preserve">At approximately 9,000 to 7,500 BP, the Mehrgarh site in Baluchistan, Pakistan, yields eleven drilled molar crowns from nine adults (Coppa et al., 2006). The precision is remarkable </w:t>
      </w:r>
      <w:r>
        <w:rPr>
          <w:rFonts w:ascii="Verdana" w:hAnsi="Verdana" w:hint="default"/>
          <w:sz w:val="24"/>
          <w:szCs w:val="24"/>
          <w:rtl w:val="0"/>
          <w:lang w:val="en-US"/>
        </w:rPr>
        <w:t xml:space="preserve">— </w:t>
      </w:r>
      <w:r>
        <w:rPr>
          <w:rFonts w:ascii="Verdana" w:hAnsi="Verdana"/>
          <w:sz w:val="24"/>
          <w:szCs w:val="24"/>
          <w:rtl w:val="0"/>
          <w:lang w:val="en-US"/>
        </w:rPr>
        <w:t>holes uniform in diameter, carefully positioned on the occlusal surface, produced by bow-driven flint micro-drills. This is not isolated practice but a tradition, evidenced by multiple patients across a graveyard assemblage, implying transmission across at least one generation.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 xml:space="preserve">At approximately 6,500 BP, a mandible from Slovenia bears a canine tooth with a vertical crack filled with beeswax </w:t>
      </w:r>
      <w:r>
        <w:rPr>
          <w:rFonts w:ascii="Verdana" w:hAnsi="Verdana" w:hint="default"/>
          <w:sz w:val="24"/>
          <w:szCs w:val="24"/>
          <w:rtl w:val="0"/>
          <w:lang w:val="en-US"/>
        </w:rPr>
        <w:t xml:space="preserve">— </w:t>
      </w:r>
      <w:r>
        <w:rPr>
          <w:rFonts w:ascii="Verdana" w:hAnsi="Verdana"/>
          <w:sz w:val="24"/>
          <w:szCs w:val="24"/>
          <w:rtl w:val="0"/>
          <w:lang w:val="en-US"/>
        </w:rPr>
        <w:t>the oldest known therapeutic dental filling (Bernardini et al., 2012).</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 xml:space="preserve">The sequence from 130,000 BP to 6,500 BP traces a behavioral arc that begins with Neanderthal self-care across three geographically dispersed sites </w:t>
      </w:r>
      <w:r>
        <w:rPr>
          <w:rFonts w:ascii="Verdana" w:hAnsi="Verdana" w:hint="default"/>
          <w:sz w:val="24"/>
          <w:szCs w:val="24"/>
          <w:rtl w:val="0"/>
          <w:lang w:val="en-US"/>
        </w:rPr>
        <w:t xml:space="preserve">— </w:t>
      </w:r>
      <w:r>
        <w:rPr>
          <w:rFonts w:ascii="Verdana" w:hAnsi="Verdana"/>
          <w:sz w:val="24"/>
          <w:szCs w:val="24"/>
          <w:rtl w:val="0"/>
          <w:lang w:val="en-US"/>
        </w:rPr>
        <w:t>mechanical at Krapina, chemical at El Sidr</w:t>
      </w:r>
      <w:r>
        <w:rPr>
          <w:rFonts w:ascii="Verdana" w:hAnsi="Verdana" w:hint="default"/>
          <w:sz w:val="24"/>
          <w:szCs w:val="24"/>
          <w:rtl w:val="0"/>
          <w:lang w:val="es-ES_tradnl"/>
        </w:rPr>
        <w:t>ó</w:t>
      </w:r>
      <w:r>
        <w:rPr>
          <w:rFonts w:ascii="Verdana" w:hAnsi="Verdana"/>
          <w:sz w:val="24"/>
          <w:szCs w:val="24"/>
          <w:rtl w:val="0"/>
          <w:lang w:val="en-US"/>
        </w:rPr>
        <w:t xml:space="preserve">n, invasive surgical at Chagyrskaya </w:t>
      </w:r>
      <w:r>
        <w:rPr>
          <w:rFonts w:ascii="Verdana" w:hAnsi="Verdana" w:hint="default"/>
          <w:sz w:val="24"/>
          <w:szCs w:val="24"/>
          <w:rtl w:val="0"/>
          <w:lang w:val="en-US"/>
        </w:rPr>
        <w:t xml:space="preserve">— </w:t>
      </w:r>
      <w:r>
        <w:rPr>
          <w:rFonts w:ascii="Verdana" w:hAnsi="Verdana"/>
          <w:sz w:val="24"/>
          <w:szCs w:val="24"/>
          <w:rtl w:val="0"/>
          <w:lang w:val="en-US"/>
        </w:rPr>
        <w:t xml:space="preserve">escalates to H. sapiens dental intervention, and achieves systemic precision at Mehrgarh. The three Neanderthal sites span the full east-west extent of the species' range: Croatia in the west, Spain in the southwest, Siberia in the east. Dental care behavior appearing across this entire range in three distinct modalities over 82,000 years is not consistent with isolated local invention. The 45,000-year gap between Chagyrskaya and Villabruna is not a gap in the practice </w:t>
      </w:r>
      <w:r>
        <w:rPr>
          <w:rFonts w:ascii="Verdana" w:hAnsi="Verdana" w:hint="default"/>
          <w:sz w:val="24"/>
          <w:szCs w:val="24"/>
          <w:rtl w:val="0"/>
          <w:lang w:val="en-US"/>
        </w:rPr>
        <w:t xml:space="preserve">— </w:t>
      </w:r>
      <w:r>
        <w:rPr>
          <w:rFonts w:ascii="Verdana" w:hAnsi="Verdana"/>
          <w:sz w:val="24"/>
          <w:szCs w:val="24"/>
          <w:rtl w:val="0"/>
          <w:lang w:val="en-US"/>
        </w:rPr>
        <w:t>it is a gap in preservation. What it documents is the differential survival of evidence, not the differential distribution of capability.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8"/>
          <w:szCs w:val="28"/>
        </w:rPr>
      </w:pPr>
      <w:r>
        <w:rPr>
          <w:rFonts w:ascii="Verdana" w:hAnsi="Verdana"/>
          <w:sz w:val="28"/>
          <w:szCs w:val="28"/>
          <w:rtl w:val="0"/>
          <w:lang w:val="fr-FR"/>
        </w:rPr>
        <w:t>5. Technique as Cognitive Signature: The Levallois Inversion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sz w:val="24"/>
          <w:szCs w:val="24"/>
          <w:rtl w:val="0"/>
          <w:lang w:val="en-US"/>
        </w:rPr>
        <w:t>The contrast between the Chagyrskaya drilling and the Villabruna scratching-and-levering is not merely a difference in tool type. It is a difference in problem-solving architecture that maps onto a well-established lithic distinction: direct versus indirect percussion.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 xml:space="preserve">The Levallois technique, associated primarily with Middle Paleolithic populations including Neanderthals and contemporaneous H. sapiens, operates through prepared-core reduction. The knapper prepares the surface of a flint nodule through a series of controlled removals, establishing a platform geometry that determines the shape of the intended flake before it is struck. The final removal is thus the culmination of a preparatory sequence </w:t>
      </w:r>
      <w:r>
        <w:rPr>
          <w:rFonts w:ascii="Verdana" w:hAnsi="Verdana" w:hint="default"/>
          <w:sz w:val="24"/>
          <w:szCs w:val="24"/>
          <w:rtl w:val="0"/>
          <w:lang w:val="en-US"/>
        </w:rPr>
        <w:t xml:space="preserve">— </w:t>
      </w:r>
      <w:r>
        <w:rPr>
          <w:rFonts w:ascii="Verdana" w:hAnsi="Verdana"/>
          <w:sz w:val="24"/>
          <w:szCs w:val="24"/>
          <w:rtl w:val="0"/>
          <w:lang w:val="en-US"/>
        </w:rPr>
        <w:t>indirect, anticipatory, and constrained by the architecture established in prior steps. This is the cognitive signature most strongly associated with the Neanderthal lithic tradition.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 xml:space="preserve">The inversion in the dental record is analytically productive. The Levallois technique is most strongly associated with Neanderthal lithic traditions, yet the Neanderthal dental approach at Chagyrskaya is emphatically direct </w:t>
      </w:r>
      <w:r>
        <w:rPr>
          <w:rFonts w:ascii="Verdana" w:hAnsi="Verdana" w:hint="default"/>
          <w:sz w:val="24"/>
          <w:szCs w:val="24"/>
          <w:rtl w:val="0"/>
          <w:lang w:val="en-US"/>
        </w:rPr>
        <w:t xml:space="preserve">— </w:t>
      </w:r>
      <w:r>
        <w:rPr>
          <w:rFonts w:ascii="Verdana" w:hAnsi="Verdana"/>
          <w:sz w:val="24"/>
          <w:szCs w:val="24"/>
          <w:rtl w:val="0"/>
          <w:lang w:val="en-US"/>
        </w:rPr>
        <w:t>jasper shard, straight into the pulp, committed. The H. sapiens approach at Villabruna, by contrast, is precisely Levallois in its logic: work the edges, lever the walls, approach the problem through prepared surface manipulation rather than direct strike. The species associated with the indirect preparatory technique went direct in dentistry. The species that developed more direct Upper Paleolithic blade technologies went indirect in their first dental interventions.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 xml:space="preserve">This inversion suggests that the choice of dental technique reflects not a simple cognitive hierarchy but a difference in problem-solving disposition that varies by context and by the specific cognitive resources available. The Neanderthal operator who drilled straight to the pulp was not being crude </w:t>
      </w:r>
      <w:r>
        <w:rPr>
          <w:rFonts w:ascii="Verdana" w:hAnsi="Verdana" w:hint="default"/>
          <w:sz w:val="24"/>
          <w:szCs w:val="24"/>
          <w:rtl w:val="0"/>
          <w:lang w:val="en-US"/>
        </w:rPr>
        <w:t xml:space="preserve">— </w:t>
      </w:r>
      <w:r>
        <w:rPr>
          <w:rFonts w:ascii="Verdana" w:hAnsi="Verdana"/>
          <w:sz w:val="24"/>
          <w:szCs w:val="24"/>
          <w:rtl w:val="0"/>
          <w:lang w:val="en-US"/>
        </w:rPr>
        <w:t>experimental replication of the procedure demonstrated that the result required fine motor control, sustained concentration, and precise tool positioning within an inflamed oral cavity (Zubova et al., 2026). The directness of the approach may reflect visuospatial confidence consistent with the occipital dominance of Neanderthal cranial architecture: a practitioner whose cognitive strengths lay in spatial modeling and manual precision rather than in multi-step preparatory planning associated with greater prefrontal development.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sz w:val="24"/>
          <w:szCs w:val="24"/>
          <w:rtl w:val="0"/>
          <w:lang w:val="en-US"/>
        </w:rPr>
        <w:t xml:space="preserve">The H. sapiens approach at Villabruna </w:t>
      </w:r>
      <w:r>
        <w:rPr>
          <w:rFonts w:ascii="Verdana" w:hAnsi="Verdana" w:hint="default"/>
          <w:sz w:val="24"/>
          <w:szCs w:val="24"/>
          <w:rtl w:val="0"/>
          <w:lang w:val="en-US"/>
        </w:rPr>
        <w:t xml:space="preserve">— </w:t>
      </w:r>
      <w:r>
        <w:rPr>
          <w:rFonts w:ascii="Verdana" w:hAnsi="Verdana"/>
          <w:sz w:val="24"/>
          <w:szCs w:val="24"/>
          <w:rtl w:val="0"/>
          <w:lang w:val="en-US"/>
        </w:rPr>
        <w:t xml:space="preserve">cautious, edge-working, indirect </w:t>
      </w:r>
      <w:r>
        <w:rPr>
          <w:rFonts w:ascii="Verdana" w:hAnsi="Verdana" w:hint="default"/>
          <w:sz w:val="24"/>
          <w:szCs w:val="24"/>
          <w:rtl w:val="0"/>
          <w:lang w:val="en-US"/>
        </w:rPr>
        <w:t xml:space="preserve">— </w:t>
      </w:r>
      <w:r>
        <w:rPr>
          <w:rFonts w:ascii="Verdana" w:hAnsi="Verdana"/>
          <w:sz w:val="24"/>
          <w:szCs w:val="24"/>
          <w:rtl w:val="0"/>
          <w:lang w:val="en-US"/>
        </w:rPr>
        <w:t xml:space="preserve">may conversely reflect the application of a more prefrontally mediated strategy: assess boundary conditions, work toward the target by controlled preparation, avoid irreversible commitment until the path is established. This is cognitively sophisticated, but it is not more effective. The Neanderthal drill reached the pulp. The patient survived. The technique worked. Cognitive architecture does not determine behavioral success </w:t>
      </w:r>
      <w:r>
        <w:rPr>
          <w:rFonts w:ascii="Verdana" w:hAnsi="Verdana" w:hint="default"/>
          <w:sz w:val="24"/>
          <w:szCs w:val="24"/>
          <w:rtl w:val="0"/>
          <w:lang w:val="en-US"/>
        </w:rPr>
        <w:t xml:space="preserve">— </w:t>
      </w:r>
      <w:r>
        <w:rPr>
          <w:rFonts w:ascii="Verdana" w:hAnsi="Verdana"/>
          <w:sz w:val="24"/>
          <w:szCs w:val="24"/>
          <w:rtl w:val="0"/>
          <w:lang w:val="en-US"/>
        </w:rPr>
        <w:t>it shapes the pathway to it.</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8"/>
          <w:szCs w:val="28"/>
        </w:rPr>
      </w:pPr>
      <w:r>
        <w:rPr>
          <w:rFonts w:ascii="Verdana" w:hAnsi="Verdana"/>
          <w:sz w:val="28"/>
          <w:szCs w:val="28"/>
          <w:rtl w:val="0"/>
          <w:lang w:val="en-US"/>
        </w:rPr>
        <w:t>6. The EWMH Revision: Separating Procedural from Symbolic Transmission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An earlier paper in this corpus applied the Enhanced Working Memory Hypothesis (EWMH) to the Neanderthal symbolic record and concluded that Neanderthals possessed sufficient working memory for planning and in-place construction but lacked the enhanced capacity for long-term mnemonic stabilization that enables cumulative, portable symbolic systems (Vondoom, 2026m; Coolidge &amp; Wynn, 2005). The Chagyrskaya evidence requires a formal revision of that position.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 xml:space="preserve">The EWMH claim, as applied in that earlier work, was directed at symbolic transmission </w:t>
      </w:r>
      <w:r>
        <w:rPr>
          <w:rFonts w:ascii="Verdana" w:hAnsi="Verdana" w:hint="default"/>
          <w:sz w:val="24"/>
          <w:szCs w:val="24"/>
          <w:rtl w:val="0"/>
          <w:lang w:val="en-US"/>
        </w:rPr>
        <w:t xml:space="preserve">— </w:t>
      </w:r>
      <w:r>
        <w:rPr>
          <w:rFonts w:ascii="Verdana" w:hAnsi="Verdana"/>
          <w:sz w:val="24"/>
          <w:szCs w:val="24"/>
          <w:rtl w:val="0"/>
          <w:lang w:val="en-US"/>
        </w:rPr>
        <w:t xml:space="preserve">the capacity to hold representations explicitly, bind them across modalities, and plan toward future symbolic states. What the Chagyrskaya dental record demonstrates is that procedural transmission </w:t>
      </w:r>
      <w:r>
        <w:rPr>
          <w:rFonts w:ascii="Verdana" w:hAnsi="Verdana" w:hint="default"/>
          <w:sz w:val="24"/>
          <w:szCs w:val="24"/>
          <w:rtl w:val="0"/>
          <w:lang w:val="en-US"/>
        </w:rPr>
        <w:t xml:space="preserve">— </w:t>
      </w:r>
      <w:r>
        <w:rPr>
          <w:rFonts w:ascii="Verdana" w:hAnsi="Verdana"/>
          <w:sz w:val="24"/>
          <w:szCs w:val="24"/>
          <w:rtl w:val="0"/>
          <w:lang w:val="en-US"/>
        </w:rPr>
        <w:t xml:space="preserve">embodied, socially situated, materially grounded knowledge transfer between practitioners </w:t>
      </w:r>
      <w:r>
        <w:rPr>
          <w:rFonts w:ascii="Verdana" w:hAnsi="Verdana" w:hint="default"/>
          <w:sz w:val="24"/>
          <w:szCs w:val="24"/>
          <w:rtl w:val="0"/>
          <w:lang w:val="en-US"/>
        </w:rPr>
        <w:t xml:space="preserve">— </w:t>
      </w:r>
      <w:r>
        <w:rPr>
          <w:rFonts w:ascii="Verdana" w:hAnsi="Verdana"/>
          <w:sz w:val="24"/>
          <w:szCs w:val="24"/>
          <w:rtl w:val="0"/>
          <w:lang w:val="en-US"/>
        </w:rPr>
        <w:t>operated in Neanderthals independently of and prior to the working memory architecture the EWMH identifies as the H. sapiens cognitive advantage. The dental tradition documented from Krapina at 130,000 BP to Chagyrskaya at 59,000 BP spans 71,000 years. It achieves that stabilization not through working memory but through the DSSM's Craft stabilization pathway: embodied repetition, socially embedded transmission, and persistent constraint on technique (Vondoom, 2026c; Vondoom, 2026j; Vondoom, 2026n).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 xml:space="preserve">The correct formulation, which resolves the contradiction between the earlier paper and the present one, is that the EWMH describes two distinct transmission systems the earlier analysis conflated. Procedural transmission </w:t>
      </w:r>
      <w:r>
        <w:rPr>
          <w:rFonts w:ascii="Verdana" w:hAnsi="Verdana" w:hint="default"/>
          <w:sz w:val="24"/>
          <w:szCs w:val="24"/>
          <w:rtl w:val="0"/>
          <w:lang w:val="en-US"/>
        </w:rPr>
        <w:t xml:space="preserve">— </w:t>
      </w:r>
      <w:r>
        <w:rPr>
          <w:rFonts w:ascii="Verdana" w:hAnsi="Verdana"/>
          <w:sz w:val="24"/>
          <w:szCs w:val="24"/>
          <w:rtl w:val="0"/>
          <w:lang w:val="en-US"/>
        </w:rPr>
        <w:t xml:space="preserve">the kind that moves dental technique from practitioner to practitioner across 71,000 years </w:t>
      </w:r>
      <w:r>
        <w:rPr>
          <w:rFonts w:ascii="Verdana" w:hAnsi="Verdana" w:hint="default"/>
          <w:sz w:val="24"/>
          <w:szCs w:val="24"/>
          <w:rtl w:val="0"/>
          <w:lang w:val="en-US"/>
        </w:rPr>
        <w:t xml:space="preserve">— </w:t>
      </w:r>
      <w:r>
        <w:rPr>
          <w:rFonts w:ascii="Verdana" w:hAnsi="Verdana"/>
          <w:sz w:val="24"/>
          <w:szCs w:val="24"/>
          <w:rtl w:val="0"/>
          <w:lang w:val="en-US"/>
        </w:rPr>
        <w:t xml:space="preserve">does not require modern working memory architecture. It requires social cohesion, embodied practice, and the iterative reinforcement of technique through use. Symbolic transmission </w:t>
      </w:r>
      <w:r>
        <w:rPr>
          <w:rFonts w:ascii="Verdana" w:hAnsi="Verdana" w:hint="default"/>
          <w:sz w:val="24"/>
          <w:szCs w:val="24"/>
          <w:rtl w:val="0"/>
          <w:lang w:val="en-US"/>
        </w:rPr>
        <w:t xml:space="preserve">— </w:t>
      </w:r>
      <w:r>
        <w:rPr>
          <w:rFonts w:ascii="Verdana" w:hAnsi="Verdana"/>
          <w:sz w:val="24"/>
          <w:szCs w:val="24"/>
          <w:rtl w:val="0"/>
          <w:lang w:val="en-US"/>
        </w:rPr>
        <w:t xml:space="preserve">the kind that produces portable representational systems capable of operating across communities and generations without direct practitioner contact </w:t>
      </w:r>
      <w:r>
        <w:rPr>
          <w:rFonts w:ascii="Verdana" w:hAnsi="Verdana" w:hint="default"/>
          <w:sz w:val="24"/>
          <w:szCs w:val="24"/>
          <w:rtl w:val="0"/>
          <w:lang w:val="en-US"/>
        </w:rPr>
        <w:t xml:space="preserve">— </w:t>
      </w:r>
      <w:r>
        <w:rPr>
          <w:rFonts w:ascii="Verdana" w:hAnsi="Verdana"/>
          <w:sz w:val="24"/>
          <w:szCs w:val="24"/>
          <w:rtl w:val="0"/>
          <w:lang w:val="en-US"/>
        </w:rPr>
        <w:t>does benefit from the expanded parietal-frontal working memory network that H. sapiens developed more fully. Neanderthals had robust procedural transmission. H. sapiens added symbolic amplification infrastructure. The earlier paper was wrong to treat working memory as a precondition for the former. It was not wrong to identify it as an amplifier of the latter.</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 xml:space="preserve">The Bruniquel Cave DSSM analysis (Vondoom, 2026n) scored Neanderthal symbolic sophistication at 8/12, noting the absence of portable symbolic anchors as the primary limitation. The dental record now confirms that the limitation was specifically in portable symbolic transmission, not in procedural transmission. Bruniquel scored zero on portable symbolic anchors. Chagyrskaya demonstrates that procedural knowledge was traveling portably </w:t>
      </w:r>
      <w:r>
        <w:rPr>
          <w:rFonts w:ascii="Verdana" w:hAnsi="Verdana" w:hint="default"/>
          <w:sz w:val="24"/>
          <w:szCs w:val="24"/>
          <w:rtl w:val="0"/>
          <w:lang w:val="en-US"/>
        </w:rPr>
        <w:t xml:space="preserve">— </w:t>
      </w:r>
      <w:r>
        <w:rPr>
          <w:rFonts w:ascii="Verdana" w:hAnsi="Verdana"/>
          <w:sz w:val="24"/>
          <w:szCs w:val="24"/>
          <w:rtl w:val="0"/>
          <w:lang w:val="en-US"/>
        </w:rPr>
        <w:t xml:space="preserve">across the Neanderthal range, across 71,000 years </w:t>
      </w:r>
      <w:r>
        <w:rPr>
          <w:rFonts w:ascii="Verdana" w:hAnsi="Verdana" w:hint="default"/>
          <w:sz w:val="24"/>
          <w:szCs w:val="24"/>
          <w:rtl w:val="0"/>
          <w:lang w:val="en-US"/>
        </w:rPr>
        <w:t xml:space="preserve">— </w:t>
      </w:r>
      <w:r>
        <w:rPr>
          <w:rFonts w:ascii="Verdana" w:hAnsi="Verdana"/>
          <w:sz w:val="24"/>
          <w:szCs w:val="24"/>
          <w:rtl w:val="0"/>
          <w:lang w:val="en-US"/>
        </w:rPr>
        <w:t>through the human body rather than through objects. The DSSM framework predicted this pathway was viable (Vondoom, 2026k). The dental record confirms it was operational.</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8"/>
          <w:szCs w:val="28"/>
        </w:rPr>
      </w:pPr>
      <w:r>
        <w:rPr>
          <w:rFonts w:ascii="Verdana" w:hAnsi="Verdana"/>
          <w:sz w:val="28"/>
          <w:szCs w:val="28"/>
          <w:rtl w:val="0"/>
          <w:lang w:val="en-US"/>
        </w:rPr>
        <w:t>7. The Absorption Hypothesis: Demographic Asymmetry and the End of the Extinction Narrative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 xml:space="preserve">The Chagyrskaya finding makes one interpretive position untenable: that Neanderthals disappeared from the archaeological record because they were cognitively outcompeted by H. sapiens. The dental evidence contradicts this directly. A population that performed two-person dental surgery requiring anatomical knowledge, fine motor control under duress, and a patient willing to undergo the procedure on the basis of trust in the practitioner's skill </w:t>
      </w:r>
      <w:r>
        <w:rPr>
          <w:rFonts w:ascii="Verdana" w:hAnsi="Verdana" w:hint="default"/>
          <w:sz w:val="24"/>
          <w:szCs w:val="24"/>
          <w:rtl w:val="0"/>
          <w:lang w:val="en-US"/>
        </w:rPr>
        <w:t xml:space="preserve">— </w:t>
      </w:r>
      <w:r>
        <w:rPr>
          <w:rFonts w:ascii="Verdana" w:hAnsi="Verdana"/>
          <w:sz w:val="24"/>
          <w:szCs w:val="24"/>
          <w:rtl w:val="0"/>
          <w:lang w:val="en-US"/>
        </w:rPr>
        <w:t xml:space="preserve">and that transmitted this knowledge across 71,000 years and 5,000 kilometers </w:t>
      </w:r>
      <w:r>
        <w:rPr>
          <w:rFonts w:ascii="Verdana" w:hAnsi="Verdana" w:hint="default"/>
          <w:sz w:val="24"/>
          <w:szCs w:val="24"/>
          <w:rtl w:val="0"/>
          <w:lang w:val="en-US"/>
        </w:rPr>
        <w:t xml:space="preserve">— </w:t>
      </w:r>
      <w:r>
        <w:rPr>
          <w:rFonts w:ascii="Verdana" w:hAnsi="Verdana"/>
          <w:sz w:val="24"/>
          <w:szCs w:val="24"/>
          <w:rtl w:val="0"/>
          <w:lang w:val="en-US"/>
        </w:rPr>
        <w:t>was not cognitively deficient by any standard that the material record can access.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This is not a new challenge to the cognitive superiority model. Villa and Roebroeks (2014), reviewing the full archaeological evidence for claimed modern human behavioral advantages, found no clear or consistent evidence of cognitive superiority capable of explaining the timing or rapidity of Neanderthal disappearance. The spatial distribution of Mousterian and early Upper Paleolithic industries shows significant behavioral overlap between Neanderthal and contemporary H. sapiens populations. What the Chagyrskaya finding adds to this literature is direct, positive evidence of Neanderthal capability at the level of invasive medical intervention, rather than merely the absence of evidence for inferiority.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sz w:val="24"/>
          <w:szCs w:val="24"/>
          <w:rtl w:val="0"/>
          <w:lang w:val="en-US"/>
        </w:rPr>
        <w:t xml:space="preserve">The argument that Neanderthals were incorporated rather than extinguished has prior proponents in paleoanthropology </w:t>
      </w:r>
      <w:r>
        <w:rPr>
          <w:rFonts w:ascii="Verdana" w:hAnsi="Verdana" w:hint="default"/>
          <w:sz w:val="24"/>
          <w:szCs w:val="24"/>
          <w:rtl w:val="0"/>
          <w:lang w:val="en-US"/>
        </w:rPr>
        <w:t xml:space="preserve">— </w:t>
      </w:r>
      <w:r>
        <w:rPr>
          <w:rFonts w:ascii="Verdana" w:hAnsi="Verdana"/>
          <w:sz w:val="24"/>
          <w:szCs w:val="24"/>
          <w:rtl w:val="0"/>
          <w:lang w:val="en-US"/>
        </w:rPr>
        <w:t>most notably Wolpoff's multiregional continuity hypothesis and Smith et al.'s (1989) assimilation model, both grounded in morphological continuity evidence across the Pleistocene-Holocene transition. What the Chagyrskaya finding contributes to this debate is direct positive behavioral evidence of Neanderthal cognitive sophistication, replacing the absence-of-inferiority argument with an affirmative case. The question is no longer whether a species producing dental surgery could have been absorbed rather than extinguished. The question is what else explains the genomic residue.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If cognitive outcompetition is eliminated as an explanation, what accounts for the disappearance of Neanderthals from the material record after approximately 40,000 BP? The genetic record answers this question clearly: Neanderthals did not disappear. They were absorbed.</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All non-African modern humans carry approximately one to four percent Neanderthal DNA, the persistent trace of admixture events during the dispersal of anatomically modern populations through the Levant and into Eurasia (Green et al., 2010; Pr</w:t>
      </w:r>
      <w:r>
        <w:rPr>
          <w:rFonts w:ascii="Verdana" w:hAnsi="Verdana" w:hint="default"/>
          <w:sz w:val="24"/>
          <w:szCs w:val="24"/>
          <w:rtl w:val="0"/>
        </w:rPr>
        <w:t>ü</w:t>
      </w:r>
      <w:r>
        <w:rPr>
          <w:rFonts w:ascii="Verdana" w:hAnsi="Verdana"/>
          <w:sz w:val="24"/>
          <w:szCs w:val="24"/>
          <w:rtl w:val="0"/>
          <w:lang w:val="en-US"/>
        </w:rPr>
        <w:t xml:space="preserve">fer et al., 2014). This is not a marginal signal. It is present in every non-African genome sequenced. Subsequent analyses of high-coverage ancient genomes have indicated multiple independent episodes of gene flow in different geographic regions rather than a single contact event (Villanea &amp; Schraiber, 2019). The admixture was a process extending over thousands of years across a wide geographic range </w:t>
      </w:r>
      <w:r>
        <w:rPr>
          <w:rFonts w:ascii="Verdana" w:hAnsi="Verdana" w:hint="default"/>
          <w:sz w:val="24"/>
          <w:szCs w:val="24"/>
          <w:rtl w:val="0"/>
          <w:lang w:val="en-US"/>
        </w:rPr>
        <w:t xml:space="preserve">— </w:t>
      </w:r>
      <w:r>
        <w:rPr>
          <w:rFonts w:ascii="Verdana" w:hAnsi="Verdana"/>
          <w:sz w:val="24"/>
          <w:szCs w:val="24"/>
          <w:rtl w:val="0"/>
          <w:lang w:val="en-US"/>
        </w:rPr>
        <w:t>wherever expanding H. sapiens populations encountered resident Neanderthal groups.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The mechanism that explains Neanderthal disappearance is therefore not extinction but demographic absorption, and its driver is not cognitive advantage but numerical asymmetry. Pr</w:t>
      </w:r>
      <w:r>
        <w:rPr>
          <w:rFonts w:ascii="Verdana" w:hAnsi="Verdana" w:hint="default"/>
          <w:sz w:val="24"/>
          <w:szCs w:val="24"/>
          <w:rtl w:val="0"/>
        </w:rPr>
        <w:t>ü</w:t>
      </w:r>
      <w:r>
        <w:rPr>
          <w:rFonts w:ascii="Verdana" w:hAnsi="Verdana"/>
          <w:sz w:val="24"/>
          <w:szCs w:val="24"/>
          <w:rtl w:val="0"/>
          <w:lang w:val="en-US"/>
        </w:rPr>
        <w:t xml:space="preserve">fer et al. (2014) estimated the effective population size of Neanderthals at approximately 3,000 individuals based on genomic heterozygosity </w:t>
      </w:r>
      <w:r>
        <w:rPr>
          <w:rFonts w:ascii="Verdana" w:hAnsi="Verdana" w:hint="default"/>
          <w:sz w:val="24"/>
          <w:szCs w:val="24"/>
          <w:rtl w:val="0"/>
          <w:lang w:val="en-US"/>
        </w:rPr>
        <w:t xml:space="preserve">— </w:t>
      </w:r>
      <w:r>
        <w:rPr>
          <w:rFonts w:ascii="Verdana" w:hAnsi="Verdana"/>
          <w:sz w:val="24"/>
          <w:szCs w:val="24"/>
          <w:rtl w:val="0"/>
          <w:lang w:val="en-US"/>
        </w:rPr>
        <w:t>substantially lower than the effective population size of contemporary African H. sapiens populations. Census population size would have been somewhat higher, with estimates typically ranging between 10,000 and 70,000 individuals during periods of demographic expansion. H. sapiens expanding into Eurasia beginning around 60,000</w:t>
      </w:r>
      <w:r>
        <w:rPr>
          <w:rFonts w:ascii="Verdana" w:hAnsi="Verdana" w:hint="default"/>
          <w:sz w:val="24"/>
          <w:szCs w:val="24"/>
          <w:rtl w:val="0"/>
        </w:rPr>
        <w:t>–</w:t>
      </w:r>
      <w:r>
        <w:rPr>
          <w:rFonts w:ascii="Verdana" w:hAnsi="Verdana"/>
          <w:sz w:val="24"/>
          <w:szCs w:val="24"/>
          <w:rtl w:val="0"/>
          <w:lang w:val="en-US"/>
        </w:rPr>
        <w:t>50,000 BP brought populations that were growing, with current demographic estimates placing the global H. sapiens census population in this period in the range of tens of thousands to low hundreds of thousands of individuals.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 xml:space="preserve">When a small population meets a much larger one, the mathematical outcome is not competitive exclusion but progressive genetic dilution. In each generation, Neanderthal individuals who mated with H. sapiens produced children whose genetic inheritance was half Neanderthal. Those children's descendants carried one quarter, then one eighth. Over ten to twenty generations </w:t>
      </w:r>
      <w:r>
        <w:rPr>
          <w:rFonts w:ascii="Verdana" w:hAnsi="Verdana" w:hint="default"/>
          <w:sz w:val="24"/>
          <w:szCs w:val="24"/>
          <w:rtl w:val="0"/>
          <w:lang w:val="en-US"/>
        </w:rPr>
        <w:t xml:space="preserve">— </w:t>
      </w:r>
      <w:r>
        <w:rPr>
          <w:rFonts w:ascii="Verdana" w:hAnsi="Verdana"/>
          <w:sz w:val="24"/>
          <w:szCs w:val="24"/>
          <w:rtl w:val="0"/>
          <w:lang w:val="en-US"/>
        </w:rPr>
        <w:t xml:space="preserve">roughly two to four centuries </w:t>
      </w:r>
      <w:r>
        <w:rPr>
          <w:rFonts w:ascii="Verdana" w:hAnsi="Verdana" w:hint="default"/>
          <w:sz w:val="24"/>
          <w:szCs w:val="24"/>
          <w:rtl w:val="0"/>
          <w:lang w:val="en-US"/>
        </w:rPr>
        <w:t xml:space="preserve">— </w:t>
      </w:r>
      <w:r>
        <w:rPr>
          <w:rFonts w:ascii="Verdana" w:hAnsi="Verdana"/>
          <w:sz w:val="24"/>
          <w:szCs w:val="24"/>
          <w:rtl w:val="0"/>
          <w:lang w:val="en-US"/>
        </w:rPr>
        <w:t>the Neanderthal genetic signal in a mixed-ancestry population falls below the level of archaeological visibility in material culture, while remaining detectable in the genome at the one to four percent level observable today.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sz w:val="24"/>
          <w:szCs w:val="24"/>
          <w:rtl w:val="0"/>
          <w:lang w:val="en-US"/>
        </w:rPr>
        <w:t>The mathematics of this process requires no modeling beyond basic population genetics. If a Neanderthal population of effective size 3,000</w:t>
      </w:r>
      <w:r>
        <w:rPr>
          <w:rFonts w:ascii="Verdana" w:hAnsi="Verdana" w:hint="default"/>
          <w:sz w:val="24"/>
          <w:szCs w:val="24"/>
          <w:rtl w:val="0"/>
        </w:rPr>
        <w:t>–</w:t>
      </w:r>
      <w:r>
        <w:rPr>
          <w:rFonts w:ascii="Verdana" w:hAnsi="Verdana"/>
          <w:sz w:val="24"/>
          <w:szCs w:val="24"/>
          <w:rtl w:val="0"/>
          <w:lang w:val="en-US"/>
        </w:rPr>
        <w:t>12,000 is incorporated at low rates into an expanding H. sapiens population of effective size 10,000</w:t>
      </w:r>
      <w:r>
        <w:rPr>
          <w:rFonts w:ascii="Verdana" w:hAnsi="Verdana" w:hint="default"/>
          <w:sz w:val="24"/>
          <w:szCs w:val="24"/>
          <w:rtl w:val="0"/>
        </w:rPr>
        <w:t>–</w:t>
      </w:r>
      <w:r>
        <w:rPr>
          <w:rFonts w:ascii="Verdana" w:hAnsi="Verdana"/>
          <w:sz w:val="24"/>
          <w:szCs w:val="24"/>
          <w:rtl w:val="0"/>
          <w:lang w:val="en-US"/>
        </w:rPr>
        <w:t xml:space="preserve">15,000 and growing, the Neanderthal genetic contribution declines proportionally in each generation regardless of any competitive dynamic. The outcome </w:t>
      </w:r>
      <w:r>
        <w:rPr>
          <w:rFonts w:ascii="Verdana" w:hAnsi="Verdana" w:hint="default"/>
          <w:sz w:val="24"/>
          <w:szCs w:val="24"/>
          <w:rtl w:val="0"/>
          <w:lang w:val="en-US"/>
        </w:rPr>
        <w:t xml:space="preserve">— </w:t>
      </w:r>
      <w:r>
        <w:rPr>
          <w:rFonts w:ascii="Verdana" w:hAnsi="Verdana"/>
          <w:sz w:val="24"/>
          <w:szCs w:val="24"/>
          <w:rtl w:val="0"/>
          <w:lang w:val="en-US"/>
        </w:rPr>
        <w:t xml:space="preserve">Neanderthal material culture and morphology disappearing from the archaeological record while the genomic signal persists at one to four percent </w:t>
      </w:r>
      <w:r>
        <w:rPr>
          <w:rFonts w:ascii="Verdana" w:hAnsi="Verdana" w:hint="default"/>
          <w:sz w:val="24"/>
          <w:szCs w:val="24"/>
          <w:rtl w:val="0"/>
          <w:lang w:val="en-US"/>
        </w:rPr>
        <w:t xml:space="preserve">— </w:t>
      </w:r>
      <w:r>
        <w:rPr>
          <w:rFonts w:ascii="Verdana" w:hAnsi="Verdana"/>
          <w:sz w:val="24"/>
          <w:szCs w:val="24"/>
          <w:rtl w:val="0"/>
          <w:lang w:val="en-US"/>
        </w:rPr>
        <w:t xml:space="preserve">is precisely what demographic dilution predicts. Neanderthals were not extinguished. They were incorporated </w:t>
      </w:r>
      <w:r>
        <w:rPr>
          <w:rFonts w:ascii="Verdana" w:hAnsi="Verdana" w:hint="default"/>
          <w:sz w:val="24"/>
          <w:szCs w:val="24"/>
          <w:rtl w:val="0"/>
          <w:lang w:val="en-US"/>
        </w:rPr>
        <w:t xml:space="preserve">— </w:t>
      </w:r>
      <w:r>
        <w:rPr>
          <w:rFonts w:ascii="Verdana" w:hAnsi="Verdana"/>
          <w:sz w:val="24"/>
          <w:szCs w:val="24"/>
          <w:rtl w:val="0"/>
          <w:lang w:val="en-US"/>
        </w:rPr>
        <w:t>but at a numerical ratio ensuring that their distinctive material culture, territorial signatures, and morphological characteristics would disappear from the record within a geologically brief interval.</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 xml:space="preserve">The social architecture evidenced by the dental record is directly relevant to this process. The Chagyrskaya procedure required a minimum of two individuals: the practitioner and the patient. It required a pre-existing relationship of trust sufficient for the patient to submit to an acutely painful intervention. It required the social expectation that the practitioner possessed the necessary competence. These are not the behavioral signatures of a species at the margins of social organization. They are the behavioral signatures of a species maintaining the kind of embedded social trust and procedural reputation that would have made intergroup contact </w:t>
      </w:r>
      <w:r>
        <w:rPr>
          <w:rFonts w:ascii="Verdana" w:hAnsi="Verdana" w:hint="default"/>
          <w:sz w:val="24"/>
          <w:szCs w:val="24"/>
          <w:rtl w:val="0"/>
          <w:lang w:val="en-US"/>
        </w:rPr>
        <w:t xml:space="preserve">— </w:t>
      </w:r>
      <w:r>
        <w:rPr>
          <w:rFonts w:ascii="Verdana" w:hAnsi="Verdana"/>
          <w:sz w:val="24"/>
          <w:szCs w:val="24"/>
          <w:rtl w:val="0"/>
          <w:lang w:val="en-US"/>
        </w:rPr>
        <w:t xml:space="preserve">including reproductive contact </w:t>
      </w:r>
      <w:r>
        <w:rPr>
          <w:rFonts w:ascii="Verdana" w:hAnsi="Verdana" w:hint="default"/>
          <w:sz w:val="24"/>
          <w:szCs w:val="24"/>
          <w:rtl w:val="0"/>
          <w:lang w:val="en-US"/>
        </w:rPr>
        <w:t xml:space="preserve">— </w:t>
      </w:r>
      <w:r>
        <w:rPr>
          <w:rFonts w:ascii="Verdana" w:hAnsi="Verdana"/>
          <w:sz w:val="24"/>
          <w:szCs w:val="24"/>
          <w:rtl w:val="0"/>
          <w:lang w:val="en-US"/>
        </w:rPr>
        <w:t>with incoming H. sapiens populations not merely possible but plausible.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Neanderthals were not a species at the edge of cognitive viability, barely sustaining themselves against a superior competitor. They were a cognitively sophisticated population that was simply much smaller than the population that eventually absorbed them. The difference between Neanderthals and H. sapiens was not the difference between a species that could perform dental surgery and one that could not. It was the difference between a population of tens of thousands and a population of hundreds of thousands.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What the archaeological record shows after approximately 40,000 BP is the disappearance of Neanderthal material culture signatures: the Mousterian industry, the elongated endocranial form, the distinctive Neanderthal morphology. What the genomic record shows is that these signatures disappeared not because their bearers died without descendants, but because their descendants were progressively incorporated into a much larger population whose material culture, symbolic systems, and reproductive output numerically dominated the landscape. The one to four percent Neanderthal DNA carried by every non-African alive today is the residue of that incorporation. It is not a trace of a conquered people. It is the biological record of a merger in which one partner was much smaller than the other.</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8"/>
          <w:szCs w:val="28"/>
        </w:rPr>
      </w:pPr>
      <w:r>
        <w:rPr>
          <w:rFonts w:ascii="Verdana" w:hAnsi="Verdana"/>
          <w:sz w:val="28"/>
          <w:szCs w:val="28"/>
          <w:rtl w:val="0"/>
          <w:lang w:val="en-US"/>
        </w:rPr>
        <w:t>8. Discussion: Implications for the Deep Symbolic Systems Model</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 xml:space="preserve">The Deep Symbolic Systems Model argues that structured symbolic and ritual systems underlie human cultural continuity long before writing, agriculture, or urbanism (Vondoom, 2026r). Its central claim is that monumentality and writing are late-stage externalizations of pre-existing symbolic load </w:t>
      </w:r>
      <w:r>
        <w:rPr>
          <w:rFonts w:ascii="Verdana" w:hAnsi="Verdana" w:hint="default"/>
          <w:sz w:val="24"/>
          <w:szCs w:val="24"/>
          <w:rtl w:val="0"/>
          <w:lang w:val="en-US"/>
        </w:rPr>
        <w:t xml:space="preserve">— </w:t>
      </w:r>
      <w:r>
        <w:rPr>
          <w:rFonts w:ascii="Verdana" w:hAnsi="Verdana"/>
          <w:sz w:val="24"/>
          <w:szCs w:val="24"/>
          <w:rtl w:val="0"/>
          <w:lang w:val="en-US"/>
        </w:rPr>
        <w:t>the visible crystallization of transmission systems already operational for tens of thousands of years through embodied practice, spatial constraint, intergenerational repetition, and cross-media redundancy. Technologies are fossilized rituals: procedures that have stabilized sufficiently to be transmitted reliably across generations without formal notation (Vondoom, 2026k; Vondoom, 2026l).</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The Chagyrskaya dental evidence is, in this framework, a fossilized procedure. The jasper perforator is the technology. The drilling technique is the ritual. The patient's tolerance is the social infrastructure. The post-operative wear marks are the proof of functional transmission. Everything required by the DSSM account of early knowledge stabilization is present in this single tooth.</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 xml:space="preserve">The practice satisfies all four DSSM stabilization criteria as applied to the full Neanderthal dental record. Intergenerational repetition is evidenced across three geographically dispersed sites spanning 130,000 BP to 59,000 BP </w:t>
      </w:r>
      <w:r>
        <w:rPr>
          <w:rFonts w:ascii="Verdana" w:hAnsi="Verdana" w:hint="default"/>
          <w:sz w:val="24"/>
          <w:szCs w:val="24"/>
          <w:rtl w:val="0"/>
          <w:lang w:val="en-US"/>
        </w:rPr>
        <w:t xml:space="preserve">— </w:t>
      </w:r>
      <w:r>
        <w:rPr>
          <w:rFonts w:ascii="Verdana" w:hAnsi="Verdana"/>
          <w:sz w:val="24"/>
          <w:szCs w:val="24"/>
          <w:rtl w:val="0"/>
          <w:lang w:val="en-US"/>
        </w:rPr>
        <w:t xml:space="preserve">implying continuous or recurrent transmission across the full Neanderthal range over a period longer than the entire H. sapiens archaeological record. Spatial constraint is satisfied by the consistent use of cave sites as practice locations. Cross-media redundancy is present in the three distinct modalities </w:t>
      </w:r>
      <w:r>
        <w:rPr>
          <w:rFonts w:ascii="Verdana" w:hAnsi="Verdana" w:hint="default"/>
          <w:sz w:val="24"/>
          <w:szCs w:val="24"/>
          <w:rtl w:val="0"/>
          <w:lang w:val="en-US"/>
        </w:rPr>
        <w:t xml:space="preserve">— </w:t>
      </w:r>
      <w:r>
        <w:rPr>
          <w:rFonts w:ascii="Verdana" w:hAnsi="Verdana"/>
          <w:sz w:val="24"/>
          <w:szCs w:val="24"/>
          <w:rtl w:val="0"/>
          <w:lang w:val="en-US"/>
        </w:rPr>
        <w:t xml:space="preserve">mechanical toothpicking, chemical self-medication, and invasive drilling </w:t>
      </w:r>
      <w:r>
        <w:rPr>
          <w:rFonts w:ascii="Verdana" w:hAnsi="Verdana" w:hint="default"/>
          <w:sz w:val="24"/>
          <w:szCs w:val="24"/>
          <w:rtl w:val="0"/>
          <w:lang w:val="en-US"/>
        </w:rPr>
        <w:t xml:space="preserve">— </w:t>
      </w:r>
      <w:r>
        <w:rPr>
          <w:rFonts w:ascii="Verdana" w:hAnsi="Verdana"/>
          <w:sz w:val="24"/>
          <w:szCs w:val="24"/>
          <w:rtl w:val="0"/>
          <w:lang w:val="en-US"/>
        </w:rPr>
        <w:t>operating as parallel and complementary embodied traditions within the same species. Persistence under stress is demonstrated by the procedure itself: dental pain is by clinical definition one of the most extreme physiological stressors the organism encounters, and the patient endured it and recovered functional use of the treated tooth (Vondoom, 2026c; Vondoom, 2026j).</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 xml:space="preserve">The Neural Evolution paper in this corpus (Vondoom, 2026p) argued for mosaic, gradual symbolic development across hominin lineages. The Cognitive Preconditions paper (Vondoom, 2026o) identified three sequential phases of symbolic capacity building, with Phase 1 and Phase 2 substrates operational well before the H. sapiens symbolic explosion. Chagyrskaya confirms that these substrates were not merely present in Neanderthals but active at a clinically sophisticated level. Phase 3 </w:t>
      </w:r>
      <w:r>
        <w:rPr>
          <w:rFonts w:ascii="Verdana" w:hAnsi="Verdana" w:hint="default"/>
          <w:sz w:val="24"/>
          <w:szCs w:val="24"/>
          <w:rtl w:val="0"/>
          <w:lang w:val="en-US"/>
        </w:rPr>
        <w:t xml:space="preserve">— </w:t>
      </w:r>
      <w:r>
        <w:rPr>
          <w:rFonts w:ascii="Verdana" w:hAnsi="Verdana"/>
          <w:sz w:val="24"/>
          <w:szCs w:val="24"/>
          <w:rtl w:val="0"/>
          <w:lang w:val="fr-FR"/>
        </w:rPr>
        <w:t xml:space="preserve">the H. sapiens symbolic amplification infrastructure </w:t>
      </w:r>
      <w:r>
        <w:rPr>
          <w:rFonts w:ascii="Verdana" w:hAnsi="Verdana" w:hint="default"/>
          <w:sz w:val="24"/>
          <w:szCs w:val="24"/>
          <w:rtl w:val="0"/>
          <w:lang w:val="en-US"/>
        </w:rPr>
        <w:t xml:space="preserve">— </w:t>
      </w:r>
      <w:r>
        <w:rPr>
          <w:rFonts w:ascii="Verdana" w:hAnsi="Verdana"/>
          <w:sz w:val="24"/>
          <w:szCs w:val="24"/>
          <w:rtl w:val="0"/>
          <w:lang w:val="en-US"/>
        </w:rPr>
        <w:t>added portability and abstract representation to a transmission system that was already running.</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 xml:space="preserve">The absorption hypothesis developed in Section 7 carries a further implication for the DSSM framework. If Neanderthal procedural knowledge survived through demographic absorption into H. sapiens populations </w:t>
      </w:r>
      <w:r>
        <w:rPr>
          <w:rFonts w:ascii="Verdana" w:hAnsi="Verdana" w:hint="default"/>
          <w:sz w:val="24"/>
          <w:szCs w:val="24"/>
          <w:rtl w:val="0"/>
          <w:lang w:val="en-US"/>
        </w:rPr>
        <w:t xml:space="preserve">— </w:t>
      </w:r>
      <w:r>
        <w:rPr>
          <w:rFonts w:ascii="Verdana" w:hAnsi="Verdana"/>
          <w:sz w:val="24"/>
          <w:szCs w:val="24"/>
          <w:rtl w:val="0"/>
          <w:lang w:val="en-US"/>
        </w:rPr>
        <w:t xml:space="preserve">not as cultural inheritance across a 30,000-year gap, but as a cognitive substrate transmitted through the mixed-ancestry populations that the admixture produced </w:t>
      </w:r>
      <w:r>
        <w:rPr>
          <w:rFonts w:ascii="Verdana" w:hAnsi="Verdana" w:hint="default"/>
          <w:sz w:val="24"/>
          <w:szCs w:val="24"/>
          <w:rtl w:val="0"/>
          <w:lang w:val="en-US"/>
        </w:rPr>
        <w:t xml:space="preserve">— </w:t>
      </w:r>
      <w:r>
        <w:rPr>
          <w:rFonts w:ascii="Verdana" w:hAnsi="Verdana"/>
          <w:sz w:val="24"/>
          <w:szCs w:val="24"/>
          <w:rtl w:val="0"/>
          <w:lang w:val="en-US"/>
        </w:rPr>
        <w:t>then the deep channel of knowledge transmission that the DSSM traces across H. sapiens prehistory was not opened by H. sapiens. It was inherited from a lineage that had been operating it for far longer. The channel was open in Chagyrskaya Cave long before anatomically modern humans reached Siberia.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8"/>
          <w:szCs w:val="28"/>
        </w:rPr>
      </w:pPr>
      <w:r>
        <w:rPr>
          <w:rFonts w:ascii="Verdana" w:hAnsi="Verdana"/>
          <w:sz w:val="28"/>
          <w:szCs w:val="28"/>
          <w:rtl w:val="0"/>
          <w:lang w:val="it-IT"/>
        </w:rPr>
        <w:t>9. Conclusion</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The Chagyrskaya 64 molar is a 59,000-year-old natural experiment that the mainstream cognitive archaeology literature did not anticipate and cannot easily absorb. A Neanderthal, in a Siberian cave, performed deliberate invasive dental surgery on a patient who survived the procedure and continued to use the treated tooth. The operator had relatively less prefrontal cortex than their H. sapiens contemporaries. The patient suppressed one of the most powerful pain signals in the nervous system. Both did so without writing, without modern working memory architecture, and without the symbolic externalizations that the field has traditionally used to mark the threshold of behavioral modernity.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sz w:val="24"/>
          <w:szCs w:val="24"/>
          <w:rtl w:val="0"/>
          <w:lang w:val="en-US"/>
        </w:rPr>
        <w:t xml:space="preserve">This paper has argued that the neurological paradox dissolves when the framework changes. The prefrontal cortex is not the only pathway to pain tolerance and prospective cognition </w:t>
      </w:r>
      <w:r>
        <w:rPr>
          <w:rFonts w:ascii="Verdana" w:hAnsi="Verdana" w:hint="default"/>
          <w:sz w:val="24"/>
          <w:szCs w:val="24"/>
          <w:rtl w:val="0"/>
          <w:lang w:val="en-US"/>
        </w:rPr>
        <w:t xml:space="preserve">— </w:t>
      </w:r>
      <w:r>
        <w:rPr>
          <w:rFonts w:ascii="Verdana" w:hAnsi="Verdana"/>
          <w:sz w:val="24"/>
          <w:szCs w:val="24"/>
          <w:rtl w:val="0"/>
          <w:lang w:val="en-US"/>
        </w:rPr>
        <w:t>embodied social trust, procedural conditioning, and the deep channel of practice-based transmission can operate in its relative absence. The dental record from 130,000 BP to 6,500 BP traces this transmission from Neanderthal self-care across three geographically dispersed sites through the escalating precision of H. sapiens dental practice at Villabruna, Riparo Fredian, Mehrgarh, and Slovenia.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 xml:space="preserve">The deeper implication is for the extinction narrative. A species performing two-person dental surgery and transmitting the knowledge across 71,000 years was not cognitively outcompeted. The genetic record confirms this: they merged. Every non-African alive today carries one to four percent Neanderthal DNA </w:t>
      </w:r>
      <w:r>
        <w:rPr>
          <w:rFonts w:ascii="Verdana" w:hAnsi="Verdana" w:hint="default"/>
          <w:sz w:val="24"/>
          <w:szCs w:val="24"/>
          <w:rtl w:val="0"/>
          <w:lang w:val="en-US"/>
        </w:rPr>
        <w:t xml:space="preserve">— </w:t>
      </w:r>
      <w:r>
        <w:rPr>
          <w:rFonts w:ascii="Verdana" w:hAnsi="Verdana"/>
          <w:sz w:val="24"/>
          <w:szCs w:val="24"/>
          <w:rtl w:val="0"/>
          <w:lang w:val="en-US"/>
        </w:rPr>
        <w:t>the residue of admixture events between small Neanderthal populations and the much larger H. sapiens expansion that moved through the same territory. What archaeology records as Neanderthal extinction is demographic absorption driven by numerical asymmetry: a population of effective size 3,000</w:t>
      </w:r>
      <w:r>
        <w:rPr>
          <w:rFonts w:ascii="Verdana" w:hAnsi="Verdana" w:hint="default"/>
          <w:sz w:val="24"/>
          <w:szCs w:val="24"/>
          <w:rtl w:val="0"/>
        </w:rPr>
        <w:t>–</w:t>
      </w:r>
      <w:r>
        <w:rPr>
          <w:rFonts w:ascii="Verdana" w:hAnsi="Verdana"/>
          <w:sz w:val="24"/>
          <w:szCs w:val="24"/>
          <w:rtl w:val="0"/>
          <w:lang w:val="en-US"/>
        </w:rPr>
        <w:t>12,000 incorporated into a wave numbering in the tens of thousands to low hundreds of thousands, with each generation diluting the Neanderthal genetic contribution proportionally until it fell below the threshold of material culture visibility while remaining detectable at the genomic level it occupies today.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Numerical advantage, not cognitive superiority, accounts for the outcome. The Neanderthals did not lose a competition. They were absorbed into the lineage that followed. The one to four percent of Neanderthal DNA carried by every non-African alive today is not a footnote to the story of human origins. It is the record of a demographic incorporation in which one population was much smaller than the other.</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The monuments came later. The channel through which knowledge moved between bodies and generations was already open in the Altai Mountains, 59,000 years ago.</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8"/>
          <w:szCs w:val="28"/>
        </w:rPr>
      </w:pPr>
      <w:r>
        <w:rPr>
          <w:rFonts w:ascii="Verdana" w:hAnsi="Verdana"/>
          <w:sz w:val="28"/>
          <w:szCs w:val="28"/>
          <w:rtl w:val="0"/>
          <w:lang w:val="en-US"/>
        </w:rPr>
        <w:t>10. Sustainable Development Goals (SDG) Relevance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This paper contributes to the following United Nations Sustainable Development Goals: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SDG 4 (Quality Education): By demonstrating that complex knowledge transmission systems predate formal instruction and literacy by tens of thousands of years, and operated in populations outside the H. sapiens lineage, this paper enriches understanding of the deep evolutionary roots of learning and challenges deficit-based frameworks for evaluating cognitive capability across populations and time periods.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4"/>
          <w:szCs w:val="24"/>
        </w:rPr>
      </w:pPr>
      <w:r>
        <w:rPr>
          <w:rFonts w:ascii="Verdana" w:hAnsi="Verdana"/>
          <w:sz w:val="24"/>
          <w:szCs w:val="24"/>
          <w:rtl w:val="0"/>
          <w:lang w:val="en-US"/>
        </w:rPr>
        <w:t>SDG 10 (Reduced Inequalities): The paper's demonstration that Neanderthals possessed and transmitted complex procedural knowledge, combined with the absorption hypothesis that replaces extinction-by-inferiority with demographic incorporation, directly challenges the narrative infrastructure that has historically supported hierarchical models of cognitive evolution. Demographic outcomes do not reflect cognitive rankings. Behavioral complexity does not require a specific neuroanatomical configuration to be real, effective, and transmissible.</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sz w:val="24"/>
          <w:szCs w:val="24"/>
          <w:rtl w:val="0"/>
          <w:lang w:val="en-US"/>
        </w:rPr>
        <w:t xml:space="preserve">SDG 16 (Peace, Justice and Strong Institutions): The evidence for Neanderthal care of the sick and injured </w:t>
      </w:r>
      <w:r>
        <w:rPr>
          <w:rFonts w:ascii="Verdana" w:hAnsi="Verdana" w:hint="default"/>
          <w:sz w:val="24"/>
          <w:szCs w:val="24"/>
          <w:rtl w:val="0"/>
          <w:lang w:val="en-US"/>
        </w:rPr>
        <w:t xml:space="preserve">— </w:t>
      </w:r>
      <w:r>
        <w:rPr>
          <w:rFonts w:ascii="Verdana" w:hAnsi="Verdana"/>
          <w:sz w:val="24"/>
          <w:szCs w:val="24"/>
          <w:rtl w:val="0"/>
          <w:lang w:val="en-US"/>
        </w:rPr>
        <w:t xml:space="preserve">including the social infrastructure required to support a dental patient through an acutely painful procedure </w:t>
      </w:r>
      <w:r>
        <w:rPr>
          <w:rFonts w:ascii="Verdana" w:hAnsi="Verdana" w:hint="default"/>
          <w:sz w:val="24"/>
          <w:szCs w:val="24"/>
          <w:rtl w:val="0"/>
          <w:lang w:val="en-US"/>
        </w:rPr>
        <w:t xml:space="preserve">— </w:t>
      </w:r>
      <w:r>
        <w:rPr>
          <w:rFonts w:ascii="Verdana" w:hAnsi="Verdana"/>
          <w:sz w:val="24"/>
          <w:szCs w:val="24"/>
          <w:rtl w:val="0"/>
          <w:lang w:val="en-US"/>
        </w:rPr>
        <w:t>contributes to the archaeological record of prosocial behavior, mutual aid, and proto-institutional care as ancient universals in the hominin lineage rather than recent cultural achievements.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28"/>
          <w:szCs w:val="28"/>
        </w:rPr>
      </w:pPr>
      <w:r>
        <w:rPr>
          <w:rFonts w:ascii="Verdana" w:hAnsi="Verdana"/>
          <w:sz w:val="28"/>
          <w:szCs w:val="28"/>
          <w:rtl w:val="0"/>
          <w:lang w:val="fr-FR"/>
        </w:rPr>
        <w:t>References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numPr>
          <w:ilvl w:val="0"/>
          <w:numId w:val="4"/>
        </w:numPr>
        <w:rPr>
          <w:rFonts w:ascii="Verdana" w:hAnsi="Verdana"/>
          <w:sz w:val="24"/>
          <w:szCs w:val="24"/>
          <w:lang w:val="en-US"/>
        </w:rPr>
      </w:pPr>
      <w:r>
        <w:rPr>
          <w:rFonts w:ascii="Verdana" w:hAnsi="Verdana"/>
          <w:sz w:val="24"/>
          <w:szCs w:val="24"/>
          <w:rtl w:val="0"/>
          <w:lang w:val="en-US"/>
        </w:rPr>
        <w:t>Apkarian, A.V., Bushnell, M.C., Treede, R.D., &amp; Zubieta, J.K. (2005). Human brain mechanisms of pain perception and regulation in health and disease. European Journal of Pain, 9(4), 463</w:t>
      </w:r>
      <w:r>
        <w:rPr>
          <w:rFonts w:ascii="Verdana" w:hAnsi="Verdana" w:hint="default"/>
          <w:sz w:val="24"/>
          <w:szCs w:val="24"/>
          <w:rtl w:val="0"/>
        </w:rPr>
        <w:t>–</w:t>
      </w:r>
      <w:r>
        <w:rPr>
          <w:rFonts w:ascii="Verdana" w:hAnsi="Verdana"/>
          <w:sz w:val="24"/>
          <w:szCs w:val="24"/>
          <w:rtl w:val="0"/>
        </w:rPr>
        <w:t>484. https://doi.org/10.1016/j.ejpain.2004.11.001</w:t>
      </w:r>
    </w:p>
    <w:p>
      <w:pPr>
        <w:pStyle w:val="Body"/>
        <w:numPr>
          <w:ilvl w:val="0"/>
          <w:numId w:val="4"/>
        </w:numPr>
        <w:rPr>
          <w:rFonts w:ascii="Verdana" w:hAnsi="Verdana"/>
          <w:sz w:val="24"/>
          <w:szCs w:val="24"/>
          <w:lang w:val="es-ES_tradnl"/>
        </w:rPr>
      </w:pPr>
      <w:r>
        <w:rPr>
          <w:rFonts w:ascii="Verdana" w:hAnsi="Verdana"/>
          <w:sz w:val="24"/>
          <w:szCs w:val="24"/>
          <w:rtl w:val="0"/>
          <w:lang w:val="es-ES_tradnl"/>
        </w:rPr>
        <w:t>Bastir, M., Rosas, A., Gunz, P., Pe</w:t>
      </w:r>
      <w:r>
        <w:rPr>
          <w:rFonts w:ascii="Verdana" w:hAnsi="Verdana" w:hint="default"/>
          <w:sz w:val="24"/>
          <w:szCs w:val="24"/>
          <w:rtl w:val="0"/>
          <w:lang w:val="es-ES_tradnl"/>
        </w:rPr>
        <w:t>ñ</w:t>
      </w:r>
      <w:r>
        <w:rPr>
          <w:rFonts w:ascii="Verdana" w:hAnsi="Verdana"/>
          <w:sz w:val="24"/>
          <w:szCs w:val="24"/>
          <w:rtl w:val="0"/>
          <w:lang w:val="en-US"/>
        </w:rPr>
        <w:t>a-Melian, A., Manzi, G., Harvati, K., Kruszynski, R., Stringer, C., &amp; Hublin, J.J. (2020). A morphometric comparison of the parietal lobe in modern humans and Neanderthals. Journal of Human Evolution, 142, 102770. https://doi.org/10.1016/j.jhevol.2020.102770</w:t>
      </w:r>
    </w:p>
    <w:p>
      <w:pPr>
        <w:pStyle w:val="Body"/>
        <w:numPr>
          <w:ilvl w:val="0"/>
          <w:numId w:val="4"/>
        </w:numPr>
        <w:rPr>
          <w:rFonts w:ascii="Verdana" w:hAnsi="Verdana"/>
          <w:sz w:val="24"/>
          <w:szCs w:val="24"/>
          <w:lang w:val="it-IT"/>
        </w:rPr>
      </w:pPr>
      <w:r>
        <w:rPr>
          <w:rFonts w:ascii="Verdana" w:hAnsi="Verdana"/>
          <w:sz w:val="24"/>
          <w:szCs w:val="24"/>
          <w:rtl w:val="0"/>
          <w:lang w:val="it-IT"/>
        </w:rPr>
        <w:t>Bernardini, F., Tuniz, C., Coppa, A., Mancini, L., Dreossi, D., Eichert, D., Turco, G., Biasotto, M., Terrasi, F., De Cesare, N., Hua, Q., &amp; Vincenzo, B. (2012). Beeswax as dental filling on a Neolithic human tooth. PLoS ONE, 7(9), e44904. https://doi.org/10.1371/journal.pone.0044904</w:t>
      </w:r>
    </w:p>
    <w:p>
      <w:pPr>
        <w:pStyle w:val="Body"/>
        <w:numPr>
          <w:ilvl w:val="0"/>
          <w:numId w:val="4"/>
        </w:numPr>
        <w:rPr>
          <w:rFonts w:ascii="Verdana" w:hAnsi="Verdana"/>
          <w:sz w:val="24"/>
          <w:szCs w:val="24"/>
          <w:lang w:val="en-US"/>
        </w:rPr>
      </w:pPr>
      <w:r>
        <w:rPr>
          <w:rFonts w:ascii="Verdana" w:hAnsi="Verdana"/>
          <w:sz w:val="24"/>
          <w:szCs w:val="24"/>
          <w:rtl w:val="0"/>
          <w:lang w:val="en-US"/>
        </w:rPr>
        <w:t>Coolidge, F.L., &amp; Wynn, T. (2005). Working memory, its executive functions, and the emergence of modern thinking. Cambridge Archaeological Journal, 15(1), 5</w:t>
      </w:r>
      <w:r>
        <w:rPr>
          <w:rFonts w:ascii="Verdana" w:hAnsi="Verdana" w:hint="default"/>
          <w:sz w:val="24"/>
          <w:szCs w:val="24"/>
          <w:rtl w:val="0"/>
        </w:rPr>
        <w:t>–</w:t>
      </w:r>
      <w:r>
        <w:rPr>
          <w:rFonts w:ascii="Verdana" w:hAnsi="Verdana"/>
          <w:sz w:val="24"/>
          <w:szCs w:val="24"/>
          <w:rtl w:val="0"/>
          <w:lang w:val="en-US"/>
        </w:rPr>
        <w:t>26. https://doi.org/10.1017/S0959774305000016</w:t>
      </w:r>
    </w:p>
    <w:p>
      <w:pPr>
        <w:pStyle w:val="Body"/>
        <w:numPr>
          <w:ilvl w:val="0"/>
          <w:numId w:val="4"/>
        </w:numPr>
        <w:rPr>
          <w:rFonts w:ascii="Verdana" w:hAnsi="Verdana"/>
          <w:sz w:val="24"/>
          <w:szCs w:val="24"/>
          <w:lang w:val="it-IT"/>
        </w:rPr>
      </w:pPr>
      <w:r>
        <w:rPr>
          <w:rFonts w:ascii="Verdana" w:hAnsi="Verdana"/>
          <w:sz w:val="24"/>
          <w:szCs w:val="24"/>
          <w:rtl w:val="0"/>
          <w:lang w:val="it-IT"/>
        </w:rPr>
        <w:t>Coppa, A., Bondioli, L., Cucina, A., Frayer, D.W., Jarrige, C., Jarrige, J.F., Quivron, G., Rossi, M., Vidale, M., &amp; Macchiarelli, R. (2006). Palaeontology: Early Neolithic tradition of dentistry. Nature, 440, 755</w:t>
      </w:r>
      <w:r>
        <w:rPr>
          <w:rFonts w:ascii="Verdana" w:hAnsi="Verdana" w:hint="default"/>
          <w:sz w:val="24"/>
          <w:szCs w:val="24"/>
          <w:rtl w:val="0"/>
        </w:rPr>
        <w:t>–</w:t>
      </w:r>
      <w:r>
        <w:rPr>
          <w:rFonts w:ascii="Verdana" w:hAnsi="Verdana"/>
          <w:sz w:val="24"/>
          <w:szCs w:val="24"/>
          <w:rtl w:val="0"/>
          <w:lang w:val="en-US"/>
        </w:rPr>
        <w:t>756. https://doi.org/10.1038/440755a</w:t>
      </w:r>
    </w:p>
    <w:p>
      <w:pPr>
        <w:pStyle w:val="Body"/>
        <w:numPr>
          <w:ilvl w:val="0"/>
          <w:numId w:val="4"/>
        </w:numPr>
        <w:rPr>
          <w:rFonts w:ascii="Verdana" w:hAnsi="Verdana"/>
          <w:sz w:val="24"/>
          <w:szCs w:val="24"/>
          <w:lang w:val="it-IT"/>
        </w:rPr>
      </w:pPr>
      <w:r>
        <w:rPr>
          <w:rFonts w:ascii="Verdana" w:hAnsi="Verdana"/>
          <w:sz w:val="24"/>
          <w:szCs w:val="24"/>
          <w:rtl w:val="0"/>
          <w:lang w:val="it-IT"/>
        </w:rPr>
        <w:t>Frayer, D.W., Gatti, J., Monge, J., &amp; Radov</w:t>
      </w:r>
      <w:r>
        <w:rPr>
          <w:rFonts w:ascii="Verdana" w:hAnsi="Verdana" w:hint="default"/>
          <w:sz w:val="24"/>
          <w:szCs w:val="24"/>
          <w:rtl w:val="0"/>
        </w:rPr>
        <w:t>č</w:t>
      </w:r>
      <w:r>
        <w:rPr>
          <w:rFonts w:ascii="Verdana" w:hAnsi="Verdana"/>
          <w:sz w:val="24"/>
          <w:szCs w:val="24"/>
          <w:rtl w:val="0"/>
        </w:rPr>
        <w:t>i</w:t>
      </w:r>
      <w:r>
        <w:rPr>
          <w:rFonts w:ascii="Verdana" w:hAnsi="Verdana" w:hint="default"/>
          <w:sz w:val="24"/>
          <w:szCs w:val="24"/>
          <w:rtl w:val="0"/>
        </w:rPr>
        <w:t>ć</w:t>
      </w:r>
      <w:r>
        <w:rPr>
          <w:rFonts w:ascii="Verdana" w:hAnsi="Verdana"/>
          <w:sz w:val="24"/>
          <w:szCs w:val="24"/>
          <w:rtl w:val="0"/>
          <w:lang w:val="en-US"/>
        </w:rPr>
        <w:t>, D. (2017). Prehistoric dentistry? P4 rotation, partial M3 impaction, toothpick grooves and other signs of manipulation in Krapina Dental Person 20. Bulletin of the International Association for Paleodontology, 11(1), 1</w:t>
      </w:r>
      <w:r>
        <w:rPr>
          <w:rFonts w:ascii="Verdana" w:hAnsi="Verdana" w:hint="default"/>
          <w:sz w:val="24"/>
          <w:szCs w:val="24"/>
          <w:rtl w:val="0"/>
        </w:rPr>
        <w:t>–</w:t>
      </w:r>
      <w:r>
        <w:rPr>
          <w:rFonts w:ascii="Verdana" w:hAnsi="Verdana"/>
          <w:sz w:val="24"/>
          <w:szCs w:val="24"/>
          <w:rtl w:val="0"/>
        </w:rPr>
        <w:t>11.</w:t>
      </w:r>
    </w:p>
    <w:p>
      <w:pPr>
        <w:pStyle w:val="Body"/>
        <w:numPr>
          <w:ilvl w:val="0"/>
          <w:numId w:val="4"/>
        </w:numPr>
        <w:rPr>
          <w:rFonts w:ascii="Verdana" w:hAnsi="Verdana"/>
          <w:sz w:val="24"/>
          <w:szCs w:val="24"/>
          <w:lang w:val="de-DE"/>
        </w:rPr>
      </w:pPr>
      <w:r>
        <w:rPr>
          <w:rFonts w:ascii="Verdana" w:hAnsi="Verdana"/>
          <w:sz w:val="24"/>
          <w:szCs w:val="24"/>
          <w:rtl w:val="0"/>
          <w:lang w:val="de-DE"/>
        </w:rPr>
        <w:t>Green, R.E., Krause, J., Briggs, A.W., Maricic, T., Stenzel, U., Kircher, M., Patterson, N., Li, H., Zhai, W., Fritz, M.H., Hansen, N.F., Durand, E.Y., Malaspinas, A.S., Jensen, J.D., Marques-Bonet, T., Alkan, C., Pr</w:t>
      </w:r>
      <w:r>
        <w:rPr>
          <w:rFonts w:ascii="Verdana" w:hAnsi="Verdana" w:hint="default"/>
          <w:sz w:val="24"/>
          <w:szCs w:val="24"/>
          <w:rtl w:val="0"/>
        </w:rPr>
        <w:t>ü</w:t>
      </w:r>
      <w:r>
        <w:rPr>
          <w:rFonts w:ascii="Verdana" w:hAnsi="Verdana"/>
          <w:sz w:val="24"/>
          <w:szCs w:val="24"/>
          <w:rtl w:val="0"/>
        </w:rPr>
        <w:t>fer, K., Meyer, M., Burbano, H.A., ... P</w:t>
      </w:r>
      <w:r>
        <w:rPr>
          <w:rFonts w:ascii="Verdana" w:hAnsi="Verdana" w:hint="default"/>
          <w:sz w:val="24"/>
          <w:szCs w:val="24"/>
          <w:rtl w:val="0"/>
        </w:rPr>
        <w:t>ää</w:t>
      </w:r>
      <w:r>
        <w:rPr>
          <w:rFonts w:ascii="Verdana" w:hAnsi="Verdana"/>
          <w:sz w:val="24"/>
          <w:szCs w:val="24"/>
          <w:rtl w:val="0"/>
          <w:lang w:val="en-US"/>
        </w:rPr>
        <w:t>bo, S. (2010). A draft sequence of the Neandertal genome. Science, 328(5979), 710</w:t>
      </w:r>
      <w:r>
        <w:rPr>
          <w:rFonts w:ascii="Verdana" w:hAnsi="Verdana" w:hint="default"/>
          <w:sz w:val="24"/>
          <w:szCs w:val="24"/>
          <w:rtl w:val="0"/>
        </w:rPr>
        <w:t>–</w:t>
      </w:r>
      <w:r>
        <w:rPr>
          <w:rFonts w:ascii="Verdana" w:hAnsi="Verdana"/>
          <w:sz w:val="24"/>
          <w:szCs w:val="24"/>
          <w:rtl w:val="0"/>
          <w:lang w:val="en-US"/>
        </w:rPr>
        <w:t>722. https://doi.org/10.1126/science.1188021</w:t>
      </w:r>
    </w:p>
    <w:p>
      <w:pPr>
        <w:pStyle w:val="Body"/>
        <w:numPr>
          <w:ilvl w:val="0"/>
          <w:numId w:val="4"/>
        </w:numPr>
        <w:rPr>
          <w:rFonts w:ascii="Verdana" w:hAnsi="Verdana"/>
          <w:sz w:val="24"/>
          <w:szCs w:val="24"/>
          <w:lang w:val="en-US"/>
        </w:rPr>
      </w:pPr>
      <w:r>
        <w:rPr>
          <w:rFonts w:ascii="Verdana" w:hAnsi="Verdana"/>
          <w:sz w:val="24"/>
          <w:szCs w:val="24"/>
          <w:rtl w:val="0"/>
          <w:lang w:val="en-US"/>
        </w:rPr>
        <w:t>Gunz, P., Tilot, A.K., Wittfeld, K., Teumer, A., Shapland, C.Y., van Erp, T.G.M., Dannemann, M., Grasby, K.L., Warrier, V., Timpson, N., Bullmore, E.T., Cattrell, A., Goltermann, J., Natt, D., Paabo, S., Pausova, Z., Prikken, M., Rouleau, G., Ruggeri, B., ... Fisher, S.E. (2019). Neandertal introgression sheds light on modern human endocranial globularity. Current Biology, 29(1), 120</w:t>
      </w:r>
      <w:r>
        <w:rPr>
          <w:rFonts w:ascii="Verdana" w:hAnsi="Verdana" w:hint="default"/>
          <w:sz w:val="24"/>
          <w:szCs w:val="24"/>
          <w:rtl w:val="0"/>
        </w:rPr>
        <w:t>–</w:t>
      </w:r>
      <w:r>
        <w:rPr>
          <w:rFonts w:ascii="Verdana" w:hAnsi="Verdana"/>
          <w:sz w:val="24"/>
          <w:szCs w:val="24"/>
          <w:rtl w:val="0"/>
          <w:lang w:val="en-US"/>
        </w:rPr>
        <w:t>127. https://doi.org/10.1016/j.cub.2018.10.065</w:t>
      </w:r>
    </w:p>
    <w:p>
      <w:pPr>
        <w:pStyle w:val="Body"/>
        <w:numPr>
          <w:ilvl w:val="0"/>
          <w:numId w:val="4"/>
        </w:numPr>
        <w:rPr>
          <w:rFonts w:ascii="Verdana" w:hAnsi="Verdana"/>
          <w:sz w:val="24"/>
          <w:szCs w:val="24"/>
          <w:lang w:val="de-DE"/>
        </w:rPr>
      </w:pPr>
      <w:r>
        <w:rPr>
          <w:rFonts w:ascii="Verdana" w:hAnsi="Verdana"/>
          <w:sz w:val="24"/>
          <w:szCs w:val="24"/>
          <w:rtl w:val="0"/>
          <w:lang w:val="de-DE"/>
        </w:rPr>
        <w:t>Hardy, K., Buckley, S., Collins, M.J., Estalrrich, A., Brothwell, D., Copeland, L., Garc</w:t>
      </w:r>
      <w:r>
        <w:rPr>
          <w:rFonts w:ascii="Verdana" w:hAnsi="Verdana" w:hint="default"/>
          <w:sz w:val="24"/>
          <w:szCs w:val="24"/>
          <w:rtl w:val="0"/>
        </w:rPr>
        <w:t>í</w:t>
      </w:r>
      <w:r>
        <w:rPr>
          <w:rFonts w:ascii="Verdana" w:hAnsi="Verdana"/>
          <w:sz w:val="24"/>
          <w:szCs w:val="24"/>
          <w:rtl w:val="0"/>
          <w:lang w:val="es-ES_tradnl"/>
        </w:rPr>
        <w:t>a-Tabernero, A., Garc</w:t>
      </w:r>
      <w:r>
        <w:rPr>
          <w:rFonts w:ascii="Verdana" w:hAnsi="Verdana" w:hint="default"/>
          <w:sz w:val="24"/>
          <w:szCs w:val="24"/>
          <w:rtl w:val="0"/>
        </w:rPr>
        <w:t>í</w:t>
      </w:r>
      <w:r>
        <w:rPr>
          <w:rFonts w:ascii="Verdana" w:hAnsi="Verdana"/>
          <w:sz w:val="24"/>
          <w:szCs w:val="24"/>
          <w:rtl w:val="0"/>
          <w:lang w:val="es-ES_tradnl"/>
        </w:rPr>
        <w:t>a-Vargas, S., de la Rasilla, M., Lalueza-Fox, C., Huguet, R., Bastir, M., Santamar</w:t>
      </w:r>
      <w:r>
        <w:rPr>
          <w:rFonts w:ascii="Verdana" w:hAnsi="Verdana" w:hint="default"/>
          <w:sz w:val="24"/>
          <w:szCs w:val="24"/>
          <w:rtl w:val="0"/>
        </w:rPr>
        <w:t>í</w:t>
      </w:r>
      <w:r>
        <w:rPr>
          <w:rFonts w:ascii="Verdana" w:hAnsi="Verdana"/>
          <w:sz w:val="24"/>
          <w:szCs w:val="24"/>
          <w:rtl w:val="0"/>
          <w:lang w:val="it-IT"/>
        </w:rPr>
        <w:t>a, D., Madella, M., Wilson, J., Cort</w:t>
      </w:r>
      <w:r>
        <w:rPr>
          <w:rFonts w:ascii="Verdana" w:hAnsi="Verdana" w:hint="default"/>
          <w:sz w:val="24"/>
          <w:szCs w:val="24"/>
          <w:rtl w:val="0"/>
          <w:lang w:val="fr-FR"/>
        </w:rPr>
        <w:t>é</w:t>
      </w:r>
      <w:r>
        <w:rPr>
          <w:rFonts w:ascii="Verdana" w:hAnsi="Verdana"/>
          <w:sz w:val="24"/>
          <w:szCs w:val="24"/>
          <w:rtl w:val="0"/>
          <w:lang w:val="de-DE"/>
        </w:rPr>
        <w:t>s, A.F., &amp; Rosas, A. (2012). Neanderthal medics? Evidence for food, cooking, and medicinal plants entrapped in dental calculus. Naturwissenschaften, 99(8), 617</w:t>
      </w:r>
      <w:r>
        <w:rPr>
          <w:rFonts w:ascii="Verdana" w:hAnsi="Verdana" w:hint="default"/>
          <w:sz w:val="24"/>
          <w:szCs w:val="24"/>
          <w:rtl w:val="0"/>
        </w:rPr>
        <w:t>–</w:t>
      </w:r>
      <w:r>
        <w:rPr>
          <w:rFonts w:ascii="Verdana" w:hAnsi="Verdana"/>
          <w:sz w:val="24"/>
          <w:szCs w:val="24"/>
          <w:rtl w:val="0"/>
          <w:lang w:val="en-US"/>
        </w:rPr>
        <w:t>626. https://doi.org/10.1007/s00114-012-0942-0</w:t>
      </w:r>
    </w:p>
    <w:p>
      <w:pPr>
        <w:pStyle w:val="Body"/>
        <w:numPr>
          <w:ilvl w:val="0"/>
          <w:numId w:val="4"/>
        </w:numPr>
        <w:rPr>
          <w:rFonts w:ascii="Verdana" w:hAnsi="Verdana"/>
          <w:sz w:val="24"/>
          <w:szCs w:val="24"/>
          <w:lang w:val="en-US"/>
        </w:rPr>
      </w:pPr>
      <w:r>
        <w:rPr>
          <w:rFonts w:ascii="Verdana" w:hAnsi="Verdana"/>
          <w:sz w:val="24"/>
          <w:szCs w:val="24"/>
          <w:rtl w:val="0"/>
          <w:lang w:val="en-US"/>
        </w:rPr>
        <w:t>Jandial, R., Hughes, S.A., &amp; Chen, M.Y. (2010). Trigeminal neuralgia: A modern-day review. Neurological Research, 32(4), 447</w:t>
      </w:r>
      <w:r>
        <w:rPr>
          <w:rFonts w:ascii="Verdana" w:hAnsi="Verdana" w:hint="default"/>
          <w:sz w:val="24"/>
          <w:szCs w:val="24"/>
          <w:rtl w:val="0"/>
        </w:rPr>
        <w:t>–</w:t>
      </w:r>
      <w:r>
        <w:rPr>
          <w:rFonts w:ascii="Verdana" w:hAnsi="Verdana"/>
          <w:sz w:val="24"/>
          <w:szCs w:val="24"/>
          <w:rtl w:val="0"/>
          <w:lang w:val="en-US"/>
        </w:rPr>
        <w:t>454. https://doi.org/10.1179/016164110X12670144526437</w:t>
      </w:r>
    </w:p>
    <w:p>
      <w:pPr>
        <w:pStyle w:val="Body"/>
        <w:numPr>
          <w:ilvl w:val="0"/>
          <w:numId w:val="4"/>
        </w:numPr>
        <w:rPr>
          <w:rFonts w:ascii="Verdana" w:hAnsi="Verdana"/>
          <w:sz w:val="24"/>
          <w:szCs w:val="24"/>
          <w:lang w:val="en-US"/>
        </w:rPr>
      </w:pPr>
      <w:r>
        <w:rPr>
          <w:rFonts w:ascii="Verdana" w:hAnsi="Verdana"/>
          <w:sz w:val="24"/>
          <w:szCs w:val="24"/>
          <w:rtl w:val="0"/>
          <w:lang w:val="en-US"/>
        </w:rPr>
        <w:t>Kochiyama, T., Ogihara, N., Tanabe, H.C., Kondo, O., Amano, H., Hasegawa, K., Suzuki, H., Ponce de Leon, M.S., Zollikofer, C.P.E., Gunz, P., Harvati, K., Fujita, M., Miyawaki, Y., Shigehara, N., Akazawa, T., &amp; Sadato, N. (2018). Reconstructing the Neanderthal brain using computational anatomy. Scientific Reports, 8, 6296. https://doi.org/10.1038/s41598-018-24331-0</w:t>
      </w:r>
    </w:p>
    <w:p>
      <w:pPr>
        <w:pStyle w:val="Body"/>
        <w:numPr>
          <w:ilvl w:val="0"/>
          <w:numId w:val="4"/>
        </w:numPr>
        <w:rPr>
          <w:rFonts w:ascii="Verdana" w:hAnsi="Verdana"/>
          <w:sz w:val="24"/>
          <w:szCs w:val="24"/>
          <w:lang w:val="it-IT"/>
        </w:rPr>
      </w:pPr>
      <w:r>
        <w:rPr>
          <w:rFonts w:ascii="Verdana" w:hAnsi="Verdana"/>
          <w:sz w:val="24"/>
          <w:szCs w:val="24"/>
          <w:rtl w:val="0"/>
          <w:lang w:val="it-IT"/>
        </w:rPr>
        <w:t>Oxilia, G., Fabbri, M., Righi, M., Frayer, D.W., Verdi, C., Sala, G., Ferretti, A., Sorrentino, R., Parini, S., Quagliardi, M., Silvestrini, A., Cenci, T., Benocci, T., Cavazzuti, C., Paone, P., Cavalli, F., Samadelli, M., Mariotti, V., Luiselli, D., &amp; Benazzi, S. (2015). Earliest evidence of dental caries manipulation in the Late Upper Palaeolithic. Scientific Reports, 5, 12150. https://doi.org/10.1038/srep12150</w:t>
      </w:r>
    </w:p>
    <w:p>
      <w:pPr>
        <w:pStyle w:val="Body"/>
        <w:numPr>
          <w:ilvl w:val="0"/>
          <w:numId w:val="4"/>
        </w:numPr>
        <w:rPr>
          <w:rFonts w:ascii="Verdana" w:hAnsi="Verdana"/>
          <w:sz w:val="24"/>
          <w:szCs w:val="24"/>
          <w:lang w:val="it-IT"/>
        </w:rPr>
      </w:pPr>
      <w:r>
        <w:rPr>
          <w:rFonts w:ascii="Verdana" w:hAnsi="Verdana"/>
          <w:sz w:val="24"/>
          <w:szCs w:val="24"/>
          <w:rtl w:val="0"/>
          <w:lang w:val="it-IT"/>
        </w:rPr>
        <w:t>Oxilia, G., Fiorillo, F., Boschin, F., Boaretto, E., Apicella, S.A., Matteucci, C., Panetta, D., Pistocchi, R., Guerrini, F., Margherita, C., Andretta, M., Sorrentino, R., Boschian, G., Arrighi, S., Dori, I., Mancuso, G., Crezzini, J., Riga, A., Serrangeli, M.C., Vazzana, A., Salvadori, P.A., Vandini, M., Tozzi, C., Moroni, A., Feeney, R.N.M., Willman, J.C., Moggi-Cecchi, J., &amp; Benazzi, S. (2017). The dawn of dentistry in the late upper Paleolithic: An early case of pathological intervention at Riparo Fredian. American Journal of Physical Anthropology, 163(3), 446</w:t>
      </w:r>
      <w:r>
        <w:rPr>
          <w:rFonts w:ascii="Verdana" w:hAnsi="Verdana" w:hint="default"/>
          <w:sz w:val="24"/>
          <w:szCs w:val="24"/>
          <w:rtl w:val="0"/>
        </w:rPr>
        <w:t>–</w:t>
      </w:r>
      <w:r>
        <w:rPr>
          <w:rFonts w:ascii="Verdana" w:hAnsi="Verdana"/>
          <w:sz w:val="24"/>
          <w:szCs w:val="24"/>
          <w:rtl w:val="0"/>
          <w:lang w:val="en-US"/>
        </w:rPr>
        <w:t>461. https://doi.org/10.1002/ajpa.23216</w:t>
      </w:r>
    </w:p>
    <w:p>
      <w:pPr>
        <w:pStyle w:val="Body"/>
        <w:numPr>
          <w:ilvl w:val="0"/>
          <w:numId w:val="4"/>
        </w:numPr>
        <w:rPr>
          <w:rFonts w:ascii="Verdana" w:hAnsi="Verdana"/>
          <w:sz w:val="24"/>
          <w:szCs w:val="24"/>
        </w:rPr>
      </w:pPr>
      <w:r>
        <w:rPr>
          <w:rFonts w:ascii="Verdana" w:hAnsi="Verdana"/>
          <w:sz w:val="24"/>
          <w:szCs w:val="24"/>
          <w:rtl w:val="0"/>
        </w:rPr>
        <w:t>Pr</w:t>
      </w:r>
      <w:r>
        <w:rPr>
          <w:rFonts w:ascii="Verdana" w:hAnsi="Verdana" w:hint="default"/>
          <w:sz w:val="24"/>
          <w:szCs w:val="24"/>
          <w:rtl w:val="0"/>
        </w:rPr>
        <w:t>ü</w:t>
      </w:r>
      <w:r>
        <w:rPr>
          <w:rFonts w:ascii="Verdana" w:hAnsi="Verdana"/>
          <w:sz w:val="24"/>
          <w:szCs w:val="24"/>
          <w:rtl w:val="0"/>
          <w:lang w:val="de-DE"/>
        </w:rPr>
        <w:t>fer, K., Racimo, F., Patterson, N., Jay, F., Sankararaman, S., Sawyer, S., Heinze, A., Renaud, G., Sudmant, P.H., de Filippo, C., Li, H., Mallick, S., Dannemann, M., Fu, Q., Kircher, M., Kuhlwilm, M., Lachmann, M., Meyer, M., Ongyerth, M., ... P</w:t>
      </w:r>
      <w:r>
        <w:rPr>
          <w:rFonts w:ascii="Verdana" w:hAnsi="Verdana" w:hint="default"/>
          <w:sz w:val="24"/>
          <w:szCs w:val="24"/>
          <w:rtl w:val="0"/>
        </w:rPr>
        <w:t>ää</w:t>
      </w:r>
      <w:r>
        <w:rPr>
          <w:rFonts w:ascii="Verdana" w:hAnsi="Verdana"/>
          <w:sz w:val="24"/>
          <w:szCs w:val="24"/>
          <w:rtl w:val="0"/>
          <w:lang w:val="en-US"/>
        </w:rPr>
        <w:t>bo, S. (2014). The complete genome sequence of a Neanderthal from the Altai Mountains. Nature, 505, 43</w:t>
      </w:r>
      <w:r>
        <w:rPr>
          <w:rFonts w:ascii="Verdana" w:hAnsi="Verdana" w:hint="default"/>
          <w:sz w:val="24"/>
          <w:szCs w:val="24"/>
          <w:rtl w:val="0"/>
        </w:rPr>
        <w:t>–</w:t>
      </w:r>
      <w:r>
        <w:rPr>
          <w:rFonts w:ascii="Verdana" w:hAnsi="Verdana"/>
          <w:sz w:val="24"/>
          <w:szCs w:val="24"/>
          <w:rtl w:val="0"/>
          <w:lang w:val="en-US"/>
        </w:rPr>
        <w:t>49. https://doi.org/10.1038/nature12886</w:t>
      </w:r>
    </w:p>
    <w:p>
      <w:pPr>
        <w:pStyle w:val="Body"/>
        <w:numPr>
          <w:ilvl w:val="0"/>
          <w:numId w:val="4"/>
        </w:numPr>
        <w:rPr>
          <w:rFonts w:ascii="Verdana" w:hAnsi="Verdana"/>
          <w:sz w:val="24"/>
          <w:szCs w:val="24"/>
          <w:lang w:val="en-US"/>
        </w:rPr>
      </w:pPr>
      <w:r>
        <w:rPr>
          <w:rFonts w:ascii="Verdana" w:hAnsi="Verdana"/>
          <w:sz w:val="24"/>
          <w:szCs w:val="24"/>
          <w:rtl w:val="0"/>
          <w:lang w:val="en-US"/>
        </w:rPr>
        <w:t>Schoenemann, P.T., Holloway, R.L., Gao, J.-H., &amp; Yang, G. (2026). Neanderthal brain and cognition reconsidered. Proceedings of the National Academy of Sciences. https://doi.org/10.1073/pnas.2426638123</w:t>
      </w:r>
    </w:p>
    <w:p>
      <w:pPr>
        <w:pStyle w:val="Body"/>
        <w:numPr>
          <w:ilvl w:val="0"/>
          <w:numId w:val="4"/>
        </w:numPr>
        <w:rPr>
          <w:rFonts w:ascii="Verdana" w:hAnsi="Verdana"/>
          <w:sz w:val="24"/>
          <w:szCs w:val="24"/>
          <w:lang w:val="en-US"/>
        </w:rPr>
      </w:pPr>
      <w:r>
        <w:rPr>
          <w:rFonts w:ascii="Verdana" w:hAnsi="Verdana"/>
          <w:sz w:val="24"/>
          <w:szCs w:val="24"/>
          <w:rtl w:val="0"/>
          <w:lang w:val="en-US"/>
        </w:rPr>
        <w:t>Smith, F.H., Falsetti, A.B., &amp; Donnelly, S.M. (1989). Modern human origins. Yearbook of Physical Anthropology, 32, 35</w:t>
      </w:r>
      <w:r>
        <w:rPr>
          <w:rFonts w:ascii="Verdana" w:hAnsi="Verdana" w:hint="default"/>
          <w:sz w:val="24"/>
          <w:szCs w:val="24"/>
          <w:rtl w:val="0"/>
        </w:rPr>
        <w:t>–</w:t>
      </w:r>
      <w:r>
        <w:rPr>
          <w:rFonts w:ascii="Verdana" w:hAnsi="Verdana"/>
          <w:sz w:val="24"/>
          <w:szCs w:val="24"/>
          <w:rtl w:val="0"/>
        </w:rPr>
        <w:t>68. https://doi.org/10.1002/ajpa.1330320504</w:t>
      </w:r>
    </w:p>
    <w:p>
      <w:pPr>
        <w:pStyle w:val="Body"/>
        <w:numPr>
          <w:ilvl w:val="0"/>
          <w:numId w:val="4"/>
        </w:numPr>
        <w:rPr>
          <w:rFonts w:ascii="Verdana" w:hAnsi="Verdana"/>
          <w:sz w:val="24"/>
          <w:szCs w:val="24"/>
          <w:lang w:val="en-US"/>
        </w:rPr>
      </w:pPr>
      <w:r>
        <w:rPr>
          <w:rFonts w:ascii="Verdana" w:hAnsi="Verdana"/>
          <w:sz w:val="24"/>
          <w:szCs w:val="24"/>
          <w:rtl w:val="0"/>
          <w:lang w:val="en-US"/>
        </w:rPr>
        <w:t>Villa, P., &amp; Roebroeks, W. (2014). Neandertal demise: An archaeological analysis of the modern human superiority complex. PLoS ONE, 9(4), e96424. https://doi.org/10.1371/journal.pone.0096424</w:t>
      </w:r>
    </w:p>
    <w:p>
      <w:pPr>
        <w:pStyle w:val="Body"/>
        <w:numPr>
          <w:ilvl w:val="0"/>
          <w:numId w:val="4"/>
        </w:numPr>
        <w:rPr>
          <w:rFonts w:ascii="Verdana" w:hAnsi="Verdana"/>
          <w:sz w:val="24"/>
          <w:szCs w:val="24"/>
          <w:lang w:val="en-US"/>
        </w:rPr>
      </w:pPr>
      <w:r>
        <w:rPr>
          <w:rFonts w:ascii="Verdana" w:hAnsi="Verdana"/>
          <w:sz w:val="24"/>
          <w:szCs w:val="24"/>
          <w:rtl w:val="0"/>
          <w:lang w:val="en-US"/>
        </w:rPr>
        <w:t>Villanea, F.A., &amp; Schraiber, J.G. (2019). Multiple episodes of interbreeding between Neanderthal and modern humans. Nature Ecology &amp; Evolution, 3(1), 39</w:t>
      </w:r>
      <w:r>
        <w:rPr>
          <w:rFonts w:ascii="Verdana" w:hAnsi="Verdana" w:hint="default"/>
          <w:sz w:val="24"/>
          <w:szCs w:val="24"/>
          <w:rtl w:val="0"/>
        </w:rPr>
        <w:t>–</w:t>
      </w:r>
      <w:r>
        <w:rPr>
          <w:rFonts w:ascii="Verdana" w:hAnsi="Verdana"/>
          <w:sz w:val="24"/>
          <w:szCs w:val="24"/>
          <w:rtl w:val="0"/>
          <w:lang w:val="en-US"/>
        </w:rPr>
        <w:t>44. https://doi.org/10.1038/s41559-018-0735-8</w:t>
      </w:r>
    </w:p>
    <w:p>
      <w:pPr>
        <w:pStyle w:val="Body"/>
        <w:numPr>
          <w:ilvl w:val="0"/>
          <w:numId w:val="4"/>
        </w:numPr>
        <w:rPr>
          <w:rFonts w:ascii="Verdana" w:hAnsi="Verdana"/>
          <w:sz w:val="24"/>
          <w:szCs w:val="24"/>
          <w:lang w:val="en-US"/>
        </w:rPr>
      </w:pPr>
      <w:r>
        <w:rPr>
          <w:rFonts w:ascii="Verdana" w:hAnsi="Verdana"/>
          <w:sz w:val="24"/>
          <w:szCs w:val="24"/>
          <w:rtl w:val="0"/>
          <w:lang w:val="en-US"/>
        </w:rPr>
        <w:t>Weyrich, L.S., Duchene, S., Soubrier, J., Arriola, L., Llamas, B., Breen, J., Morris, A.G., Alt, K.W., Caramelli, D., Dresely, V., Farrell, M., Farrer, A.G., Francken, M., Gully, N., Haak, W., Hardy, K., Harvati, K., Held, P., Holmes, E.C., ... Cooper, A. (2017). Neanderthal behaviour, diet, and disease inferred from ancient DNA in dental calculus. Nature, 544(7650), 357</w:t>
      </w:r>
      <w:r>
        <w:rPr>
          <w:rFonts w:ascii="Verdana" w:hAnsi="Verdana" w:hint="default"/>
          <w:sz w:val="24"/>
          <w:szCs w:val="24"/>
          <w:rtl w:val="0"/>
        </w:rPr>
        <w:t>–</w:t>
      </w:r>
      <w:r>
        <w:rPr>
          <w:rFonts w:ascii="Verdana" w:hAnsi="Verdana"/>
          <w:sz w:val="24"/>
          <w:szCs w:val="24"/>
          <w:rtl w:val="0"/>
          <w:lang w:val="en-US"/>
        </w:rPr>
        <w:t>361. https://doi.org/10.1038/nature21674</w:t>
      </w:r>
    </w:p>
    <w:p>
      <w:pPr>
        <w:pStyle w:val="Body"/>
        <w:numPr>
          <w:ilvl w:val="0"/>
          <w:numId w:val="4"/>
        </w:numPr>
        <w:rPr>
          <w:rFonts w:ascii="Verdana" w:hAnsi="Verdana"/>
          <w:sz w:val="24"/>
          <w:szCs w:val="24"/>
          <w:lang w:val="en-US"/>
        </w:rPr>
      </w:pPr>
      <w:r>
        <w:rPr>
          <w:rFonts w:ascii="Verdana" w:hAnsi="Verdana"/>
          <w:sz w:val="24"/>
          <w:szCs w:val="24"/>
          <w:rtl w:val="0"/>
          <w:lang w:val="en-US"/>
        </w:rPr>
        <w:t>Zubova, A., Kolobova, K., Zotkina, L., Shalagina, A., Viola, B., Shunkov, M., &amp; Derevianko, A. (2026). Earliest evidence for invasive mitigation of dental caries by Neanderthals. PLOS One. https://doi.org/10.1371/journal.pone.0347662</w:t>
      </w:r>
    </w:p>
    <w:p>
      <w:pPr>
        <w:pStyle w:val="Body"/>
        <w:numPr>
          <w:ilvl w:val="0"/>
          <w:numId w:val="4"/>
        </w:numPr>
        <w:rPr>
          <w:rFonts w:ascii="Verdana" w:hAnsi="Verdana"/>
          <w:sz w:val="24"/>
          <w:szCs w:val="24"/>
          <w:lang w:val="en-US"/>
        </w:rPr>
      </w:pPr>
      <w:r>
        <w:rPr>
          <w:rFonts w:ascii="Verdana" w:hAnsi="Verdana"/>
          <w:sz w:val="24"/>
          <w:szCs w:val="24"/>
          <w:rtl w:val="0"/>
          <w:lang w:val="en-US"/>
        </w:rPr>
        <w:t>Vondoom, A. (2026c). Deep Symbolic Stabilization Across Early Civilizations: A Global DSSM Synthesis. Figshare Preprint. https://doi.org/10.6084/m9.figshare.31061758</w:t>
      </w:r>
    </w:p>
    <w:p>
      <w:pPr>
        <w:pStyle w:val="Body"/>
        <w:numPr>
          <w:ilvl w:val="0"/>
          <w:numId w:val="4"/>
        </w:numPr>
        <w:rPr>
          <w:rFonts w:ascii="Verdana" w:hAnsi="Verdana"/>
          <w:sz w:val="24"/>
          <w:szCs w:val="24"/>
          <w:lang w:val="en-US"/>
        </w:rPr>
      </w:pPr>
      <w:r>
        <w:rPr>
          <w:rFonts w:ascii="Verdana" w:hAnsi="Verdana"/>
          <w:sz w:val="24"/>
          <w:szCs w:val="24"/>
          <w:rtl w:val="0"/>
          <w:lang w:val="en-US"/>
        </w:rPr>
        <w:t>Vondoom, A. (2026j). The Deep Symbolic Systems Model (DSSM): A Canonical Framework for Early Symbolic Stabilization Across Macro-Regions. Figshare Preprint. https://doi.org/10.6084/m9.figshare.31061698.v3</w:t>
      </w:r>
    </w:p>
    <w:p>
      <w:pPr>
        <w:pStyle w:val="Body"/>
        <w:numPr>
          <w:ilvl w:val="0"/>
          <w:numId w:val="4"/>
        </w:numPr>
        <w:rPr>
          <w:rFonts w:ascii="Verdana" w:hAnsi="Verdana"/>
          <w:sz w:val="24"/>
          <w:szCs w:val="24"/>
          <w:lang w:val="en-US"/>
        </w:rPr>
      </w:pPr>
      <w:r>
        <w:rPr>
          <w:rFonts w:ascii="Verdana" w:hAnsi="Verdana"/>
          <w:sz w:val="24"/>
          <w:szCs w:val="24"/>
          <w:rtl w:val="0"/>
          <w:lang w:val="en-US"/>
        </w:rPr>
        <w:t>Vondoom, A. (2026k). From Symbols to Protocols: How Civilizational Trajectories Are Canalized by Deep Symbolic Systems. Figshare Preprint. https://doi.org/10.6084/m9.figshare.31081447</w:t>
      </w:r>
    </w:p>
    <w:p>
      <w:pPr>
        <w:pStyle w:val="Body"/>
        <w:numPr>
          <w:ilvl w:val="0"/>
          <w:numId w:val="4"/>
        </w:numPr>
        <w:rPr>
          <w:rFonts w:ascii="Verdana" w:hAnsi="Verdana"/>
          <w:sz w:val="24"/>
          <w:szCs w:val="24"/>
          <w:lang w:val="en-US"/>
        </w:rPr>
      </w:pPr>
      <w:r>
        <w:rPr>
          <w:rFonts w:ascii="Verdana" w:hAnsi="Verdana"/>
          <w:sz w:val="24"/>
          <w:szCs w:val="24"/>
          <w:rtl w:val="0"/>
          <w:lang w:val="en-US"/>
        </w:rPr>
        <w:t>Vondoom, A. (2026l). From Fossilized Ritual to Industrial Protocols: A Quantitative and Comparative DSSM Analysis. Figshare Preprint. https://doi.org/10.6084/m9.figshare.31081726</w:t>
      </w:r>
    </w:p>
    <w:p>
      <w:pPr>
        <w:pStyle w:val="Body"/>
        <w:numPr>
          <w:ilvl w:val="0"/>
          <w:numId w:val="4"/>
        </w:numPr>
        <w:rPr>
          <w:rFonts w:ascii="Verdana" w:hAnsi="Verdana"/>
          <w:sz w:val="24"/>
          <w:szCs w:val="24"/>
          <w:lang w:val="en-US"/>
        </w:rPr>
      </w:pPr>
      <w:r>
        <w:rPr>
          <w:rFonts w:ascii="Verdana" w:hAnsi="Verdana"/>
          <w:sz w:val="24"/>
          <w:szCs w:val="24"/>
          <w:rtl w:val="0"/>
          <w:lang w:val="en-US"/>
        </w:rPr>
        <w:t>Vondoom, A. (2026m). From Bruniquel to Blombos: Cognitive Evolution and Deep Symbolic Stabilization in Hominins and Early Civilization. Figshare Preprint. https://doi.org/10.6084/m9.figshare.31125448</w:t>
      </w:r>
    </w:p>
    <w:p>
      <w:pPr>
        <w:pStyle w:val="Body"/>
        <w:numPr>
          <w:ilvl w:val="0"/>
          <w:numId w:val="4"/>
        </w:numPr>
        <w:rPr>
          <w:rFonts w:ascii="Verdana" w:hAnsi="Verdana"/>
          <w:sz w:val="24"/>
          <w:szCs w:val="24"/>
          <w:lang w:val="en-US"/>
        </w:rPr>
      </w:pPr>
      <w:r>
        <w:rPr>
          <w:rFonts w:ascii="Verdana" w:hAnsi="Verdana"/>
          <w:sz w:val="24"/>
          <w:szCs w:val="24"/>
          <w:rtl w:val="0"/>
          <w:lang w:val="en-US"/>
        </w:rPr>
        <w:t>Vondoom, A. (2026n). DSSM Analysis Report: Bruniquel Cave, France. Figshare Preprint. https://doi.org/10.6084/m9.figshare.31125046</w:t>
      </w:r>
    </w:p>
    <w:p>
      <w:pPr>
        <w:pStyle w:val="Body"/>
        <w:numPr>
          <w:ilvl w:val="0"/>
          <w:numId w:val="4"/>
        </w:numPr>
        <w:rPr>
          <w:rFonts w:ascii="Verdana" w:hAnsi="Verdana"/>
          <w:sz w:val="24"/>
          <w:szCs w:val="24"/>
          <w:lang w:val="en-US"/>
        </w:rPr>
      </w:pPr>
      <w:r>
        <w:rPr>
          <w:rFonts w:ascii="Verdana" w:hAnsi="Verdana"/>
          <w:sz w:val="24"/>
          <w:szCs w:val="24"/>
          <w:rtl w:val="0"/>
          <w:lang w:val="en-US"/>
        </w:rPr>
        <w:t>Vondoom, A. (2026o). Cognitive Preconditions for the Deep Symbolic Systems Model (DSSM). OSF Preprint. https://doi.org/10.17605/OSF.IO/25AJW</w:t>
      </w:r>
    </w:p>
    <w:p>
      <w:pPr>
        <w:pStyle w:val="Body"/>
        <w:numPr>
          <w:ilvl w:val="0"/>
          <w:numId w:val="4"/>
        </w:numPr>
        <w:rPr>
          <w:rFonts w:ascii="Verdana" w:hAnsi="Verdana"/>
          <w:sz w:val="24"/>
          <w:szCs w:val="24"/>
          <w:lang w:val="en-US"/>
        </w:rPr>
      </w:pPr>
      <w:r>
        <w:rPr>
          <w:rFonts w:ascii="Verdana" w:hAnsi="Verdana"/>
          <w:sz w:val="24"/>
          <w:szCs w:val="24"/>
          <w:rtl w:val="0"/>
          <w:lang w:val="en-US"/>
        </w:rPr>
        <w:t>Vondoom, A. (2026p). Neural Evolution and Symbolic Stabilization: A Neuro-Archaeological Foundation for the DSSM. Figshare Preprint. https://doi.org/10.6084/m9.figshare.31077526</w:t>
      </w:r>
    </w:p>
    <w:p>
      <w:pPr>
        <w:pStyle w:val="Body"/>
        <w:numPr>
          <w:ilvl w:val="0"/>
          <w:numId w:val="4"/>
        </w:numPr>
        <w:rPr>
          <w:rFonts w:ascii="Verdana" w:hAnsi="Verdana"/>
          <w:sz w:val="24"/>
          <w:szCs w:val="24"/>
          <w:lang w:val="en-US"/>
        </w:rPr>
      </w:pPr>
      <w:r>
        <w:rPr>
          <w:rFonts w:ascii="Verdana" w:hAnsi="Verdana"/>
          <w:sz w:val="24"/>
          <w:szCs w:val="24"/>
          <w:rtl w:val="0"/>
          <w:lang w:val="en-US"/>
        </w:rPr>
        <w:t>Vondoom, A. (2026r). The Deep Symbolic Systems Model (DSSM): A Cognitive-Ritual Framework for Early Monumentality and Cultural Continuity. OSF Preprint. https://doi.org/10.17605/OSF.IO/YW5GM</w:t>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nothing"/>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s"/>
  </w:abstractNum>
  <w:abstractNum w:abstractNumId="3">
    <w:multiLevelType w:val="hybridMultilevel"/>
    <w:styleLink w:val="Bullets"/>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numbering" w:styleId="Bullets">
    <w:name w:val="Bullets"/>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