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hAnsi="Verdana"/>
          <w:sz w:val="44"/>
          <w:szCs w:val="4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sz w:val="44"/>
          <w:szCs w:val="44"/>
        </w:rPr>
      </w:pPr>
      <w:r>
        <w:rPr>
          <w:rFonts w:ascii="Verdana" w:hAnsi="Verdana"/>
          <w:sz w:val="44"/>
          <w:szCs w:val="44"/>
          <w:u w:color="000000"/>
          <w:rtl w:val="0"/>
          <w:lang w:val="en-US"/>
        </w:rPr>
        <w:t>Dating the Material, Not the Object:</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r>
        <w:rPr>
          <w:rFonts w:ascii="Verdana" w:hAnsi="Verdana"/>
          <w:sz w:val="24"/>
          <w:szCs w:val="24"/>
          <w:u w:color="000000"/>
          <w:rtl w:val="0"/>
          <w:lang w:val="en-US"/>
        </w:rPr>
        <w:t>A Methodological Framework for Distinguishing Organic Age from Manufacture Date in Ceramics with Organic Inclusions</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r>
        <w:rPr>
          <w:rFonts w:ascii="Verdana" w:hAnsi="Verdana"/>
          <w:rtl w:val="0"/>
          <w:lang w:val="it-IT"/>
        </w:rPr>
        <w:t xml:space="preserve">Figshare 2026 </w:t>
      </w:r>
      <w:r>
        <w:rPr>
          <w:rStyle w:val="Hyperlink.0"/>
          <w:rFonts w:ascii="Verdana" w:cs="Verdana" w:hAnsi="Verdana" w:eastAsia="Verdana"/>
        </w:rPr>
        <w:fldChar w:fldCharType="begin" w:fldLock="0"/>
      </w:r>
      <w:r>
        <w:rPr>
          <w:rStyle w:val="Hyperlink.0"/>
          <w:rFonts w:ascii="Verdana" w:cs="Verdana" w:hAnsi="Verdana" w:eastAsia="Verdana"/>
        </w:rPr>
        <w:instrText xml:space="preserve"> HYPERLINK "https://doi.org/10.6084/m9.figshare.32619978"</w:instrText>
      </w:r>
      <w:r>
        <w:rPr>
          <w:rStyle w:val="Hyperlink.0"/>
          <w:rFonts w:ascii="Verdana" w:cs="Verdana" w:hAnsi="Verdana" w:eastAsia="Verdana"/>
        </w:rPr>
        <w:fldChar w:fldCharType="separate" w:fldLock="0"/>
      </w:r>
      <w:r>
        <w:rPr>
          <w:rStyle w:val="Hyperlink.0"/>
          <w:rFonts w:ascii="Verdana" w:hAnsi="Verdana"/>
          <w:rtl w:val="0"/>
          <w:lang w:val="en-US"/>
        </w:rPr>
        <w:t>https://doi.org/10.6084/m9.figshare.32619978</w:t>
      </w:r>
      <w:r>
        <w:rPr>
          <w:rFonts w:ascii="Verdana" w:cs="Verdana" w:hAnsi="Verdana" w:eastAsia="Verdana"/>
        </w:rPr>
        <w:fldChar w:fldCharType="end" w:fldLock="0"/>
      </w:r>
      <w:r>
        <w:rPr>
          <w:rFonts w:ascii="Verdana" w:hAnsi="Verdana"/>
          <w:rtl w:val="0"/>
          <w:lang w:val="it-IT"/>
        </w:rPr>
        <w:t xml:space="preserve">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r>
        <w:rPr>
          <w:rFonts w:ascii="Verdana" w:hAnsi="Verdana"/>
          <w:u w:color="000000"/>
          <w:rtl w:val="0"/>
          <w:lang w:val="en-US"/>
        </w:rPr>
        <w:t>Anthony Vondoom</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r>
        <w:rPr>
          <w:rFonts w:ascii="Verdana" w:hAnsi="Verdana"/>
          <w:i w:val="1"/>
          <w:iCs w:val="1"/>
          <w:sz w:val="18"/>
          <w:szCs w:val="18"/>
          <w:u w:color="000000"/>
          <w:rtl w:val="0"/>
          <w:lang w:val="en-US"/>
        </w:rPr>
        <w:t>Independent Researcher, Cognitive Archaeology</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r>
        <w:rPr>
          <w:rFonts w:ascii="Verdana" w:hAnsi="Verdana"/>
          <w:sz w:val="18"/>
          <w:szCs w:val="18"/>
          <w:u w:color="000000"/>
          <w:rtl w:val="0"/>
          <w:lang w:val="de-DE"/>
        </w:rPr>
        <w:t>ORCID: 0009-0003-4953-1427  |  anthony.vondoom@outlook.com</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r>
        <w:rPr>
          <w:rFonts w:ascii="Verdana" w:hAnsi="Verdana"/>
          <w:sz w:val="18"/>
          <w:szCs w:val="18"/>
          <w:u w:color="000000"/>
          <w:rtl w:val="0"/>
          <w:lang w:val="en-US"/>
        </w:rPr>
        <w:t>June 2026</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Heading"/>
        <w:rPr>
          <w:rFonts w:ascii="Verdana" w:cs="Verdana" w:hAnsi="Verdana" w:eastAsia="Verdana"/>
          <w:b w:val="0"/>
          <w:bCs w:val="0"/>
        </w:rPr>
      </w:pPr>
      <w:r>
        <w:rPr>
          <w:rFonts w:ascii="Verdana" w:hAnsi="Verdana"/>
          <w:b w:val="0"/>
          <w:bCs w:val="0"/>
          <w:rtl w:val="0"/>
          <w:lang w:val="de-DE"/>
        </w:rPr>
        <w:t>Abstract</w:t>
      </w:r>
    </w:p>
    <w:p>
      <w:pPr>
        <w:pStyle w:val="Heading"/>
        <w:rPr>
          <w:rFonts w:ascii="Verdana" w:cs="Verdana" w:hAnsi="Verdana" w:eastAsia="Verdana"/>
          <w:b w:val="0"/>
          <w:bCs w:val="0"/>
          <w:lang w:val="en-US"/>
        </w:rPr>
      </w:pPr>
      <w:r>
        <w:rPr>
          <w:rFonts w:ascii="Verdana" w:hAnsi="Verdana"/>
          <w:b w:val="0"/>
          <w:bCs w:val="0"/>
          <w:sz w:val="22"/>
          <w:szCs w:val="22"/>
          <w:rtl w:val="0"/>
          <w:lang w:val="en-US"/>
        </w:rPr>
        <w:t xml:space="preserve">Radiocarbon dating of organic inclusions in ceramics measures the age of the organic material at metabolic cessation </w:t>
      </w:r>
      <w:r>
        <w:rPr>
          <w:rFonts w:ascii="Verdana" w:hAnsi="Verdana" w:hint="default"/>
          <w:b w:val="0"/>
          <w:bCs w:val="0"/>
          <w:sz w:val="22"/>
          <w:szCs w:val="22"/>
          <w:rtl w:val="0"/>
          <w:lang w:val="en-US"/>
        </w:rPr>
        <w:t xml:space="preserve">— </w:t>
      </w:r>
      <w:r>
        <w:rPr>
          <w:rFonts w:ascii="Verdana" w:hAnsi="Verdana"/>
          <w:b w:val="0"/>
          <w:bCs w:val="0"/>
          <w:sz w:val="22"/>
          <w:szCs w:val="22"/>
          <w:rtl w:val="0"/>
          <w:lang w:val="en-US"/>
        </w:rPr>
        <w:t xml:space="preserve">not the date of manufacture of the ceramic object containing it. This distinction is established in the literature but has not been synthesised as a standalone methodological framework applicable to ceramics with deliberate organic synthesis components. Drawing on the documented old wood problem, published case studies of anomalous radiocarbon dates in ceramic contexts, and the established practice of multi-proxy chronometric validation in early ceramic dating, this paper proposes five minimum evidentiary thresholds that must be met before organic inclusion ages can be accepted as manufacture dates. The framework is motivated by a recurring pattern in which bulk radiocarbon dates on organic fractions in unprovenanced or contested ceramics are presented as manufacture dates without the corroborating evidence that would establish the required contemporaneity between organic source material and manufacturing event. The proposed thresholds </w:t>
      </w:r>
      <w:r>
        <w:rPr>
          <w:rFonts w:ascii="Verdana" w:hAnsi="Verdana" w:hint="default"/>
          <w:b w:val="0"/>
          <w:bCs w:val="0"/>
          <w:sz w:val="22"/>
          <w:szCs w:val="22"/>
          <w:rtl w:val="0"/>
          <w:lang w:val="en-US"/>
        </w:rPr>
        <w:t xml:space="preserve">— </w:t>
      </w:r>
      <w:r>
        <w:rPr>
          <w:rFonts w:ascii="Verdana" w:hAnsi="Verdana"/>
          <w:b w:val="0"/>
          <w:bCs w:val="0"/>
          <w:sz w:val="22"/>
          <w:szCs w:val="22"/>
          <w:rtl w:val="0"/>
          <w:lang w:val="en-US"/>
        </w:rPr>
        <w:t xml:space="preserve">covering organic fraction selection, multi-proxy convergence, biogeographic consistency, phase identification, and depositional context </w:t>
      </w:r>
      <w:r>
        <w:rPr>
          <w:rFonts w:ascii="Verdana" w:hAnsi="Verdana" w:hint="default"/>
          <w:b w:val="0"/>
          <w:bCs w:val="0"/>
          <w:sz w:val="22"/>
          <w:szCs w:val="22"/>
          <w:rtl w:val="0"/>
          <w:lang w:val="en-US"/>
        </w:rPr>
        <w:t xml:space="preserve">— </w:t>
      </w:r>
      <w:r>
        <w:rPr>
          <w:rFonts w:ascii="Verdana" w:hAnsi="Verdana"/>
          <w:b w:val="0"/>
          <w:bCs w:val="0"/>
          <w:sz w:val="22"/>
          <w:szCs w:val="22"/>
          <w:rtl w:val="0"/>
          <w:lang w:val="en-US"/>
        </w:rPr>
        <w:t>are grounded in existing published methodology and are intended as a practical standard for evaluating extraordinary chronometric claims in ceramics with embedded organic components.</w:t>
      </w:r>
    </w:p>
    <w:p>
      <w:pPr>
        <w:pStyle w:val="Heading"/>
        <w:rPr>
          <w:rFonts w:ascii="Verdana" w:cs="Verdana" w:hAnsi="Verdana" w:eastAsia="Verdana"/>
          <w:b w:val="0"/>
          <w:bCs w:val="0"/>
        </w:rPr>
      </w:pPr>
    </w:p>
    <w:p>
      <w:pPr>
        <w:pStyle w:val="Heading"/>
        <w:rPr>
          <w:rFonts w:ascii="Verdana" w:cs="Verdana" w:hAnsi="Verdana" w:eastAsia="Verdana"/>
          <w:b w:val="0"/>
          <w:bCs w:val="0"/>
          <w:lang w:val="en-US"/>
        </w:rPr>
      </w:pPr>
      <w:r>
        <w:rPr>
          <w:rFonts w:ascii="Verdana" w:hAnsi="Verdana"/>
          <w:b w:val="0"/>
          <w:bCs w:val="0"/>
          <w:sz w:val="22"/>
          <w:szCs w:val="22"/>
          <w:rtl w:val="0"/>
          <w:lang w:val="en-US"/>
        </w:rPr>
        <w:t>Keywords: radiocarbon dating; organic inclusions; ceramic dating; manufacture date; old wood problem; multi-proxy dating; thermoluminescence; compound-specific radiocarbon analysis; geopolymer ceramics; taphonomy</w:t>
      </w:r>
    </w:p>
    <w:p>
      <w:pPr>
        <w:pStyle w:val="Heading"/>
        <w:rPr>
          <w:rFonts w:ascii="Verdana" w:cs="Verdana" w:hAnsi="Verdana" w:eastAsia="Verdana"/>
          <w:b w:val="0"/>
          <w:bCs w:val="0"/>
        </w:rPr>
      </w:pPr>
    </w:p>
    <w:p>
      <w:pPr>
        <w:pStyle w:val="Heading"/>
        <w:rPr>
          <w:rFonts w:ascii="Verdana" w:cs="Verdana" w:hAnsi="Verdana" w:eastAsia="Verdana"/>
          <w:b w:val="0"/>
          <w:bCs w:val="0"/>
        </w:rPr>
      </w:pPr>
    </w:p>
    <w:p>
      <w:pPr>
        <w:pStyle w:val="Heading"/>
        <w:rPr>
          <w:rFonts w:ascii="Verdana" w:cs="Verdana" w:hAnsi="Verdana" w:eastAsia="Verdana"/>
          <w:b w:val="0"/>
          <w:bCs w:val="0"/>
        </w:rPr>
      </w:pPr>
    </w:p>
    <w:p>
      <w:pPr>
        <w:pStyle w:val="Heading"/>
        <w:rPr>
          <w:rFonts w:ascii="Verdana" w:cs="Verdana" w:hAnsi="Verdana" w:eastAsia="Verdana"/>
          <w:b w:val="0"/>
          <w:bCs w:val="0"/>
        </w:rPr>
      </w:pPr>
    </w:p>
    <w:p>
      <w:pPr>
        <w:pStyle w:val="Heading"/>
        <w:rPr>
          <w:rFonts w:ascii="Verdana" w:cs="Verdana" w:hAnsi="Verdana" w:eastAsia="Verdana"/>
          <w:b w:val="0"/>
          <w:bCs w:val="0"/>
        </w:rPr>
      </w:pPr>
    </w:p>
    <w:p>
      <w:pPr>
        <w:pStyle w:val="Heading"/>
        <w:rPr>
          <w:rFonts w:ascii="Verdana" w:cs="Verdana" w:hAnsi="Verdana" w:eastAsia="Verdana"/>
          <w:b w:val="0"/>
          <w:bCs w:val="0"/>
        </w:rPr>
      </w:pPr>
    </w:p>
    <w:p>
      <w:pPr>
        <w:pStyle w:val="Heading"/>
        <w:rPr>
          <w:rFonts w:ascii="Verdana" w:cs="Verdana" w:hAnsi="Verdana" w:eastAsia="Verdana"/>
          <w:b w:val="0"/>
          <w:bCs w:val="0"/>
        </w:rPr>
      </w:pPr>
    </w:p>
    <w:p>
      <w:pPr>
        <w:pStyle w:val="Heading"/>
        <w:rPr>
          <w:rFonts w:ascii="Verdana" w:cs="Verdana" w:hAnsi="Verdana" w:eastAsia="Verdana"/>
          <w:b w:val="0"/>
          <w:bCs w:val="0"/>
          <w:lang w:val="fr-FR"/>
        </w:rPr>
      </w:pPr>
      <w:r>
        <w:rPr>
          <w:rFonts w:ascii="Verdana" w:hAnsi="Verdana"/>
          <w:b w:val="0"/>
          <w:bCs w:val="0"/>
          <w:rtl w:val="0"/>
          <w:lang w:val="fr-FR"/>
        </w:rPr>
        <w:t>1. Introduction</w:t>
      </w:r>
    </w:p>
    <w:p>
      <w:pPr>
        <w:pStyle w:val="Heading"/>
        <w:rPr>
          <w:rFonts w:ascii="Verdana" w:cs="Verdana" w:hAnsi="Verdana" w:eastAsia="Verdana"/>
          <w:b w:val="0"/>
          <w:bCs w:val="0"/>
          <w:lang w:val="en-US"/>
        </w:rPr>
      </w:pPr>
      <w:r>
        <w:rPr>
          <w:rFonts w:ascii="Verdana" w:hAnsi="Verdana"/>
          <w:b w:val="0"/>
          <w:bCs w:val="0"/>
          <w:sz w:val="22"/>
          <w:szCs w:val="22"/>
          <w:rtl w:val="0"/>
          <w:lang w:val="en-US"/>
        </w:rPr>
        <w:t>Radiocarbon dating has transformed archaeological chronology since its development by Libby in the late 1940s. Applied to appropriate short-lived organic materials from controlled stratigraphic contexts, it provides reliable absolute dates with well-understood error margins. Applied to organic inclusions in ceramics without adequate controls, it can produce dates that are technically accurate measurements of the organic material's age while being chronometrically misleading about the object that contains them.</w:t>
      </w:r>
    </w:p>
    <w:p>
      <w:pPr>
        <w:pStyle w:val="Heading"/>
        <w:rPr>
          <w:rFonts w:ascii="Verdana" w:cs="Verdana" w:hAnsi="Verdana" w:eastAsia="Verdana"/>
          <w:b w:val="0"/>
          <w:bCs w:val="0"/>
          <w:lang w:val="en-US"/>
        </w:rPr>
      </w:pPr>
      <w:r>
        <w:rPr>
          <w:rFonts w:ascii="Verdana" w:hAnsi="Verdana"/>
          <w:b w:val="0"/>
          <w:bCs w:val="0"/>
          <w:sz w:val="22"/>
          <w:szCs w:val="22"/>
          <w:rtl w:val="0"/>
          <w:lang w:val="en-US"/>
        </w:rPr>
        <w:t xml:space="preserve">The distinction between the age of an organic material and the age of the ceramic object that incorporates it is not a subtle or contested point. It follows directly from what radiocarbon dating measures: the elapsed time since an organism last exchanged carbon with the atmosphere (Bowman, 1990; Taylor &amp; Bar-Yosef, 2014). When organic material older than the manufacturing event is present in a ceramic </w:t>
      </w:r>
      <w:r>
        <w:rPr>
          <w:rFonts w:ascii="Verdana" w:hAnsi="Verdana" w:hint="default"/>
          <w:b w:val="0"/>
          <w:bCs w:val="0"/>
          <w:sz w:val="22"/>
          <w:szCs w:val="22"/>
          <w:rtl w:val="0"/>
          <w:lang w:val="en-US"/>
        </w:rPr>
        <w:t xml:space="preserve">— </w:t>
      </w:r>
      <w:r>
        <w:rPr>
          <w:rFonts w:ascii="Verdana" w:hAnsi="Verdana"/>
          <w:b w:val="0"/>
          <w:bCs w:val="0"/>
          <w:sz w:val="22"/>
          <w:szCs w:val="22"/>
          <w:rtl w:val="0"/>
          <w:lang w:val="en-US"/>
        </w:rPr>
        <w:t xml:space="preserve">whether through deliberate incorporation as a synthesis component, through post-depositional biological intrusion, or through the use of ancient clay or temper </w:t>
      </w:r>
      <w:r>
        <w:rPr>
          <w:rFonts w:ascii="Verdana" w:hAnsi="Verdana" w:hint="default"/>
          <w:b w:val="0"/>
          <w:bCs w:val="0"/>
          <w:sz w:val="22"/>
          <w:szCs w:val="22"/>
          <w:rtl w:val="0"/>
          <w:lang w:val="en-US"/>
        </w:rPr>
        <w:t xml:space="preserve">— </w:t>
      </w:r>
      <w:r>
        <w:rPr>
          <w:rFonts w:ascii="Verdana" w:hAnsi="Verdana"/>
          <w:b w:val="0"/>
          <w:bCs w:val="0"/>
          <w:sz w:val="22"/>
          <w:szCs w:val="22"/>
          <w:rtl w:val="0"/>
          <w:lang w:val="en-US"/>
        </w:rPr>
        <w:t>the radiocarbon date reflects the age of that organic source material, not the date of manufacture. This is the ceramic analogue of the old wood problem, extensively documented in the radiocarbon dating literature (De Atley, 1980).</w:t>
      </w:r>
    </w:p>
    <w:p>
      <w:pPr>
        <w:pStyle w:val="Heading"/>
        <w:rPr>
          <w:rFonts w:ascii="Verdana" w:cs="Verdana" w:hAnsi="Verdana" w:eastAsia="Verdana"/>
          <w:b w:val="0"/>
          <w:bCs w:val="0"/>
          <w:lang w:val="en-US"/>
        </w:rPr>
      </w:pPr>
      <w:r>
        <w:rPr>
          <w:rFonts w:ascii="Verdana" w:hAnsi="Verdana"/>
          <w:b w:val="0"/>
          <w:bCs w:val="0"/>
          <w:sz w:val="22"/>
          <w:szCs w:val="22"/>
          <w:rtl w:val="0"/>
          <w:lang w:val="en-US"/>
        </w:rPr>
        <w:t>Despite this, a recurring pattern exists in the archaeometric literature on unprovenanced and contested ceramics in which bulk radiocarbon dates on organic fractions are presented as manufacture dates without the corroborating evidence required to establish that the dated organic material was incorporated contemporaneously with the manufacturing event. The consequences for archaeological interpretation are significant: false antiquity claims built on technically real but methodologically misapplied dates are difficult to refute without recourse to the detailed chemical and instrumental analysis that the original claim presents as its own validating evidence.</w:t>
      </w:r>
    </w:p>
    <w:p>
      <w:pPr>
        <w:pStyle w:val="Heading"/>
        <w:rPr>
          <w:rFonts w:ascii="Verdana" w:cs="Verdana" w:hAnsi="Verdana" w:eastAsia="Verdana"/>
          <w:b w:val="0"/>
          <w:bCs w:val="0"/>
          <w:lang w:val="en-US"/>
        </w:rPr>
      </w:pPr>
      <w:r>
        <w:rPr>
          <w:rFonts w:ascii="Verdana" w:hAnsi="Verdana"/>
          <w:b w:val="0"/>
          <w:bCs w:val="0"/>
          <w:sz w:val="22"/>
          <w:szCs w:val="22"/>
          <w:rtl w:val="0"/>
          <w:lang w:val="en-US"/>
        </w:rPr>
        <w:t xml:space="preserve">This paper proposes a practical methodological framework </w:t>
      </w:r>
      <w:r>
        <w:rPr>
          <w:rFonts w:ascii="Verdana" w:hAnsi="Verdana" w:hint="default"/>
          <w:b w:val="0"/>
          <w:bCs w:val="0"/>
          <w:sz w:val="22"/>
          <w:szCs w:val="22"/>
          <w:rtl w:val="0"/>
          <w:lang w:val="en-US"/>
        </w:rPr>
        <w:t xml:space="preserve">— </w:t>
      </w:r>
      <w:r>
        <w:rPr>
          <w:rFonts w:ascii="Verdana" w:hAnsi="Verdana"/>
          <w:b w:val="0"/>
          <w:bCs w:val="0"/>
          <w:sz w:val="22"/>
          <w:szCs w:val="22"/>
          <w:rtl w:val="0"/>
          <w:lang w:val="en-US"/>
        </w:rPr>
        <w:t xml:space="preserve">five minimum evidentiary thresholds </w:t>
      </w:r>
      <w:r>
        <w:rPr>
          <w:rFonts w:ascii="Verdana" w:hAnsi="Verdana" w:hint="default"/>
          <w:b w:val="0"/>
          <w:bCs w:val="0"/>
          <w:sz w:val="22"/>
          <w:szCs w:val="22"/>
          <w:rtl w:val="0"/>
          <w:lang w:val="en-US"/>
        </w:rPr>
        <w:t xml:space="preserve">— </w:t>
      </w:r>
      <w:r>
        <w:rPr>
          <w:rFonts w:ascii="Verdana" w:hAnsi="Verdana"/>
          <w:b w:val="0"/>
          <w:bCs w:val="0"/>
          <w:sz w:val="22"/>
          <w:szCs w:val="22"/>
          <w:rtl w:val="0"/>
          <w:lang w:val="en-US"/>
        </w:rPr>
        <w:t>that must be met before organic inclusion ages in ceramics can be accepted as manufacture dates. The framework is grounded in published methodology, illustrated through documented case studies, and presented as a positive contribution to archaeometric standards rather than as a critique of any single study. A worked example is provided in Section 7.</w:t>
      </w:r>
    </w:p>
    <w:p>
      <w:pPr>
        <w:pStyle w:val="Heading"/>
        <w:rPr>
          <w:rFonts w:ascii="Verdana" w:cs="Verdana" w:hAnsi="Verdana" w:eastAsia="Verdana"/>
          <w:b w:val="0"/>
          <w:bCs w:val="0"/>
          <w:lang w:val="en-US"/>
        </w:rPr>
      </w:pPr>
      <w:r>
        <w:rPr>
          <w:rFonts w:ascii="Verdana" w:hAnsi="Verdana"/>
          <w:b w:val="0"/>
          <w:bCs w:val="0"/>
          <w:rtl w:val="0"/>
          <w:lang w:val="en-US"/>
        </w:rPr>
        <w:t>2. Background: The Old Wood Problem and Its Ceramic Analogues</w:t>
      </w:r>
    </w:p>
    <w:p>
      <w:pPr>
        <w:pStyle w:val="Heading"/>
        <w:rPr>
          <w:rFonts w:ascii="Verdana" w:cs="Verdana" w:hAnsi="Verdana" w:eastAsia="Verdana"/>
          <w:b w:val="0"/>
          <w:bCs w:val="0"/>
          <w:lang w:val="en-US"/>
        </w:rPr>
      </w:pPr>
      <w:r>
        <w:rPr>
          <w:rFonts w:ascii="Verdana" w:hAnsi="Verdana"/>
          <w:b w:val="0"/>
          <w:bCs w:val="0"/>
          <w:sz w:val="22"/>
          <w:szCs w:val="22"/>
          <w:rtl w:val="0"/>
          <w:lang w:val="en-US"/>
        </w:rPr>
        <w:t xml:space="preserve">The old wood problem is among the most thoroughly documented methodological challenges in radiocarbon dating. When dated materials derive from long-lived organisms </w:t>
      </w:r>
      <w:r>
        <w:rPr>
          <w:rFonts w:ascii="Verdana" w:hAnsi="Verdana" w:hint="default"/>
          <w:b w:val="0"/>
          <w:bCs w:val="0"/>
          <w:sz w:val="22"/>
          <w:szCs w:val="22"/>
          <w:rtl w:val="0"/>
          <w:lang w:val="en-US"/>
        </w:rPr>
        <w:t xml:space="preserve">— </w:t>
      </w:r>
      <w:r>
        <w:rPr>
          <w:rFonts w:ascii="Verdana" w:hAnsi="Verdana"/>
          <w:b w:val="0"/>
          <w:bCs w:val="0"/>
          <w:sz w:val="22"/>
          <w:szCs w:val="22"/>
          <w:rtl w:val="0"/>
          <w:lang w:val="en-US"/>
        </w:rPr>
        <w:t xml:space="preserve">structural timber, driftwood, large-diameter charcoal </w:t>
      </w:r>
      <w:r>
        <w:rPr>
          <w:rFonts w:ascii="Verdana" w:hAnsi="Verdana" w:hint="default"/>
          <w:b w:val="0"/>
          <w:bCs w:val="0"/>
          <w:sz w:val="22"/>
          <w:szCs w:val="22"/>
          <w:rtl w:val="0"/>
          <w:lang w:val="en-US"/>
        </w:rPr>
        <w:t xml:space="preserve">— </w:t>
      </w:r>
      <w:r>
        <w:rPr>
          <w:rFonts w:ascii="Verdana" w:hAnsi="Verdana"/>
          <w:b w:val="0"/>
          <w:bCs w:val="0"/>
          <w:sz w:val="22"/>
          <w:szCs w:val="22"/>
          <w:rtl w:val="0"/>
          <w:lang w:val="en-US"/>
        </w:rPr>
        <w:t>the radiocarbon date reflects when the organism grew, not when it was used or deposited. The gap between organismal death and archaeological deposition can span decades, centuries, or in exceptional cases millennia (Waterbolk, 1971).</w:t>
      </w:r>
    </w:p>
    <w:p>
      <w:pPr>
        <w:pStyle w:val="Heading"/>
        <w:rPr>
          <w:rFonts w:ascii="Verdana" w:cs="Verdana" w:hAnsi="Verdana" w:eastAsia="Verdana"/>
          <w:b w:val="0"/>
          <w:bCs w:val="0"/>
          <w:lang w:val="en-US"/>
        </w:rPr>
      </w:pPr>
      <w:r>
        <w:rPr>
          <w:rFonts w:ascii="Verdana" w:hAnsi="Verdana"/>
          <w:b w:val="0"/>
          <w:bCs w:val="0"/>
          <w:sz w:val="22"/>
          <w:szCs w:val="22"/>
          <w:rtl w:val="0"/>
          <w:lang w:val="en-US"/>
        </w:rPr>
        <w:t>The same logical structure applies to organic inclusions in ceramics, though the mechanism varies by the type of organic material involved. The radiocarbon dating of ceramic materials literature has identified four distinct points at which organic carbon can be introduced into a ceramic object in ways that do not represent the time of manufacture or use: during clay selection, temper selection, vessel use during its lifetime, and in the post-depositional environment (De Atley, 1980). Each represents a different mechanism by which organic material of an age different from the manufacturing event can become incorporated into the ceramic matrix.</w:t>
      </w:r>
    </w:p>
    <w:p>
      <w:pPr>
        <w:pStyle w:val="Heading"/>
        <w:rPr>
          <w:rFonts w:ascii="Verdana" w:cs="Verdana" w:hAnsi="Verdana" w:eastAsia="Verdana"/>
          <w:b w:val="0"/>
          <w:bCs w:val="0"/>
          <w:lang w:val="en-US"/>
        </w:rPr>
      </w:pPr>
      <w:r>
        <w:rPr>
          <w:rFonts w:ascii="Verdana" w:hAnsi="Verdana"/>
          <w:b w:val="0"/>
          <w:bCs w:val="0"/>
          <w:sz w:val="22"/>
          <w:szCs w:val="22"/>
          <w:rtl w:val="0"/>
          <w:lang w:val="en-US"/>
        </w:rPr>
        <w:t xml:space="preserve">Of particular relevance to ceramics with deliberate organic synthesis components </w:t>
      </w:r>
      <w:r>
        <w:rPr>
          <w:rFonts w:ascii="Verdana" w:hAnsi="Verdana" w:hint="default"/>
          <w:b w:val="0"/>
          <w:bCs w:val="0"/>
          <w:sz w:val="22"/>
          <w:szCs w:val="22"/>
          <w:rtl w:val="0"/>
          <w:lang w:val="en-US"/>
        </w:rPr>
        <w:t xml:space="preserve">— </w:t>
      </w:r>
      <w:r>
        <w:rPr>
          <w:rFonts w:ascii="Verdana" w:hAnsi="Verdana"/>
          <w:b w:val="0"/>
          <w:bCs w:val="0"/>
          <w:sz w:val="22"/>
          <w:szCs w:val="22"/>
          <w:rtl w:val="0"/>
          <w:lang w:val="en-US"/>
        </w:rPr>
        <w:t xml:space="preserve">including ceramics where plant-derived acids, resins, or biogenic compounds are incorporated as manufacturing inputs </w:t>
      </w:r>
      <w:r>
        <w:rPr>
          <w:rFonts w:ascii="Verdana" w:hAnsi="Verdana" w:hint="default"/>
          <w:b w:val="0"/>
          <w:bCs w:val="0"/>
          <w:sz w:val="22"/>
          <w:szCs w:val="22"/>
          <w:rtl w:val="0"/>
          <w:lang w:val="en-US"/>
        </w:rPr>
        <w:t xml:space="preserve">— </w:t>
      </w:r>
      <w:r>
        <w:rPr>
          <w:rFonts w:ascii="Verdana" w:hAnsi="Verdana"/>
          <w:b w:val="0"/>
          <w:bCs w:val="0"/>
          <w:sz w:val="22"/>
          <w:szCs w:val="22"/>
          <w:rtl w:val="0"/>
          <w:lang w:val="en-US"/>
        </w:rPr>
        <w:t>is the possibility that ancient organic source materials are used in the manufacturing process itself. Natural plant resins can persist in depositional contexts for tens of thousands of years: Dominican copal has been documented at over 36,000 years BP in natural depositional settings, with individual specimens spanning from 10,820 BP to 1,700 BP within the same published literature (Anderson, 1996; Rikkinen et al., 2020). A ceramic manufactured recently using ancient resin as a synthesis component will return radiocarbon dates reflecting the age of the resin source, not the manufacturing event.</w:t>
      </w:r>
    </w:p>
    <w:p>
      <w:pPr>
        <w:pStyle w:val="Heading"/>
        <w:rPr>
          <w:rFonts w:ascii="Verdana" w:cs="Verdana" w:hAnsi="Verdana" w:eastAsia="Verdana"/>
          <w:b w:val="0"/>
          <w:bCs w:val="0"/>
          <w:lang w:val="en-US"/>
        </w:rPr>
      </w:pPr>
      <w:r>
        <w:rPr>
          <w:rFonts w:ascii="Verdana" w:hAnsi="Verdana"/>
          <w:b w:val="0"/>
          <w:bCs w:val="0"/>
          <w:sz w:val="22"/>
          <w:szCs w:val="22"/>
          <w:rtl w:val="0"/>
          <w:lang w:val="en-US"/>
        </w:rPr>
        <w:t>A documented case study published in npj Heritage Science illustrates this mechanism directly. Bronze Age vessels from a Russian lakeside settlement returned anomalously ancient radiocarbon dates because the ceramic paste incorporated ancient lacustrine calcite from the same lake used in manufacture. XRD and SEM/EDS analysis identified the cause: the mineral phase of the ceramic matched the ancient sapropel from the lake, which itself returned anomalously old dates (Voronin, 2025). The radiocarbon dates were real measurements. They did not date manufacture.</w:t>
      </w:r>
    </w:p>
    <w:p>
      <w:pPr>
        <w:pStyle w:val="Heading"/>
        <w:rPr>
          <w:rFonts w:ascii="Verdana" w:cs="Verdana" w:hAnsi="Verdana" w:eastAsia="Verdana"/>
          <w:b w:val="0"/>
          <w:bCs w:val="0"/>
          <w:lang w:val="en-US"/>
        </w:rPr>
      </w:pPr>
      <w:r>
        <w:rPr>
          <w:rFonts w:ascii="Verdana" w:hAnsi="Verdana"/>
          <w:b w:val="0"/>
          <w:bCs w:val="0"/>
          <w:rtl w:val="0"/>
          <w:lang w:val="en-US"/>
        </w:rPr>
        <w:t>3. Why Organic Inclusion Age Does Not Equal Manufacture Date</w:t>
      </w:r>
    </w:p>
    <w:p>
      <w:pPr>
        <w:pStyle w:val="Heading"/>
        <w:rPr>
          <w:rFonts w:ascii="Verdana" w:cs="Verdana" w:hAnsi="Verdana" w:eastAsia="Verdana"/>
          <w:b w:val="0"/>
          <w:bCs w:val="0"/>
          <w:lang w:val="en-US"/>
        </w:rPr>
      </w:pPr>
      <w:r>
        <w:rPr>
          <w:rFonts w:ascii="Verdana" w:hAnsi="Verdana"/>
          <w:b w:val="0"/>
          <w:bCs w:val="0"/>
          <w:sz w:val="22"/>
          <w:szCs w:val="22"/>
          <w:rtl w:val="0"/>
          <w:lang w:val="en-US"/>
        </w:rPr>
        <w:t>Three conditions must all be demonstrably satisfied for the radiocarbon age of an organic inclusion to function as a manufacture date:</w:t>
      </w:r>
    </w:p>
    <w:p>
      <w:pPr>
        <w:pStyle w:val="Heading"/>
        <w:rPr>
          <w:rFonts w:ascii="Verdana" w:cs="Verdana" w:hAnsi="Verdana" w:eastAsia="Verdana"/>
          <w:b w:val="0"/>
          <w:bCs w:val="0"/>
          <w:lang w:val="en-US"/>
        </w:rPr>
      </w:pPr>
      <w:r>
        <w:rPr>
          <w:rFonts w:ascii="Verdana" w:hAnsi="Verdana"/>
          <w:b w:val="0"/>
          <w:bCs w:val="0"/>
          <w:sz w:val="22"/>
          <w:szCs w:val="22"/>
          <w:rtl w:val="0"/>
          <w:lang w:val="en-US"/>
        </w:rPr>
        <w:t>First, the organic material must have been sourced contemporaneously with the manufacturing event. It cannot have been obtained from ancient deposits, old-growth sources, or materials with a significant gap between organismal death and incorporation.</w:t>
      </w:r>
    </w:p>
    <w:p>
      <w:pPr>
        <w:pStyle w:val="Heading"/>
        <w:rPr>
          <w:rFonts w:ascii="Verdana" w:cs="Verdana" w:hAnsi="Verdana" w:eastAsia="Verdana"/>
          <w:b w:val="0"/>
          <w:bCs w:val="0"/>
          <w:lang w:val="en-US"/>
        </w:rPr>
      </w:pPr>
      <w:r>
        <w:rPr>
          <w:rFonts w:ascii="Verdana" w:hAnsi="Verdana"/>
          <w:b w:val="0"/>
          <w:bCs w:val="0"/>
          <w:sz w:val="22"/>
          <w:szCs w:val="22"/>
          <w:rtl w:val="0"/>
          <w:lang w:val="en-US"/>
        </w:rPr>
        <w:t>Second, no ancient organic source material of equivalent type must have been accessible to a potential fabricator working at a later date. If ancient organic deposits are present in the region and accessible by the methods available, the possibility that they were used as source material cannot be excluded without direct evidence.</w:t>
      </w:r>
    </w:p>
    <w:p>
      <w:pPr>
        <w:pStyle w:val="Heading"/>
        <w:rPr>
          <w:rFonts w:ascii="Verdana" w:cs="Verdana" w:hAnsi="Verdana" w:eastAsia="Verdana"/>
          <w:b w:val="0"/>
          <w:bCs w:val="0"/>
          <w:lang w:val="en-US"/>
        </w:rPr>
      </w:pPr>
      <w:r>
        <w:rPr>
          <w:rFonts w:ascii="Verdana" w:hAnsi="Verdana"/>
          <w:b w:val="0"/>
          <w:bCs w:val="0"/>
          <w:sz w:val="22"/>
          <w:szCs w:val="22"/>
          <w:rtl w:val="0"/>
          <w:lang w:val="en-US"/>
        </w:rPr>
        <w:t>Third, the organic carbon must be demonstrably intrinsic to the manufacturing event rather than externally applied, post-depositionally introduced, or derived from ancient organic precursors incorporated as processing inputs.</w:t>
      </w:r>
    </w:p>
    <w:p>
      <w:pPr>
        <w:pStyle w:val="Heading"/>
        <w:rPr>
          <w:rFonts w:ascii="Verdana" w:cs="Verdana" w:hAnsi="Verdana" w:eastAsia="Verdana"/>
          <w:b w:val="0"/>
          <w:bCs w:val="0"/>
          <w:lang w:val="en-US"/>
        </w:rPr>
      </w:pPr>
      <w:r>
        <w:rPr>
          <w:rFonts w:ascii="Verdana" w:hAnsi="Verdana"/>
          <w:b w:val="0"/>
          <w:bCs w:val="0"/>
          <w:sz w:val="22"/>
          <w:szCs w:val="22"/>
          <w:rtl w:val="0"/>
          <w:lang w:val="en-US"/>
        </w:rPr>
        <w:t xml:space="preserve">When none of these conditions are established, the radiocarbon date of an organic inclusion provides a terminus post quem for the organic source material </w:t>
      </w:r>
      <w:r>
        <w:rPr>
          <w:rFonts w:ascii="Verdana" w:hAnsi="Verdana" w:hint="default"/>
          <w:b w:val="0"/>
          <w:bCs w:val="0"/>
          <w:sz w:val="22"/>
          <w:szCs w:val="22"/>
          <w:rtl w:val="0"/>
          <w:lang w:val="en-US"/>
        </w:rPr>
        <w:t xml:space="preserve">— </w:t>
      </w:r>
      <w:r>
        <w:rPr>
          <w:rFonts w:ascii="Verdana" w:hAnsi="Verdana"/>
          <w:b w:val="0"/>
          <w:bCs w:val="0"/>
          <w:sz w:val="22"/>
          <w:szCs w:val="22"/>
          <w:rtl w:val="0"/>
          <w:lang w:val="en-US"/>
        </w:rPr>
        <w:t>not for the manufacturing event. The date establishes a lower bound: the ceramic cannot be older than the organic material it contains. It does not establish an upper bound.</w:t>
      </w:r>
    </w:p>
    <w:p>
      <w:pPr>
        <w:pStyle w:val="Heading"/>
        <w:rPr>
          <w:rFonts w:ascii="Verdana" w:cs="Verdana" w:hAnsi="Verdana" w:eastAsia="Verdana"/>
          <w:b w:val="0"/>
          <w:bCs w:val="0"/>
          <w:lang w:val="en-US"/>
        </w:rPr>
      </w:pPr>
      <w:r>
        <w:rPr>
          <w:rFonts w:ascii="Verdana" w:hAnsi="Verdana"/>
          <w:b w:val="0"/>
          <w:bCs w:val="0"/>
          <w:sz w:val="22"/>
          <w:szCs w:val="22"/>
          <w:rtl w:val="0"/>
          <w:lang w:val="en-US"/>
        </w:rPr>
        <w:t xml:space="preserve">A further diagnostic is available from the internal consistency of dates across a collection. If multiple artefacts attributed to a single manufacturing tradition return radiocarbon dates spanning several centuries or more, this spread is anomalous for contemporaneous manufacture but consistent with the use of organic source materials drawn from deposits of varying depositional ages. Conversely, if two components of the same artefact </w:t>
      </w:r>
      <w:r>
        <w:rPr>
          <w:rFonts w:ascii="Verdana" w:hAnsi="Verdana" w:hint="default"/>
          <w:b w:val="0"/>
          <w:bCs w:val="0"/>
          <w:sz w:val="22"/>
          <w:szCs w:val="22"/>
          <w:rtl w:val="0"/>
          <w:lang w:val="en-US"/>
        </w:rPr>
        <w:t xml:space="preserve">— </w:t>
      </w:r>
      <w:r>
        <w:rPr>
          <w:rFonts w:ascii="Verdana" w:hAnsi="Verdana"/>
          <w:b w:val="0"/>
          <w:bCs w:val="0"/>
          <w:sz w:val="22"/>
          <w:szCs w:val="22"/>
          <w:rtl w:val="0"/>
          <w:lang w:val="en-US"/>
        </w:rPr>
        <w:t xml:space="preserve">for instance, an adhesive and the core matrix </w:t>
      </w:r>
      <w:r>
        <w:rPr>
          <w:rFonts w:ascii="Verdana" w:hAnsi="Verdana" w:hint="default"/>
          <w:b w:val="0"/>
          <w:bCs w:val="0"/>
          <w:sz w:val="22"/>
          <w:szCs w:val="22"/>
          <w:rtl w:val="0"/>
          <w:lang w:val="en-US"/>
        </w:rPr>
        <w:t xml:space="preserve">— </w:t>
      </w:r>
      <w:r>
        <w:rPr>
          <w:rFonts w:ascii="Verdana" w:hAnsi="Verdana"/>
          <w:b w:val="0"/>
          <w:bCs w:val="0"/>
          <w:sz w:val="22"/>
          <w:szCs w:val="22"/>
          <w:rtl w:val="0"/>
          <w:lang w:val="en-US"/>
        </w:rPr>
        <w:t>return dates diverging by centuries or millennia, this divergence indicates that the dated fractions reflect different organic events rather than a single manufacturing event, and the selection of the convergent result as validation while explaining away the divergent result requires explicit methodological justification.</w:t>
      </w:r>
    </w:p>
    <w:p>
      <w:pPr>
        <w:pStyle w:val="Heading"/>
        <w:rPr>
          <w:rFonts w:ascii="Verdana" w:cs="Verdana" w:hAnsi="Verdana" w:eastAsia="Verdana"/>
          <w:b w:val="0"/>
          <w:bCs w:val="0"/>
          <w:lang w:val="en-US"/>
        </w:rPr>
      </w:pPr>
      <w:r>
        <w:rPr>
          <w:rFonts w:ascii="Verdana" w:hAnsi="Verdana"/>
          <w:b w:val="0"/>
          <w:bCs w:val="0"/>
          <w:sz w:val="22"/>
          <w:szCs w:val="22"/>
          <w:rtl w:val="0"/>
          <w:lang w:val="en-US"/>
        </w:rPr>
        <w:t>A related internal consistency test applies when a study simultaneously advances two arguments that make incompatible demands on the burial history of the same artefact. If a study claims that biological material within an artefact constitutes evidence of undisturbed subterranean deposition over vast timescales, and simultaneously presents a radiocarbon record showing a single coherent organic cluster from one period, these two claims are in direct tension. Undisturbed burial over vast timescales would produce accumulated biological signals spanning that burial history. A single-period organic cluster is inconsistent with vast burial duration. A study cannot invoke both arguments without resolving the contradiction between them. Critically, this contradiction is internal to the study: the reviewer need not assert anything independently. The study's own claims, read together, are mutually inconsistent, and that inconsistency is a methodological signal that at least one argument is not supported by the evidence presented.</w:t>
      </w:r>
    </w:p>
    <w:p>
      <w:pPr>
        <w:pStyle w:val="Heading"/>
        <w:rPr>
          <w:rFonts w:ascii="Verdana" w:cs="Verdana" w:hAnsi="Verdana" w:eastAsia="Verdana"/>
          <w:b w:val="0"/>
          <w:bCs w:val="0"/>
          <w:lang w:val="en-US"/>
        </w:rPr>
      </w:pPr>
      <w:r>
        <w:rPr>
          <w:rFonts w:ascii="Verdana" w:hAnsi="Verdana"/>
          <w:b w:val="0"/>
          <w:bCs w:val="0"/>
          <w:rtl w:val="0"/>
          <w:lang w:val="en-US"/>
        </w:rPr>
        <w:t>4. Documented Case Studies</w:t>
      </w:r>
    </w:p>
    <w:p>
      <w:pPr>
        <w:pStyle w:val="Heading 2"/>
        <w:rPr>
          <w:rFonts w:ascii="Verdana" w:cs="Verdana" w:hAnsi="Verdana" w:eastAsia="Verdana"/>
          <w:b w:val="0"/>
          <w:bCs w:val="0"/>
        </w:rPr>
      </w:pPr>
      <w:r>
        <w:rPr>
          <w:rFonts w:ascii="Verdana" w:hAnsi="Verdana"/>
          <w:b w:val="0"/>
          <w:bCs w:val="0"/>
          <w:rtl w:val="0"/>
          <w:lang w:val="en-US"/>
        </w:rPr>
        <w:t>4.1 The Acambaro Figurines</w:t>
      </w:r>
    </w:p>
    <w:p>
      <w:pPr>
        <w:pStyle w:val="Heading 2"/>
        <w:rPr>
          <w:rFonts w:ascii="Verdana" w:cs="Verdana" w:hAnsi="Verdana" w:eastAsia="Verdana"/>
          <w:b w:val="0"/>
          <w:bCs w:val="0"/>
        </w:rPr>
      </w:pPr>
      <w:r>
        <w:rPr>
          <w:rFonts w:ascii="Verdana" w:hAnsi="Verdana"/>
          <w:b w:val="0"/>
          <w:bCs w:val="0"/>
          <w:rtl w:val="0"/>
          <w:lang w:val="en-US"/>
        </w:rPr>
        <w:t xml:space="preserve">The Julsrud collection from Acambaro, Guanajuato, Mexico provides the most directly applicable documented case study. Approximately 33,000 small ceramic figurines allegedly excavated in the 1940s returned radiocarbon dates from organic materials on their surfaces ranging from 3,060 </w:t>
      </w:r>
      <w:r>
        <w:rPr>
          <w:rFonts w:ascii="Arial Unicode MS" w:hAnsi="Arial Unicode MS" w:hint="default"/>
          <w:b w:val="0"/>
          <w:bCs w:val="0"/>
          <w:rtl w:val="0"/>
          <w:lang w:val="en-US"/>
        </w:rPr>
        <w:t xml:space="preserve">± </w:t>
      </w:r>
      <w:r>
        <w:rPr>
          <w:rFonts w:ascii="Verdana" w:hAnsi="Verdana"/>
          <w:b w:val="0"/>
          <w:bCs w:val="0"/>
          <w:rtl w:val="0"/>
          <w:lang w:val="en-US"/>
        </w:rPr>
        <w:t xml:space="preserve">120 BP to 6,480 </w:t>
      </w:r>
      <w:r>
        <w:rPr>
          <w:rFonts w:ascii="Arial Unicode MS" w:hAnsi="Arial Unicode MS" w:hint="default"/>
          <w:b w:val="0"/>
          <w:bCs w:val="0"/>
          <w:rtl w:val="0"/>
          <w:lang w:val="en-US"/>
        </w:rPr>
        <w:t xml:space="preserve">± </w:t>
      </w:r>
      <w:r>
        <w:rPr>
          <w:rFonts w:ascii="Verdana" w:hAnsi="Verdana"/>
          <w:b w:val="0"/>
          <w:bCs w:val="0"/>
          <w:rtl w:val="0"/>
          <w:lang w:val="pt-PT"/>
        </w:rPr>
        <w:t xml:space="preserve">170 BP </w:t>
      </w:r>
      <w:r>
        <w:rPr>
          <w:rFonts w:ascii="Verdana" w:hAnsi="Verdana" w:hint="default"/>
          <w:b w:val="0"/>
          <w:bCs w:val="0"/>
          <w:rtl w:val="0"/>
          <w:lang w:val="en-US"/>
        </w:rPr>
        <w:t xml:space="preserve">— </w:t>
      </w:r>
      <w:r>
        <w:rPr>
          <w:rFonts w:ascii="Verdana" w:hAnsi="Verdana"/>
          <w:b w:val="0"/>
          <w:bCs w:val="0"/>
          <w:rtl w:val="0"/>
          <w:lang w:val="en-US"/>
        </w:rPr>
        <w:t>a spread exceeding 3,400 years across samples attributed to a unified assemblage (Hapgood, cited in Feder, 2010). Thermoluminescence dating subsequently conducted by the University of Pennsylvania Museum demonstrated that the figurines were fired shortly before they were found, not thousands of years ago (Carriveau &amp; Han, 1976).</w:t>
      </w:r>
    </w:p>
    <w:p>
      <w:pPr>
        <w:pStyle w:val="Heading 2"/>
        <w:rPr>
          <w:rFonts w:ascii="Verdana" w:cs="Verdana" w:hAnsi="Verdana" w:eastAsia="Verdana"/>
          <w:b w:val="0"/>
          <w:bCs w:val="0"/>
        </w:rPr>
      </w:pPr>
      <w:r>
        <w:rPr>
          <w:rFonts w:ascii="Verdana" w:hAnsi="Verdana"/>
          <w:b w:val="0"/>
          <w:bCs w:val="0"/>
          <w:rtl w:val="0"/>
          <w:lang w:val="en-US"/>
        </w:rPr>
        <w:t xml:space="preserve">The Acambaro case illustrates both the problem and the resolution mechanism. Thermoluminescence dating was first applied to the figurines between 1969 and 1972 by the Penn Museum's Applied Science Center for Archaeology, producing a date of approximately 2500 BC that was initially proclaimed as confirmation of authenticity. However, subsequent analysis in 1976 and 1978 established that the earlier dates had been produced by chemiluminescence rather than true thermoluminescence, rendering them invalid (Carriveau &amp; Han, 1976). When properly conducted TL analysis was applied, it established that the figurines had been fired shortly before they were found </w:t>
      </w:r>
      <w:r>
        <w:rPr>
          <w:rFonts w:ascii="Verdana" w:hAnsi="Verdana" w:hint="default"/>
          <w:b w:val="0"/>
          <w:bCs w:val="0"/>
          <w:rtl w:val="0"/>
          <w:lang w:val="en-US"/>
        </w:rPr>
        <w:t xml:space="preserve">— </w:t>
      </w:r>
      <w:r>
        <w:rPr>
          <w:rFonts w:ascii="Verdana" w:hAnsi="Verdana"/>
          <w:b w:val="0"/>
          <w:bCs w:val="0"/>
          <w:rtl w:val="0"/>
          <w:lang w:val="en-US"/>
        </w:rPr>
        <w:t>not thousands of years ago. The case demonstrates that TL dating, which directly measures when the ceramic matrix was last fired rather than the age of any organic material the ceramic contains, provides the manufacturing age when conducted correctly. When TL and radiocarbon diverge on the same ceramic object, the organic dates reflect the age of the organic source material rather than the manufacturing event.</w:t>
      </w:r>
    </w:p>
    <w:p>
      <w:pPr>
        <w:pStyle w:val="Heading 2"/>
        <w:rPr>
          <w:rFonts w:ascii="Verdana" w:cs="Verdana" w:hAnsi="Verdana" w:eastAsia="Verdana"/>
          <w:b w:val="0"/>
          <w:bCs w:val="0"/>
        </w:rPr>
      </w:pPr>
      <w:r>
        <w:rPr>
          <w:rFonts w:ascii="Verdana" w:hAnsi="Verdana"/>
          <w:b w:val="0"/>
          <w:bCs w:val="0"/>
          <w:rtl w:val="0"/>
          <w:lang w:val="en-US"/>
        </w:rPr>
        <w:t>This case also illustrates the spread problem. The 3,400-year range across surface organic dates from a supposedly unified assemblage is consistent with the use of organic source materials of varying depositional ages, not with a single manufacturing tradition producing objects contemporaneously.</w:t>
      </w:r>
    </w:p>
    <w:p>
      <w:pPr>
        <w:pStyle w:val="Heading 2"/>
        <w:rPr>
          <w:rFonts w:ascii="Verdana" w:cs="Verdana" w:hAnsi="Verdana" w:eastAsia="Verdana"/>
          <w:b w:val="0"/>
          <w:bCs w:val="0"/>
          <w:lang w:val="nl-NL"/>
        </w:rPr>
      </w:pPr>
      <w:r>
        <w:rPr>
          <w:rFonts w:ascii="Verdana" w:hAnsi="Verdana"/>
          <w:b w:val="0"/>
          <w:bCs w:val="0"/>
          <w:rtl w:val="0"/>
          <w:lang w:val="nl-NL"/>
        </w:rPr>
        <w:t>4.2 The Russian Bronze Age Vessels</w:t>
      </w:r>
    </w:p>
    <w:p>
      <w:pPr>
        <w:pStyle w:val="Heading 2"/>
        <w:rPr>
          <w:rFonts w:ascii="Verdana" w:cs="Verdana" w:hAnsi="Verdana" w:eastAsia="Verdana"/>
          <w:b w:val="0"/>
          <w:bCs w:val="0"/>
        </w:rPr>
      </w:pPr>
      <w:r>
        <w:rPr>
          <w:rFonts w:ascii="Verdana" w:hAnsi="Verdana"/>
          <w:b w:val="0"/>
          <w:bCs w:val="0"/>
          <w:rtl w:val="0"/>
          <w:lang w:val="en-US"/>
        </w:rPr>
        <w:t>Bronze Age vessels from a Russian lakeside settlement returned anomalously ancient radiocarbon dates because the ceramic paste incorporated ancient lacustrine calcite. The cause was identified through the convergence of XRD, SEM/EDS, and radiocarbon analysis of both the ceramic paste and the source material: both returned similar anomalous ages, establishing the mechanism directly (Voronin, 2025). The resolution required multi-proxy analysis rather than radiocarbon alone.</w:t>
      </w:r>
    </w:p>
    <w:p>
      <w:pPr>
        <w:pStyle w:val="Heading"/>
        <w:rPr>
          <w:rFonts w:ascii="Verdana" w:cs="Verdana" w:hAnsi="Verdana" w:eastAsia="Verdana"/>
          <w:b w:val="0"/>
          <w:bCs w:val="0"/>
          <w:lang w:val="en-US"/>
        </w:rPr>
      </w:pPr>
      <w:r>
        <w:rPr>
          <w:rFonts w:ascii="Verdana" w:hAnsi="Verdana"/>
          <w:b w:val="0"/>
          <w:bCs w:val="0"/>
          <w:rtl w:val="0"/>
          <w:lang w:val="en-US"/>
        </w:rPr>
        <w:t>5. What Authentic Ancient Ceramics Actually Look Like: The Chinese Evidence</w:t>
      </w:r>
    </w:p>
    <w:p>
      <w:pPr>
        <w:pStyle w:val="Heading"/>
        <w:rPr>
          <w:rFonts w:ascii="Verdana" w:cs="Verdana" w:hAnsi="Verdana" w:eastAsia="Verdana"/>
          <w:b w:val="0"/>
          <w:bCs w:val="0"/>
          <w:lang w:val="en-US"/>
        </w:rPr>
      </w:pPr>
      <w:r>
        <w:rPr>
          <w:rFonts w:ascii="Verdana" w:hAnsi="Verdana"/>
          <w:b w:val="0"/>
          <w:bCs w:val="0"/>
          <w:sz w:val="22"/>
          <w:szCs w:val="22"/>
          <w:rtl w:val="0"/>
          <w:lang w:val="en-US"/>
        </w:rPr>
        <w:t>The positive benchmark for extraordinary ceramic age claims is provided by the Chinese early Holocene ceramic record, specifically the assemblages from Xianrendong Cave, Jiangxi Province, and Yuchanyan Cave, Hunan Province.</w:t>
      </w:r>
    </w:p>
    <w:p>
      <w:pPr>
        <w:pStyle w:val="Heading"/>
        <w:rPr>
          <w:rFonts w:ascii="Verdana" w:cs="Verdana" w:hAnsi="Verdana" w:eastAsia="Verdana"/>
          <w:b w:val="0"/>
          <w:bCs w:val="0"/>
          <w:lang w:val="en-US"/>
        </w:rPr>
      </w:pPr>
      <w:r>
        <w:rPr>
          <w:rFonts w:ascii="Verdana" w:hAnsi="Verdana"/>
          <w:b w:val="0"/>
          <w:bCs w:val="0"/>
          <w:sz w:val="22"/>
          <w:szCs w:val="22"/>
          <w:rtl w:val="0"/>
          <w:lang w:val="en-US"/>
        </w:rPr>
        <w:t>For the Xianrendong ceramics, radiocarbon ages of 20,000 to 19,000 calendar years BP were established through convergent multi-proxy dating: AMS radiocarbon on short-lived charcoal samples from the same stratigraphic layers, thermoluminescence on the ceramic matrix itself, and OSL on surrounding sediments. Three independent methods, measuring different physical processes, converging on the same chronological conclusion (Wu et al., 2012). Even so, subsequent critical evaluation placed the most reliable dates at approximately 18,000 BP rather than 20,000 BP, demonstrating that extraordinary claims require sustained scrutiny across multiple independent lines of evidence (Kuzmin, 2017).</w:t>
      </w:r>
    </w:p>
    <w:p>
      <w:pPr>
        <w:pStyle w:val="Heading"/>
        <w:rPr>
          <w:rFonts w:ascii="Verdana" w:cs="Verdana" w:hAnsi="Verdana" w:eastAsia="Verdana"/>
          <w:b w:val="0"/>
          <w:bCs w:val="0"/>
        </w:rPr>
      </w:pPr>
      <w:r>
        <w:rPr>
          <w:rFonts w:ascii="Verdana" w:hAnsi="Verdana"/>
          <w:b w:val="0"/>
          <w:bCs w:val="0"/>
          <w:sz w:val="22"/>
          <w:szCs w:val="22"/>
          <w:rtl w:val="0"/>
          <w:lang w:val="en-US"/>
        </w:rPr>
        <w:t>At Yuchanyan Cave, charcoal closely associated with potsherds dated to 16,700</w:t>
      </w:r>
      <w:r>
        <w:rPr>
          <w:rFonts w:ascii="Verdana" w:hAnsi="Verdana" w:hint="default"/>
          <w:b w:val="0"/>
          <w:bCs w:val="0"/>
          <w:sz w:val="22"/>
          <w:szCs w:val="22"/>
          <w:rtl w:val="0"/>
          <w:lang w:val="de-DE"/>
        </w:rPr>
        <w:t>–</w:t>
      </w:r>
      <w:r>
        <w:rPr>
          <w:rFonts w:ascii="Verdana" w:hAnsi="Verdana"/>
          <w:b w:val="0"/>
          <w:bCs w:val="0"/>
          <w:sz w:val="22"/>
          <w:szCs w:val="22"/>
          <w:rtl w:val="0"/>
          <w:lang w:val="en-US"/>
        </w:rPr>
        <w:t>15,850 cal BP, while organic residue from the ceramic itself dated to 17,750</w:t>
      </w:r>
      <w:r>
        <w:rPr>
          <w:rFonts w:ascii="Verdana" w:hAnsi="Verdana" w:hint="default"/>
          <w:b w:val="0"/>
          <w:bCs w:val="0"/>
          <w:sz w:val="22"/>
          <w:szCs w:val="22"/>
          <w:rtl w:val="0"/>
          <w:lang w:val="de-DE"/>
        </w:rPr>
        <w:t>–</w:t>
      </w:r>
      <w:r>
        <w:rPr>
          <w:rFonts w:ascii="Verdana" w:hAnsi="Verdana"/>
          <w:b w:val="0"/>
          <w:bCs w:val="0"/>
          <w:sz w:val="22"/>
          <w:szCs w:val="22"/>
          <w:rtl w:val="0"/>
          <w:lang w:val="pt-PT"/>
        </w:rPr>
        <w:t xml:space="preserve">16,900 cal BP </w:t>
      </w:r>
      <w:r>
        <w:rPr>
          <w:rFonts w:ascii="Verdana" w:hAnsi="Verdana" w:hint="default"/>
          <w:b w:val="0"/>
          <w:bCs w:val="0"/>
          <w:sz w:val="22"/>
          <w:szCs w:val="22"/>
          <w:rtl w:val="0"/>
          <w:lang w:val="en-US"/>
        </w:rPr>
        <w:t xml:space="preserve">— </w:t>
      </w:r>
      <w:r>
        <w:rPr>
          <w:rFonts w:ascii="Verdana" w:hAnsi="Verdana"/>
          <w:b w:val="0"/>
          <w:bCs w:val="0"/>
          <w:sz w:val="22"/>
          <w:szCs w:val="22"/>
          <w:rtl w:val="0"/>
          <w:lang w:val="en-US"/>
        </w:rPr>
        <w:t>different organic fractions from the same context returning different ages reflecting different organic events (Boaretto et al., 2009). This is the expected profile of authentic ancient ceramics from controlled excavation: multiple organic fractions reflecting different aspects of the depositional history, with dates that are internally coherent with the stratigraphic sequence.</w:t>
      </w:r>
    </w:p>
    <w:p>
      <w:pPr>
        <w:pStyle w:val="Heading"/>
        <w:rPr>
          <w:rFonts w:ascii="Verdana" w:cs="Verdana" w:hAnsi="Verdana" w:eastAsia="Verdana"/>
          <w:b w:val="0"/>
          <w:bCs w:val="0"/>
          <w:lang w:val="en-US"/>
        </w:rPr>
      </w:pPr>
      <w:r>
        <w:rPr>
          <w:rFonts w:ascii="Verdana" w:hAnsi="Verdana"/>
          <w:b w:val="0"/>
          <w:bCs w:val="0"/>
          <w:sz w:val="22"/>
          <w:szCs w:val="22"/>
          <w:rtl w:val="0"/>
          <w:lang w:val="en-US"/>
        </w:rPr>
        <w:t>The reason multi-proxy triangulation is possible in these cases is precisely because the ceramics exist within a coherent depositional context. TL dates the firing. OSL dates the sediment. Radiocarbon dates the associated organic material. These methods converge because each is independently measuring a different aspect of the same genuine depositional reality. The convergence is not a methodological redundancy; it is the evidentiary structure that makes extraordinary claims credible.</w:t>
      </w:r>
    </w:p>
    <w:p>
      <w:pPr>
        <w:pStyle w:val="Heading"/>
        <w:rPr>
          <w:rFonts w:ascii="Verdana" w:cs="Verdana" w:hAnsi="Verdana" w:eastAsia="Verdana"/>
          <w:b w:val="0"/>
          <w:bCs w:val="0"/>
          <w:lang w:val="en-US"/>
        </w:rPr>
      </w:pPr>
      <w:r>
        <w:rPr>
          <w:rFonts w:ascii="Verdana" w:hAnsi="Verdana"/>
          <w:b w:val="0"/>
          <w:bCs w:val="0"/>
          <w:sz w:val="22"/>
          <w:szCs w:val="22"/>
          <w:rtl w:val="0"/>
          <w:lang w:val="en-US"/>
        </w:rPr>
        <w:t>Ceramics that lack a controlled depositional context cannot be triangulated in this way. Without stratigraphic data, there is no sediment to date by OSL, no independently documented associated organic material to serve as a contemporaneity check, and no basis for establishing that the methods are measuring the same depositional event.</w:t>
      </w:r>
    </w:p>
    <w:p>
      <w:pPr>
        <w:pStyle w:val="Heading"/>
        <w:rPr>
          <w:rFonts w:ascii="Verdana" w:cs="Verdana" w:hAnsi="Verdana" w:eastAsia="Verdana"/>
          <w:b w:val="0"/>
          <w:bCs w:val="0"/>
          <w:lang w:val="en-US"/>
        </w:rPr>
      </w:pPr>
      <w:r>
        <w:rPr>
          <w:rFonts w:ascii="Verdana" w:hAnsi="Verdana"/>
          <w:b w:val="0"/>
          <w:bCs w:val="0"/>
          <w:rtl w:val="0"/>
          <w:lang w:val="en-US"/>
        </w:rPr>
        <w:t>6. Proposed Minimum Evidentiary Thresholds</w:t>
      </w:r>
    </w:p>
    <w:p>
      <w:pPr>
        <w:pStyle w:val="Heading"/>
        <w:rPr>
          <w:rFonts w:ascii="Verdana" w:cs="Verdana" w:hAnsi="Verdana" w:eastAsia="Verdana"/>
          <w:b w:val="0"/>
          <w:bCs w:val="0"/>
          <w:lang w:val="en-US"/>
        </w:rPr>
      </w:pPr>
      <w:r>
        <w:rPr>
          <w:rFonts w:ascii="Verdana" w:hAnsi="Verdana"/>
          <w:b w:val="0"/>
          <w:bCs w:val="0"/>
          <w:sz w:val="22"/>
          <w:szCs w:val="22"/>
          <w:rtl w:val="0"/>
          <w:lang w:val="en-US"/>
        </w:rPr>
        <w:t>The following five thresholds are proposed as minimum standards for accepting organic inclusion ages in ceramics as manufacture dates. They are grounded in the published literature reviewed above and are presented as practical requirements rather than aspirational goals.</w:t>
      </w:r>
    </w:p>
    <w:p>
      <w:pPr>
        <w:pStyle w:val="Heading 2"/>
        <w:rPr>
          <w:rFonts w:ascii="Verdana" w:cs="Verdana" w:hAnsi="Verdana" w:eastAsia="Verdana"/>
          <w:b w:val="0"/>
          <w:bCs w:val="0"/>
        </w:rPr>
      </w:pPr>
      <w:r>
        <w:rPr>
          <w:rFonts w:ascii="Verdana" w:hAnsi="Verdana"/>
          <w:b w:val="0"/>
          <w:bCs w:val="0"/>
          <w:rtl w:val="0"/>
          <w:lang w:val="da-DK"/>
        </w:rPr>
        <w:t xml:space="preserve">Threshold 1 </w:t>
      </w:r>
      <w:r>
        <w:rPr>
          <w:rFonts w:ascii="Verdana" w:hAnsi="Verdana" w:hint="default"/>
          <w:b w:val="0"/>
          <w:bCs w:val="0"/>
          <w:rtl w:val="0"/>
          <w:lang w:val="en-US"/>
        </w:rPr>
        <w:t xml:space="preserve">— </w:t>
      </w:r>
      <w:r>
        <w:rPr>
          <w:rFonts w:ascii="Verdana" w:hAnsi="Verdana"/>
          <w:b w:val="0"/>
          <w:bCs w:val="0"/>
          <w:rtl w:val="0"/>
          <w:lang w:val="en-US"/>
        </w:rPr>
        <w:t>Demonstrate organic fraction contemporaneity</w:t>
      </w:r>
    </w:p>
    <w:p>
      <w:pPr>
        <w:pStyle w:val="Heading 2"/>
        <w:rPr>
          <w:rFonts w:ascii="Verdana" w:cs="Verdana" w:hAnsi="Verdana" w:eastAsia="Verdana"/>
          <w:b w:val="0"/>
          <w:bCs w:val="0"/>
        </w:rPr>
      </w:pPr>
      <w:r>
        <w:rPr>
          <w:rFonts w:ascii="Verdana" w:hAnsi="Verdana"/>
          <w:b w:val="0"/>
          <w:bCs w:val="0"/>
          <w:rtl w:val="0"/>
          <w:lang w:val="en-US"/>
        </w:rPr>
        <w:t xml:space="preserve">The organic material dated must be demonstrably contemporaneous with the manufacturing event. In practice this requires: (a) dating of multiple organic fractions expected to reflect different events </w:t>
      </w:r>
      <w:r>
        <w:rPr>
          <w:rFonts w:ascii="Verdana" w:hAnsi="Verdana" w:hint="default"/>
          <w:b w:val="0"/>
          <w:bCs w:val="0"/>
          <w:rtl w:val="0"/>
          <w:lang w:val="en-US"/>
        </w:rPr>
        <w:t xml:space="preserve">— </w:t>
      </w:r>
      <w:r>
        <w:rPr>
          <w:rFonts w:ascii="Verdana" w:hAnsi="Verdana"/>
          <w:b w:val="0"/>
          <w:bCs w:val="0"/>
          <w:rtl w:val="0"/>
          <w:lang w:val="en-US"/>
        </w:rPr>
        <w:t>specifically, any post-manufacture intrusive biological material and the adhesive or matrix organics must be dated independently, with convergence providing evidence for contemporaneous burial and manufacture and divergence indicating variable-age organic sourcing; (b) geochemical traceability of the organic material to sources locally available and alive at the claimed manufacture period, using stable isotope profiles or compound-specific analysis; (c) corroboration from stratigraphic context wherever possible. No single line of evidence is individually conclusive; their convergence progressively constrains the interpretation.</w:t>
      </w:r>
    </w:p>
    <w:p>
      <w:pPr>
        <w:pStyle w:val="Heading 2"/>
        <w:rPr>
          <w:rFonts w:ascii="Verdana" w:cs="Verdana" w:hAnsi="Verdana" w:eastAsia="Verdana"/>
          <w:b w:val="0"/>
          <w:bCs w:val="0"/>
        </w:rPr>
      </w:pPr>
      <w:r>
        <w:rPr>
          <w:rFonts w:ascii="Verdana" w:hAnsi="Verdana"/>
          <w:b w:val="0"/>
          <w:bCs w:val="0"/>
          <w:rtl w:val="0"/>
          <w:lang w:val="da-DK"/>
        </w:rPr>
        <w:t xml:space="preserve">Threshold 2 </w:t>
      </w:r>
      <w:r>
        <w:rPr>
          <w:rFonts w:ascii="Verdana" w:hAnsi="Verdana" w:hint="default"/>
          <w:b w:val="0"/>
          <w:bCs w:val="0"/>
          <w:rtl w:val="0"/>
          <w:lang w:val="en-US"/>
        </w:rPr>
        <w:t xml:space="preserve">— </w:t>
      </w:r>
      <w:r>
        <w:rPr>
          <w:rFonts w:ascii="Verdana" w:hAnsi="Verdana"/>
          <w:b w:val="0"/>
          <w:bCs w:val="0"/>
          <w:rtl w:val="0"/>
          <w:lang w:val="en-US"/>
        </w:rPr>
        <w:t>Direct dating of the manufacturing event</w:t>
      </w:r>
    </w:p>
    <w:p>
      <w:pPr>
        <w:pStyle w:val="Heading 2"/>
        <w:rPr>
          <w:rFonts w:ascii="Verdana" w:cs="Verdana" w:hAnsi="Verdana" w:eastAsia="Verdana"/>
          <w:b w:val="0"/>
          <w:bCs w:val="0"/>
        </w:rPr>
      </w:pPr>
      <w:r>
        <w:rPr>
          <w:rFonts w:ascii="Verdana" w:hAnsi="Verdana"/>
          <w:b w:val="0"/>
          <w:bCs w:val="0"/>
          <w:rtl w:val="0"/>
          <w:lang w:val="en-US"/>
        </w:rPr>
        <w:t>Thermoluminescence dating of the ceramic matrix, measuring when the ceramic was last fired, must be conducted alongside radiocarbon analysis. Where TL and radiocarbon dates converge, confidence in the manufacture date increases substantially. Where they diverge, the organic dates cannot be accepted as manufacture dates without resolution of the discrepancy.</w:t>
      </w:r>
    </w:p>
    <w:p>
      <w:pPr>
        <w:pStyle w:val="Heading 2"/>
        <w:rPr>
          <w:rFonts w:ascii="Verdana" w:cs="Verdana" w:hAnsi="Verdana" w:eastAsia="Verdana"/>
          <w:b w:val="0"/>
          <w:bCs w:val="0"/>
        </w:rPr>
      </w:pPr>
      <w:r>
        <w:rPr>
          <w:rFonts w:ascii="Verdana" w:hAnsi="Verdana"/>
          <w:b w:val="0"/>
          <w:bCs w:val="0"/>
          <w:rtl w:val="0"/>
          <w:lang w:val="da-DK"/>
        </w:rPr>
        <w:t xml:space="preserve">Threshold 3 </w:t>
      </w:r>
      <w:r>
        <w:rPr>
          <w:rFonts w:ascii="Verdana" w:hAnsi="Verdana" w:hint="default"/>
          <w:b w:val="0"/>
          <w:bCs w:val="0"/>
          <w:rtl w:val="0"/>
          <w:lang w:val="en-US"/>
        </w:rPr>
        <w:t xml:space="preserve">— </w:t>
      </w:r>
      <w:r>
        <w:rPr>
          <w:rFonts w:ascii="Verdana" w:hAnsi="Verdana"/>
          <w:b w:val="0"/>
          <w:bCs w:val="0"/>
          <w:rtl w:val="0"/>
          <w:lang w:val="en-US"/>
        </w:rPr>
        <w:t>Biogeographic consistency of identified organic species</w:t>
      </w:r>
    </w:p>
    <w:p>
      <w:pPr>
        <w:pStyle w:val="Heading 2"/>
        <w:rPr>
          <w:rFonts w:ascii="Verdana" w:cs="Verdana" w:hAnsi="Verdana" w:eastAsia="Verdana"/>
          <w:b w:val="0"/>
          <w:bCs w:val="0"/>
        </w:rPr>
      </w:pPr>
      <w:r>
        <w:rPr>
          <w:rFonts w:ascii="Verdana" w:hAnsi="Verdana"/>
          <w:b w:val="0"/>
          <w:bCs w:val="0"/>
          <w:rtl w:val="0"/>
          <w:lang w:val="en-US"/>
        </w:rPr>
        <w:t>Where organic inclusions are identified to species level, the identified species must be demonstrably present in the claimed manufacture location and period. Species-level attribution should be accompanied by explicit documentation of the species' range relative to the claimed provenance. Regional attribution of organic sources is insufficient where species distributions are more restricted than the claimed region.</w:t>
      </w:r>
    </w:p>
    <w:p>
      <w:pPr>
        <w:pStyle w:val="Heading 2"/>
        <w:rPr>
          <w:rFonts w:ascii="Verdana" w:cs="Verdana" w:hAnsi="Verdana" w:eastAsia="Verdana"/>
          <w:b w:val="0"/>
          <w:bCs w:val="0"/>
        </w:rPr>
      </w:pPr>
      <w:r>
        <w:rPr>
          <w:rFonts w:ascii="Verdana" w:hAnsi="Verdana"/>
          <w:b w:val="0"/>
          <w:bCs w:val="0"/>
          <w:rtl w:val="0"/>
          <w:lang w:val="da-DK"/>
        </w:rPr>
        <w:t xml:space="preserve">Threshold 4 </w:t>
      </w:r>
      <w:r>
        <w:rPr>
          <w:rFonts w:ascii="Verdana" w:hAnsi="Verdana" w:hint="default"/>
          <w:b w:val="0"/>
          <w:bCs w:val="0"/>
          <w:rtl w:val="0"/>
          <w:lang w:val="en-US"/>
        </w:rPr>
        <w:t xml:space="preserve">— </w:t>
      </w:r>
      <w:r>
        <w:rPr>
          <w:rFonts w:ascii="Verdana" w:hAnsi="Verdana"/>
          <w:b w:val="0"/>
          <w:bCs w:val="0"/>
          <w:rtl w:val="0"/>
          <w:lang w:val="en-US"/>
        </w:rPr>
        <w:t>Phase identification of ceramic classification</w:t>
      </w:r>
    </w:p>
    <w:p>
      <w:pPr>
        <w:pStyle w:val="Heading 2"/>
        <w:rPr>
          <w:rFonts w:ascii="Verdana" w:cs="Verdana" w:hAnsi="Verdana" w:eastAsia="Verdana"/>
          <w:b w:val="0"/>
          <w:bCs w:val="0"/>
        </w:rPr>
      </w:pPr>
      <w:r>
        <w:rPr>
          <w:rFonts w:ascii="Verdana" w:hAnsi="Verdana"/>
          <w:b w:val="0"/>
          <w:bCs w:val="0"/>
          <w:rtl w:val="0"/>
          <w:lang w:val="en-US"/>
        </w:rPr>
        <w:t>Where ceramics are classified as geopolymer, alkali-activated, or low-temperature synthetic materials, that classification must be confirmed by X-ray diffraction and Fourier transform infrared spectroscopy before being presented as established. SEM morphology and EDS stoichiometry are consistent with geopolymer chemistry but are not diagnostic of it; natural volcanic tuffs, zeolitic sediments, and diagenetically altered materials can produce overlapping profiles.</w:t>
      </w:r>
    </w:p>
    <w:p>
      <w:pPr>
        <w:pStyle w:val="Heading 2"/>
        <w:rPr>
          <w:rFonts w:ascii="Verdana" w:cs="Verdana" w:hAnsi="Verdana" w:eastAsia="Verdana"/>
          <w:b w:val="0"/>
          <w:bCs w:val="0"/>
        </w:rPr>
      </w:pPr>
      <w:r>
        <w:rPr>
          <w:rFonts w:ascii="Verdana" w:hAnsi="Verdana"/>
          <w:b w:val="0"/>
          <w:bCs w:val="0"/>
          <w:rtl w:val="0"/>
          <w:lang w:val="da-DK"/>
        </w:rPr>
        <w:t xml:space="preserve">Threshold 5 </w:t>
      </w:r>
      <w:r>
        <w:rPr>
          <w:rFonts w:ascii="Verdana" w:hAnsi="Verdana" w:hint="default"/>
          <w:b w:val="0"/>
          <w:bCs w:val="0"/>
          <w:rtl w:val="0"/>
          <w:lang w:val="en-US"/>
        </w:rPr>
        <w:t xml:space="preserve">— </w:t>
      </w:r>
      <w:r>
        <w:rPr>
          <w:rFonts w:ascii="Verdana" w:hAnsi="Verdana"/>
          <w:b w:val="0"/>
          <w:bCs w:val="0"/>
          <w:rtl w:val="0"/>
          <w:lang w:val="en-US"/>
        </w:rPr>
        <w:t>Controlled depositional context</w:t>
      </w:r>
    </w:p>
    <w:p>
      <w:pPr>
        <w:pStyle w:val="Heading 2"/>
        <w:rPr>
          <w:rFonts w:ascii="Verdana" w:cs="Verdana" w:hAnsi="Verdana" w:eastAsia="Verdana"/>
          <w:b w:val="0"/>
          <w:bCs w:val="0"/>
        </w:rPr>
      </w:pPr>
      <w:r>
        <w:rPr>
          <w:rFonts w:ascii="Verdana" w:hAnsi="Verdana"/>
          <w:b w:val="0"/>
          <w:bCs w:val="0"/>
          <w:rtl w:val="0"/>
          <w:lang w:val="en-US"/>
        </w:rPr>
        <w:t>Extraordinary chronometric claims require verified stratigraphic documentation of the depositional context. In the absence of controlled excavation records, the multi-proxy convergence that provides confidence in authentic ancient ceramic dates cannot be achieved. Non-accessioned collections without documented excavation context cannot in principle meet Thresholds 1 and 2 fully.</w:t>
      </w:r>
    </w:p>
    <w:p>
      <w:pPr>
        <w:pStyle w:val="Heading"/>
        <w:rPr>
          <w:rFonts w:ascii="Verdana" w:cs="Verdana" w:hAnsi="Verdana" w:eastAsia="Verdana"/>
          <w:b w:val="0"/>
          <w:bCs w:val="0"/>
          <w:lang w:val="en-US"/>
        </w:rPr>
      </w:pPr>
      <w:r>
        <w:rPr>
          <w:rFonts w:ascii="Verdana" w:hAnsi="Verdana"/>
          <w:b w:val="0"/>
          <w:bCs w:val="0"/>
          <w:rtl w:val="0"/>
          <w:lang w:val="en-US"/>
        </w:rPr>
        <w:t>7. Application: A Worked Example</w:t>
      </w:r>
    </w:p>
    <w:p>
      <w:pPr>
        <w:pStyle w:val="Heading"/>
        <w:rPr>
          <w:rFonts w:ascii="Verdana" w:cs="Verdana" w:hAnsi="Verdana" w:eastAsia="Verdana"/>
          <w:b w:val="0"/>
          <w:bCs w:val="0"/>
          <w:lang w:val="en-US"/>
        </w:rPr>
      </w:pPr>
      <w:r>
        <w:rPr>
          <w:rFonts w:ascii="Verdana" w:hAnsi="Verdana"/>
          <w:b w:val="0"/>
          <w:bCs w:val="0"/>
          <w:sz w:val="22"/>
          <w:szCs w:val="22"/>
          <w:rtl w:val="0"/>
          <w:lang w:val="en-US"/>
        </w:rPr>
        <w:t>The framework above is applied here to a recently published study (Hawke, 2026) claiming to establish a manufacture date of approximately 8,570 BP for an unprovenanced ceramic assemblage from Jalisco, Mexico, through radiocarbon dating of organic inclusions.</w:t>
      </w:r>
    </w:p>
    <w:p>
      <w:pPr>
        <w:pStyle w:val="Heading"/>
        <w:rPr>
          <w:rFonts w:ascii="Verdana" w:cs="Verdana" w:hAnsi="Verdana" w:eastAsia="Verdana"/>
          <w:b w:val="0"/>
          <w:bCs w:val="0"/>
        </w:rPr>
      </w:pPr>
      <w:r>
        <w:rPr>
          <w:rFonts w:ascii="Verdana" w:hAnsi="Verdana"/>
          <w:b w:val="0"/>
          <w:bCs w:val="0"/>
          <w:sz w:val="22"/>
          <w:szCs w:val="22"/>
          <w:rtl w:val="0"/>
          <w:lang w:val="en-US"/>
        </w:rPr>
        <w:t xml:space="preserve">Against Threshold 1: The paper's abstract states that 'C14 AMS radiocarbon dating of organic inclusions within the ceramic matrix yields a chronological age of 8,570 </w:t>
      </w:r>
      <w:r>
        <w:rPr>
          <w:rFonts w:ascii="Arial Unicode MS" w:hAnsi="Arial Unicode MS" w:hint="default"/>
          <w:b w:val="0"/>
          <w:bCs w:val="0"/>
          <w:sz w:val="22"/>
          <w:szCs w:val="22"/>
          <w:rtl w:val="0"/>
          <w:lang w:val="de-DE"/>
        </w:rPr>
        <w:t xml:space="preserve">± </w:t>
      </w:r>
      <w:r>
        <w:rPr>
          <w:rFonts w:ascii="Verdana" w:hAnsi="Verdana"/>
          <w:b w:val="0"/>
          <w:bCs w:val="0"/>
          <w:sz w:val="22"/>
          <w:szCs w:val="22"/>
          <w:rtl w:val="0"/>
          <w:lang w:val="en-US"/>
        </w:rPr>
        <w:t xml:space="preserve">30 BP, establishing a definitive mid-Holocene provenance.' The organic inclusions are identified by GC-MS as copal resin (Bursera genus) and coniferous resin attributed to Pinus oocarpa </w:t>
      </w:r>
      <w:r>
        <w:rPr>
          <w:rFonts w:ascii="Verdana" w:hAnsi="Verdana" w:hint="default"/>
          <w:b w:val="0"/>
          <w:bCs w:val="0"/>
          <w:sz w:val="22"/>
          <w:szCs w:val="22"/>
          <w:rtl w:val="0"/>
          <w:lang w:val="en-US"/>
        </w:rPr>
        <w:t xml:space="preserve">— </w:t>
      </w:r>
      <w:r>
        <w:rPr>
          <w:rFonts w:ascii="Verdana" w:hAnsi="Verdana"/>
          <w:b w:val="0"/>
          <w:bCs w:val="0"/>
          <w:sz w:val="22"/>
          <w:szCs w:val="22"/>
          <w:rtl w:val="0"/>
          <w:lang w:val="en-US"/>
        </w:rPr>
        <w:t xml:space="preserve">both materials for which ancient depositional sources are documented in the literature (Anderson, 1996; Rikkinen et al., 2020). The conditions establishing organic contemporaneity with manufacture are not demonstrated. The internal data further undermines the synchrony claim: five adhesive samples span 8,420 </w:t>
      </w:r>
      <w:r>
        <w:rPr>
          <w:rFonts w:ascii="Arial Unicode MS" w:hAnsi="Arial Unicode MS" w:hint="default"/>
          <w:b w:val="0"/>
          <w:bCs w:val="0"/>
          <w:sz w:val="22"/>
          <w:szCs w:val="22"/>
          <w:rtl w:val="0"/>
          <w:lang w:val="de-DE"/>
        </w:rPr>
        <w:t xml:space="preserve">± </w:t>
      </w:r>
      <w:r>
        <w:rPr>
          <w:rFonts w:ascii="Verdana" w:hAnsi="Verdana"/>
          <w:b w:val="0"/>
          <w:bCs w:val="0"/>
          <w:sz w:val="22"/>
          <w:szCs w:val="22"/>
          <w:rtl w:val="0"/>
          <w:lang w:val="en-US"/>
        </w:rPr>
        <w:t xml:space="preserve">30 BP to 9,180 </w:t>
      </w:r>
      <w:r>
        <w:rPr>
          <w:rFonts w:ascii="Arial Unicode MS" w:hAnsi="Arial Unicode MS" w:hint="default"/>
          <w:b w:val="0"/>
          <w:bCs w:val="0"/>
          <w:sz w:val="22"/>
          <w:szCs w:val="22"/>
          <w:rtl w:val="0"/>
          <w:lang w:val="de-DE"/>
        </w:rPr>
        <w:t xml:space="preserve">± </w:t>
      </w:r>
      <w:r>
        <w:rPr>
          <w:rFonts w:ascii="Verdana" w:hAnsi="Verdana"/>
          <w:b w:val="0"/>
          <w:bCs w:val="0"/>
          <w:sz w:val="22"/>
          <w:szCs w:val="22"/>
          <w:rtl w:val="0"/>
          <w:lang w:val="pt-PT"/>
        </w:rPr>
        <w:t xml:space="preserve">30 BP </w:t>
      </w:r>
      <w:r>
        <w:rPr>
          <w:rFonts w:ascii="Verdana" w:hAnsi="Verdana" w:hint="default"/>
          <w:b w:val="0"/>
          <w:bCs w:val="0"/>
          <w:sz w:val="22"/>
          <w:szCs w:val="22"/>
          <w:rtl w:val="0"/>
          <w:lang w:val="en-US"/>
        </w:rPr>
        <w:t xml:space="preserve">— </w:t>
      </w:r>
      <w:r>
        <w:rPr>
          <w:rFonts w:ascii="Verdana" w:hAnsi="Verdana"/>
          <w:b w:val="0"/>
          <w:bCs w:val="0"/>
          <w:sz w:val="22"/>
          <w:szCs w:val="22"/>
          <w:rtl w:val="0"/>
          <w:lang w:val="en-US"/>
        </w:rPr>
        <w:t xml:space="preserve">a 760-year range across a supposedly unified manufacturing tradition </w:t>
      </w:r>
      <w:r>
        <w:rPr>
          <w:rFonts w:ascii="Verdana" w:hAnsi="Verdana" w:hint="default"/>
          <w:b w:val="0"/>
          <w:bCs w:val="0"/>
          <w:sz w:val="22"/>
          <w:szCs w:val="22"/>
          <w:rtl w:val="0"/>
          <w:lang w:val="en-US"/>
        </w:rPr>
        <w:t xml:space="preserve">— </w:t>
      </w:r>
      <w:r>
        <w:rPr>
          <w:rFonts w:ascii="Verdana" w:hAnsi="Verdana"/>
          <w:b w:val="0"/>
          <w:bCs w:val="0"/>
          <w:sz w:val="22"/>
          <w:szCs w:val="22"/>
          <w:rtl w:val="0"/>
          <w:lang w:val="en-US"/>
        </w:rPr>
        <w:t xml:space="preserve">and two core matrix samples from different artefacts diverge by 1,500 years (7,090 </w:t>
      </w:r>
      <w:r>
        <w:rPr>
          <w:rFonts w:ascii="Arial Unicode MS" w:hAnsi="Arial Unicode MS" w:hint="default"/>
          <w:b w:val="0"/>
          <w:bCs w:val="0"/>
          <w:sz w:val="22"/>
          <w:szCs w:val="22"/>
          <w:rtl w:val="0"/>
          <w:lang w:val="de-DE"/>
        </w:rPr>
        <w:t xml:space="preserve">± </w:t>
      </w:r>
      <w:r>
        <w:rPr>
          <w:rFonts w:ascii="Verdana" w:hAnsi="Verdana"/>
          <w:b w:val="0"/>
          <w:bCs w:val="0"/>
          <w:sz w:val="22"/>
          <w:szCs w:val="22"/>
          <w:rtl w:val="0"/>
          <w:lang w:val="pt-PT"/>
        </w:rPr>
        <w:t xml:space="preserve">60 BP vs. 8,570 </w:t>
      </w:r>
      <w:r>
        <w:rPr>
          <w:rFonts w:ascii="Arial Unicode MS" w:hAnsi="Arial Unicode MS" w:hint="default"/>
          <w:b w:val="0"/>
          <w:bCs w:val="0"/>
          <w:sz w:val="22"/>
          <w:szCs w:val="22"/>
          <w:rtl w:val="0"/>
          <w:lang w:val="de-DE"/>
        </w:rPr>
        <w:t xml:space="preserve">± </w:t>
      </w:r>
      <w:r>
        <w:rPr>
          <w:rFonts w:ascii="Verdana" w:hAnsi="Verdana"/>
          <w:b w:val="0"/>
          <w:bCs w:val="0"/>
          <w:sz w:val="22"/>
          <w:szCs w:val="22"/>
          <w:rtl w:val="0"/>
          <w:lang w:val="en-US"/>
        </w:rPr>
        <w:t>50 BP). Threshold 1 is not met.</w:t>
      </w:r>
    </w:p>
    <w:p>
      <w:pPr>
        <w:pStyle w:val="Heading"/>
        <w:rPr>
          <w:rFonts w:ascii="Verdana" w:cs="Verdana" w:hAnsi="Verdana" w:eastAsia="Verdana"/>
          <w:b w:val="0"/>
          <w:bCs w:val="0"/>
          <w:lang w:val="en-US"/>
        </w:rPr>
      </w:pPr>
      <w:r>
        <w:rPr>
          <w:rFonts w:ascii="Verdana" w:hAnsi="Verdana"/>
          <w:b w:val="0"/>
          <w:bCs w:val="0"/>
          <w:sz w:val="22"/>
          <w:szCs w:val="22"/>
          <w:rtl w:val="0"/>
          <w:lang w:val="en-US"/>
        </w:rPr>
        <w:t>Against Threshold 2: No thermoluminescence dating of the ceramic matrix is reported. The manufacturing event itself is not directly dated. Threshold 2 is not met.</w:t>
      </w:r>
    </w:p>
    <w:p>
      <w:pPr>
        <w:pStyle w:val="Heading"/>
        <w:rPr>
          <w:rFonts w:ascii="Verdana" w:cs="Verdana" w:hAnsi="Verdana" w:eastAsia="Verdana"/>
          <w:b w:val="0"/>
          <w:bCs w:val="0"/>
          <w:lang w:val="en-US"/>
        </w:rPr>
      </w:pPr>
      <w:r>
        <w:rPr>
          <w:rFonts w:ascii="Verdana" w:hAnsi="Verdana"/>
          <w:b w:val="0"/>
          <w:bCs w:val="0"/>
          <w:sz w:val="22"/>
          <w:szCs w:val="22"/>
          <w:rtl w:val="0"/>
          <w:lang w:val="en-US"/>
        </w:rPr>
        <w:t>Against Threshold 3: The coniferous resin attributed to Pinus oocarpa does not naturally occur in the northern Jalisco highlands, where the assemblage is attributed. Palaeovegetation reconstructions from the region show no evidence of P. oocarpa range expansion into northern Jalisco during the early Holocene (Ortega-Rosas et al., 2008). The species-level attribution relies on dehydroabietic acid, a marker present across multiple Pinus species rather than species-exclusive. Threshold 3 is not met.</w:t>
      </w:r>
    </w:p>
    <w:p>
      <w:pPr>
        <w:pStyle w:val="Heading"/>
        <w:rPr>
          <w:rFonts w:ascii="Verdana" w:cs="Verdana" w:hAnsi="Verdana" w:eastAsia="Verdana"/>
          <w:b w:val="0"/>
          <w:bCs w:val="0"/>
          <w:lang w:val="en-US"/>
        </w:rPr>
      </w:pPr>
      <w:r>
        <w:rPr>
          <w:rFonts w:ascii="Verdana" w:hAnsi="Verdana"/>
          <w:b w:val="0"/>
          <w:bCs w:val="0"/>
          <w:sz w:val="22"/>
          <w:szCs w:val="22"/>
          <w:rtl w:val="0"/>
          <w:lang w:val="en-US"/>
        </w:rPr>
        <w:t>Against Threshold 4: The paper's conclusion identifies XRD and FTIR as future analytical priorities. The geopolymer classification is based on SEM morphology and EDS stoichiometry alone without phase confirmation. Threshold 4 is not met.</w:t>
      </w:r>
    </w:p>
    <w:p>
      <w:pPr>
        <w:pStyle w:val="Heading"/>
        <w:rPr>
          <w:rFonts w:ascii="Verdana" w:cs="Verdana" w:hAnsi="Verdana" w:eastAsia="Verdana"/>
          <w:b w:val="0"/>
          <w:bCs w:val="0"/>
          <w:lang w:val="en-US"/>
        </w:rPr>
      </w:pPr>
      <w:r>
        <w:rPr>
          <w:rFonts w:ascii="Verdana" w:hAnsi="Verdana"/>
          <w:b w:val="0"/>
          <w:bCs w:val="0"/>
          <w:sz w:val="22"/>
          <w:szCs w:val="22"/>
          <w:rtl w:val="0"/>
          <w:lang w:val="en-US"/>
        </w:rPr>
        <w:t>Against Threshold 5: The collection is described in the paper's own introduction as 'non-accessioned by state or academic institutions.' No controlled excavation record exists. Threshold 5 cannot in principle be met from the available documentation.</w:t>
      </w:r>
    </w:p>
    <w:p>
      <w:pPr>
        <w:pStyle w:val="Heading"/>
        <w:rPr>
          <w:rFonts w:ascii="Verdana" w:cs="Verdana" w:hAnsi="Verdana" w:eastAsia="Verdana"/>
          <w:b w:val="0"/>
          <w:bCs w:val="0"/>
          <w:lang w:val="en-US"/>
        </w:rPr>
      </w:pPr>
      <w:r>
        <w:rPr>
          <w:rFonts w:ascii="Verdana" w:hAnsi="Verdana"/>
          <w:b w:val="0"/>
          <w:bCs w:val="0"/>
          <w:sz w:val="22"/>
          <w:szCs w:val="22"/>
          <w:rtl w:val="0"/>
          <w:lang w:val="en-US"/>
        </w:rPr>
        <w:t>The study fails all five thresholds. The radiocarbon dates are real measurements from an accredited laboratory. They do not establish the manufacture date of the artefacts.</w:t>
      </w:r>
    </w:p>
    <w:p>
      <w:pPr>
        <w:pStyle w:val="Heading"/>
        <w:rPr>
          <w:rFonts w:ascii="Verdana" w:cs="Verdana" w:hAnsi="Verdana" w:eastAsia="Verdana"/>
          <w:b w:val="0"/>
          <w:bCs w:val="0"/>
          <w:lang w:val="en-US"/>
        </w:rPr>
      </w:pPr>
      <w:r>
        <w:rPr>
          <w:rFonts w:ascii="Verdana" w:hAnsi="Verdana"/>
          <w:b w:val="0"/>
          <w:bCs w:val="0"/>
          <w:rtl w:val="0"/>
          <w:lang w:val="en-US"/>
        </w:rPr>
        <w:t>8. A Brief Note on Archaeological Context as an Independent Constraint</w:t>
      </w:r>
    </w:p>
    <w:p>
      <w:pPr>
        <w:pStyle w:val="Heading"/>
        <w:rPr>
          <w:rFonts w:ascii="Verdana" w:cs="Verdana" w:hAnsi="Verdana" w:eastAsia="Verdana"/>
          <w:b w:val="0"/>
          <w:bCs w:val="0"/>
          <w:lang w:val="en-US"/>
        </w:rPr>
      </w:pPr>
      <w:r>
        <w:rPr>
          <w:rFonts w:ascii="Verdana" w:hAnsi="Verdana"/>
          <w:b w:val="0"/>
          <w:bCs w:val="0"/>
          <w:sz w:val="22"/>
          <w:szCs w:val="22"/>
          <w:rtl w:val="0"/>
          <w:lang w:val="en-US"/>
        </w:rPr>
        <w:t>The methodological framework proposed above is material-science based and does not depend on archaeological context for its validity. However, it is worth noting that extraordinary chronometric claims can be independently constrained by the archaeological record of the claimed manufacture period and region.</w:t>
      </w:r>
    </w:p>
    <w:p>
      <w:pPr>
        <w:pStyle w:val="Heading"/>
        <w:rPr>
          <w:rFonts w:ascii="Verdana" w:cs="Verdana" w:hAnsi="Verdana" w:eastAsia="Verdana"/>
          <w:b w:val="0"/>
          <w:bCs w:val="0"/>
          <w:lang w:val="en-US"/>
        </w:rPr>
      </w:pPr>
      <w:r>
        <w:rPr>
          <w:rFonts w:ascii="Verdana" w:hAnsi="Verdana"/>
          <w:b w:val="0"/>
          <w:bCs w:val="0"/>
          <w:sz w:val="22"/>
          <w:szCs w:val="22"/>
          <w:rtl w:val="0"/>
          <w:lang w:val="en-US"/>
        </w:rPr>
        <w:t xml:space="preserve">The archaeological record of the claimed manufacture region at 8,570 BP is independently inconsistent with the cultural complexity the assemblage would require. Bell (1972) established that the earliest documented occupation evidence in northeastern Jalisco dates to approximately AD 100, approximately 8,700 years after the claimed manufacture date. Kennett and Winterhalder (2006) document that Mesoamerica at this period was pre-ceramic, with mobile to semi-mobile hunter-gatherer populations and no evidence of complex iconographic systems in western Mexico. Beekman (2000) places the first archaeologically documented complex cultural production specifically in Jalisco </w:t>
      </w:r>
      <w:r>
        <w:rPr>
          <w:rFonts w:ascii="Verdana" w:hAnsi="Verdana" w:hint="default"/>
          <w:b w:val="0"/>
          <w:bCs w:val="0"/>
          <w:sz w:val="22"/>
          <w:szCs w:val="22"/>
          <w:rtl w:val="0"/>
          <w:lang w:val="en-US"/>
        </w:rPr>
        <w:t xml:space="preserve">— </w:t>
      </w:r>
      <w:r>
        <w:rPr>
          <w:rFonts w:ascii="Verdana" w:hAnsi="Verdana"/>
          <w:b w:val="0"/>
          <w:bCs w:val="0"/>
          <w:sz w:val="22"/>
          <w:szCs w:val="22"/>
          <w:rtl w:val="0"/>
          <w:lang w:val="en-US"/>
        </w:rPr>
        <w:t xml:space="preserve">the shaft tomb tradition </w:t>
      </w:r>
      <w:r>
        <w:rPr>
          <w:rFonts w:ascii="Verdana" w:hAnsi="Verdana" w:hint="default"/>
          <w:b w:val="0"/>
          <w:bCs w:val="0"/>
          <w:sz w:val="22"/>
          <w:szCs w:val="22"/>
          <w:rtl w:val="0"/>
          <w:lang w:val="en-US"/>
        </w:rPr>
        <w:t xml:space="preserve">— </w:t>
      </w:r>
      <w:r>
        <w:rPr>
          <w:rFonts w:ascii="Verdana" w:hAnsi="Verdana"/>
          <w:b w:val="0"/>
          <w:bCs w:val="0"/>
          <w:sz w:val="22"/>
          <w:szCs w:val="22"/>
          <w:rtl w:val="0"/>
          <w:lang w:val="en-US"/>
        </w:rPr>
        <w:t>at approximately 300 BCE to 400 CE. These three independent lines of published archaeological evidence establish that the structural conditions for sustained, standardised iconographic production across a large assemblage did not exist in this region at the claimed period. Analysis applying the Deep Symbolic Systems Model to prehistoric Mesoamerica further characterises this period as one of symbolic capacity without intergenerational stabilisation or spatial anchoring (Vondoom, 2026), but that analytical observation is independent of, and convergent with, the conventional archaeological record rather than a substitute for it.</w:t>
      </w:r>
    </w:p>
    <w:p>
      <w:pPr>
        <w:pStyle w:val="Heading"/>
        <w:rPr>
          <w:rFonts w:ascii="Verdana" w:cs="Verdana" w:hAnsi="Verdana" w:eastAsia="Verdana"/>
          <w:b w:val="0"/>
          <w:bCs w:val="0"/>
          <w:lang w:val="fr-FR"/>
        </w:rPr>
      </w:pPr>
      <w:r>
        <w:rPr>
          <w:rFonts w:ascii="Verdana" w:hAnsi="Verdana"/>
          <w:b w:val="0"/>
          <w:bCs w:val="0"/>
          <w:rtl w:val="0"/>
          <w:lang w:val="fr-FR"/>
        </w:rPr>
        <w:t>9. Conclusions</w:t>
      </w:r>
    </w:p>
    <w:p>
      <w:pPr>
        <w:pStyle w:val="Heading"/>
        <w:rPr>
          <w:rFonts w:ascii="Verdana" w:cs="Verdana" w:hAnsi="Verdana" w:eastAsia="Verdana"/>
          <w:b w:val="0"/>
          <w:bCs w:val="0"/>
          <w:lang w:val="en-US"/>
        </w:rPr>
      </w:pPr>
      <w:r>
        <w:rPr>
          <w:rFonts w:ascii="Verdana" w:hAnsi="Verdana"/>
          <w:b w:val="0"/>
          <w:bCs w:val="0"/>
          <w:sz w:val="22"/>
          <w:szCs w:val="22"/>
          <w:rtl w:val="0"/>
          <w:lang w:val="en-US"/>
        </w:rPr>
        <w:t>The distinction between the age of an organic inclusion and the date of manufacture of the ceramic containing it is not a new observation. It follows from what radiocarbon dating measures and is documented in the existing literature on ceramic dating methodology. What has been lacking is a synthesised, practical framework that specifies what is required before organic inclusion ages can be accepted as manufacture dates.</w:t>
      </w:r>
    </w:p>
    <w:p>
      <w:pPr>
        <w:pStyle w:val="Heading"/>
        <w:rPr>
          <w:rFonts w:ascii="Verdana" w:cs="Verdana" w:hAnsi="Verdana" w:eastAsia="Verdana"/>
          <w:b w:val="0"/>
          <w:bCs w:val="0"/>
          <w:lang w:val="en-US"/>
        </w:rPr>
      </w:pPr>
      <w:r>
        <w:rPr>
          <w:rFonts w:ascii="Verdana" w:hAnsi="Verdana"/>
          <w:b w:val="0"/>
          <w:bCs w:val="0"/>
          <w:sz w:val="22"/>
          <w:szCs w:val="22"/>
          <w:rtl w:val="0"/>
          <w:lang w:val="en-US"/>
        </w:rPr>
        <w:t xml:space="preserve">The five thresholds proposed here </w:t>
      </w:r>
      <w:r>
        <w:rPr>
          <w:rFonts w:ascii="Verdana" w:hAnsi="Verdana" w:hint="default"/>
          <w:b w:val="0"/>
          <w:bCs w:val="0"/>
          <w:sz w:val="22"/>
          <w:szCs w:val="22"/>
          <w:rtl w:val="0"/>
          <w:lang w:val="en-US"/>
        </w:rPr>
        <w:t xml:space="preserve">— </w:t>
      </w:r>
      <w:r>
        <w:rPr>
          <w:rFonts w:ascii="Verdana" w:hAnsi="Verdana"/>
          <w:b w:val="0"/>
          <w:bCs w:val="0"/>
          <w:sz w:val="22"/>
          <w:szCs w:val="22"/>
          <w:rtl w:val="0"/>
          <w:lang w:val="en-US"/>
        </w:rPr>
        <w:t xml:space="preserve">organic fraction contemporaneity, direct TL dating of the manufacturing event, biogeographic consistency of identified organic species, phase identification of ceramic classification, and controlled depositional context </w:t>
      </w:r>
      <w:r>
        <w:rPr>
          <w:rFonts w:ascii="Verdana" w:hAnsi="Verdana" w:hint="default"/>
          <w:b w:val="0"/>
          <w:bCs w:val="0"/>
          <w:sz w:val="22"/>
          <w:szCs w:val="22"/>
          <w:rtl w:val="0"/>
          <w:lang w:val="en-US"/>
        </w:rPr>
        <w:t xml:space="preserve">— </w:t>
      </w:r>
      <w:r>
        <w:rPr>
          <w:rFonts w:ascii="Verdana" w:hAnsi="Verdana"/>
          <w:b w:val="0"/>
          <w:bCs w:val="0"/>
          <w:sz w:val="22"/>
          <w:szCs w:val="22"/>
          <w:rtl w:val="0"/>
          <w:lang w:val="en-US"/>
        </w:rPr>
        <w:t>are each grounded in published methodology. Their application to the worked example demonstrates that they are jointly demanding in a way that is appropriate to the significance of the claims they would validate.</w:t>
      </w:r>
    </w:p>
    <w:p>
      <w:pPr>
        <w:pStyle w:val="Heading"/>
        <w:rPr>
          <w:rFonts w:ascii="Verdana" w:cs="Verdana" w:hAnsi="Verdana" w:eastAsia="Verdana"/>
          <w:b w:val="0"/>
          <w:bCs w:val="0"/>
          <w:lang w:val="en-US"/>
        </w:rPr>
      </w:pPr>
      <w:r>
        <w:rPr>
          <w:rFonts w:ascii="Verdana" w:hAnsi="Verdana"/>
          <w:b w:val="0"/>
          <w:bCs w:val="0"/>
          <w:sz w:val="22"/>
          <w:szCs w:val="22"/>
          <w:rtl w:val="0"/>
          <w:lang w:val="en-US"/>
        </w:rPr>
        <w:t>The framework makes a testable prediction: ceramics for which all five thresholds are met will return manufacture dates consistent across multiple independent methods, while ceramics for which the thresholds are not met will show the divergences and inconsistencies documented here and in the case studies reviewed. That prediction is falsifiable and its falsification would require revision of the framework.</w:t>
      </w:r>
    </w:p>
    <w:p>
      <w:pPr>
        <w:pStyle w:val="Heading"/>
        <w:rPr>
          <w:rFonts w:ascii="Verdana" w:cs="Verdana" w:hAnsi="Verdana" w:eastAsia="Verdana"/>
          <w:b w:val="0"/>
          <w:bCs w:val="0"/>
          <w:lang w:val="en-US"/>
        </w:rPr>
      </w:pPr>
      <w:r>
        <w:rPr>
          <w:rFonts w:ascii="Verdana" w:hAnsi="Verdana"/>
          <w:b w:val="0"/>
          <w:bCs w:val="0"/>
          <w:sz w:val="22"/>
          <w:szCs w:val="22"/>
          <w:rtl w:val="0"/>
          <w:lang w:val="en-US"/>
        </w:rPr>
        <w:t>The broader methodological point is that radiocarbon dates, however accurately measured, are only as useful as the interpretive framework that connects them to archaeological events. Dating the material is not the same as dating the object. The distinction matters.</w:t>
      </w:r>
    </w:p>
    <w:p>
      <w:pPr>
        <w:pStyle w:val="Heading"/>
        <w:rPr>
          <w:rFonts w:ascii="Verdana" w:cs="Verdana" w:hAnsi="Verdana" w:eastAsia="Verdana"/>
          <w:b w:val="0"/>
          <w:bCs w:val="0"/>
        </w:rPr>
      </w:pPr>
    </w:p>
    <w:p>
      <w:pPr>
        <w:pStyle w:val="Heading"/>
        <w:rPr>
          <w:rFonts w:ascii="Verdana" w:cs="Verdana" w:hAnsi="Verdana" w:eastAsia="Verdana"/>
          <w:b w:val="0"/>
          <w:bCs w:val="0"/>
        </w:rPr>
      </w:pPr>
    </w:p>
    <w:p>
      <w:pPr>
        <w:pStyle w:val="Heading"/>
        <w:rPr>
          <w:rFonts w:ascii="Verdana" w:cs="Verdana" w:hAnsi="Verdana" w:eastAsia="Verdana"/>
          <w:b w:val="0"/>
          <w:bCs w:val="0"/>
        </w:rPr>
      </w:pPr>
    </w:p>
    <w:p>
      <w:pPr>
        <w:pStyle w:val="Heading"/>
        <w:rPr>
          <w:rFonts w:ascii="Verdana" w:cs="Verdana" w:hAnsi="Verdana" w:eastAsia="Verdana"/>
          <w:b w:val="0"/>
          <w:bCs w:val="0"/>
        </w:rPr>
      </w:pPr>
    </w:p>
    <w:p>
      <w:pPr>
        <w:pStyle w:val="Heading"/>
        <w:rPr>
          <w:rFonts w:ascii="Verdana" w:cs="Verdana" w:hAnsi="Verdana" w:eastAsia="Verdana"/>
          <w:b w:val="0"/>
          <w:bCs w:val="0"/>
        </w:rPr>
      </w:pPr>
    </w:p>
    <w:p>
      <w:pPr>
        <w:pStyle w:val="Heading"/>
        <w:rPr>
          <w:rFonts w:ascii="Verdana" w:cs="Verdana" w:hAnsi="Verdana" w:eastAsia="Verdana"/>
          <w:b w:val="0"/>
          <w:bCs w:val="0"/>
          <w:lang w:val="fr-FR"/>
        </w:rPr>
      </w:pPr>
      <w:r>
        <w:rPr>
          <w:rFonts w:ascii="Verdana" w:hAnsi="Verdana"/>
          <w:b w:val="0"/>
          <w:bCs w:val="0"/>
          <w:rtl w:val="0"/>
          <w:lang w:val="fr-FR"/>
        </w:rPr>
        <w:t>References</w:t>
      </w:r>
    </w:p>
    <w:p>
      <w:pPr>
        <w:pStyle w:val="Heading"/>
        <w:rPr>
          <w:rFonts w:ascii="Verdana" w:cs="Verdana" w:hAnsi="Verdana" w:eastAsia="Verdana"/>
          <w:b w:val="0"/>
          <w:bCs w:val="0"/>
        </w:rPr>
      </w:pPr>
      <w:r>
        <w:rPr>
          <w:rFonts w:ascii="Verdana" w:hAnsi="Verdana"/>
          <w:b w:val="0"/>
          <w:bCs w:val="0"/>
          <w:sz w:val="18"/>
          <w:szCs w:val="18"/>
          <w:rtl w:val="0"/>
          <w:lang w:val="en-US"/>
        </w:rPr>
        <w:t xml:space="preserve">Anderson, K.B. (1996). The nature and fate of natural resins in the geosphere </w:t>
      </w:r>
      <w:r>
        <w:rPr>
          <w:rFonts w:ascii="Verdana" w:hAnsi="Verdana" w:hint="default"/>
          <w:b w:val="0"/>
          <w:bCs w:val="0"/>
          <w:sz w:val="18"/>
          <w:szCs w:val="18"/>
          <w:rtl w:val="0"/>
          <w:lang w:val="en-US"/>
        </w:rPr>
        <w:t xml:space="preserve">— </w:t>
      </w:r>
      <w:r>
        <w:rPr>
          <w:rFonts w:ascii="Verdana" w:hAnsi="Verdana"/>
          <w:b w:val="0"/>
          <w:bCs w:val="0"/>
          <w:sz w:val="18"/>
          <w:szCs w:val="18"/>
          <w:rtl w:val="0"/>
          <w:lang w:val="en-US"/>
        </w:rPr>
        <w:t>VII. A radiocarbon (14C) age scale for description of immature natural resins. Organic Geochemistry, 25(3</w:t>
      </w:r>
      <w:r>
        <w:rPr>
          <w:rFonts w:ascii="Verdana" w:hAnsi="Verdana" w:hint="default"/>
          <w:b w:val="0"/>
          <w:bCs w:val="0"/>
          <w:sz w:val="18"/>
          <w:szCs w:val="18"/>
          <w:rtl w:val="0"/>
          <w:lang w:val="de-DE"/>
        </w:rPr>
        <w:t>–</w:t>
      </w:r>
      <w:r>
        <w:rPr>
          <w:rFonts w:ascii="Verdana" w:hAnsi="Verdana"/>
          <w:b w:val="0"/>
          <w:bCs w:val="0"/>
          <w:sz w:val="18"/>
          <w:szCs w:val="18"/>
          <w:rtl w:val="0"/>
          <w:lang w:val="de-DE"/>
        </w:rPr>
        <w:t>4), 251</w:t>
      </w:r>
      <w:r>
        <w:rPr>
          <w:rFonts w:ascii="Verdana" w:hAnsi="Verdana" w:hint="default"/>
          <w:b w:val="0"/>
          <w:bCs w:val="0"/>
          <w:sz w:val="18"/>
          <w:szCs w:val="18"/>
          <w:rtl w:val="0"/>
          <w:lang w:val="de-DE"/>
        </w:rPr>
        <w:t>–</w:t>
      </w:r>
      <w:r>
        <w:rPr>
          <w:rFonts w:ascii="Verdana" w:hAnsi="Verdana"/>
          <w:b w:val="0"/>
          <w:bCs w:val="0"/>
          <w:sz w:val="18"/>
          <w:szCs w:val="18"/>
          <w:rtl w:val="0"/>
          <w:lang w:val="en-US"/>
        </w:rPr>
        <w:t>253. https://doi.org/10.1016/S0146-6380(96)00122-1</w:t>
      </w:r>
    </w:p>
    <w:p>
      <w:pPr>
        <w:pStyle w:val="Heading"/>
        <w:rPr>
          <w:rFonts w:ascii="Verdana" w:cs="Verdana" w:hAnsi="Verdana" w:eastAsia="Verdana"/>
          <w:b w:val="0"/>
          <w:bCs w:val="0"/>
        </w:rPr>
      </w:pPr>
      <w:r>
        <w:rPr>
          <w:rFonts w:ascii="Verdana" w:hAnsi="Verdana"/>
          <w:b w:val="0"/>
          <w:bCs w:val="0"/>
          <w:sz w:val="18"/>
          <w:szCs w:val="18"/>
          <w:rtl w:val="0"/>
          <w:lang w:val="en-US"/>
        </w:rPr>
        <w:t>Boaretto, E., Wu, X., Yuan, J., Bar-Yosef, O., Chu, V., Pan, Y., Liu, K., Cohen, D., Jiao, T., Li, S., Gu, H., Goldberg, P., &amp; Weiner, S. (2009). Radiocarbon dating of charcoal and bone collagen associated with early pottery at Yuchanyan Cave, Hunan Province, China. Proceedings of the National Academy of Sciences, 106(24), 9595</w:t>
      </w:r>
      <w:r>
        <w:rPr>
          <w:rFonts w:ascii="Verdana" w:hAnsi="Verdana" w:hint="default"/>
          <w:b w:val="0"/>
          <w:bCs w:val="0"/>
          <w:sz w:val="18"/>
          <w:szCs w:val="18"/>
          <w:rtl w:val="0"/>
          <w:lang w:val="de-DE"/>
        </w:rPr>
        <w:t>–</w:t>
      </w:r>
      <w:r>
        <w:rPr>
          <w:rFonts w:ascii="Verdana" w:hAnsi="Verdana"/>
          <w:b w:val="0"/>
          <w:bCs w:val="0"/>
          <w:sz w:val="18"/>
          <w:szCs w:val="18"/>
          <w:rtl w:val="0"/>
          <w:lang w:val="pt-PT"/>
        </w:rPr>
        <w:t>9600. https://doi.org/10.1073/pnas.0900539106</w:t>
      </w:r>
    </w:p>
    <w:p>
      <w:pPr>
        <w:pStyle w:val="Heading"/>
        <w:rPr>
          <w:rFonts w:ascii="Verdana" w:cs="Verdana" w:hAnsi="Verdana" w:eastAsia="Verdana"/>
          <w:b w:val="0"/>
          <w:bCs w:val="0"/>
          <w:lang w:val="it-IT"/>
        </w:rPr>
      </w:pPr>
      <w:r>
        <w:rPr>
          <w:rFonts w:ascii="Verdana" w:hAnsi="Verdana"/>
          <w:b w:val="0"/>
          <w:bCs w:val="0"/>
          <w:sz w:val="18"/>
          <w:szCs w:val="18"/>
          <w:rtl w:val="0"/>
          <w:lang w:val="it-IT"/>
        </w:rPr>
        <w:t>Bowman, S. (1990). Radiocarbon Dating. British Museum Press.</w:t>
      </w:r>
    </w:p>
    <w:p>
      <w:pPr>
        <w:pStyle w:val="Heading"/>
        <w:rPr>
          <w:rFonts w:ascii="Verdana" w:cs="Verdana" w:hAnsi="Verdana" w:eastAsia="Verdana"/>
          <w:b w:val="0"/>
          <w:bCs w:val="0"/>
        </w:rPr>
      </w:pPr>
      <w:r>
        <w:rPr>
          <w:rFonts w:ascii="Verdana" w:hAnsi="Verdana"/>
          <w:b w:val="0"/>
          <w:bCs w:val="0"/>
          <w:sz w:val="18"/>
          <w:szCs w:val="18"/>
          <w:rtl w:val="0"/>
          <w:lang w:val="en-US"/>
        </w:rPr>
        <w:t>De Atley, S.P. (1980). Radiocarbon dating of ceramic materials: Progress and prospects. Radiocarbon, 22(3), 987</w:t>
      </w:r>
      <w:r>
        <w:rPr>
          <w:rFonts w:ascii="Verdana" w:hAnsi="Verdana" w:hint="default"/>
          <w:b w:val="0"/>
          <w:bCs w:val="0"/>
          <w:sz w:val="18"/>
          <w:szCs w:val="18"/>
          <w:rtl w:val="0"/>
          <w:lang w:val="de-DE"/>
        </w:rPr>
        <w:t>–</w:t>
      </w:r>
      <w:r>
        <w:rPr>
          <w:rFonts w:ascii="Verdana" w:hAnsi="Verdana"/>
          <w:b w:val="0"/>
          <w:bCs w:val="0"/>
          <w:sz w:val="18"/>
          <w:szCs w:val="18"/>
          <w:rtl w:val="0"/>
          <w:lang w:val="en-US"/>
        </w:rPr>
        <w:t>993. https://doi.org/10.1017/S0033822200010341</w:t>
      </w:r>
    </w:p>
    <w:p>
      <w:pPr>
        <w:pStyle w:val="Heading"/>
        <w:rPr>
          <w:rFonts w:ascii="Verdana" w:cs="Verdana" w:hAnsi="Verdana" w:eastAsia="Verdana"/>
          <w:b w:val="0"/>
          <w:bCs w:val="0"/>
        </w:rPr>
      </w:pPr>
      <w:r>
        <w:rPr>
          <w:rFonts w:ascii="Verdana" w:hAnsi="Verdana"/>
          <w:b w:val="0"/>
          <w:bCs w:val="0"/>
          <w:sz w:val="18"/>
          <w:szCs w:val="18"/>
          <w:rtl w:val="0"/>
          <w:lang w:val="en-US"/>
        </w:rPr>
        <w:t>Carriveau, G.W., &amp; Han, M.C. (1976). Thermoluminescent dating and the monsters of Acambaro. American Antiquity, 41(4), 497</w:t>
      </w:r>
      <w:r>
        <w:rPr>
          <w:rFonts w:ascii="Verdana" w:hAnsi="Verdana" w:hint="default"/>
          <w:b w:val="0"/>
          <w:bCs w:val="0"/>
          <w:sz w:val="18"/>
          <w:szCs w:val="18"/>
          <w:rtl w:val="0"/>
          <w:lang w:val="de-DE"/>
        </w:rPr>
        <w:t>–</w:t>
      </w:r>
      <w:r>
        <w:rPr>
          <w:rFonts w:ascii="Verdana" w:hAnsi="Verdana"/>
          <w:b w:val="0"/>
          <w:bCs w:val="0"/>
          <w:sz w:val="18"/>
          <w:szCs w:val="18"/>
          <w:rtl w:val="0"/>
          <w:lang w:val="en-US"/>
        </w:rPr>
        <w:t>500. https://doi.org/10.2307/279018</w:t>
      </w:r>
    </w:p>
    <w:p>
      <w:pPr>
        <w:pStyle w:val="Heading"/>
        <w:rPr>
          <w:rFonts w:ascii="Verdana" w:cs="Verdana" w:hAnsi="Verdana" w:eastAsia="Verdana"/>
          <w:b w:val="0"/>
          <w:bCs w:val="0"/>
          <w:lang w:val="en-US"/>
        </w:rPr>
      </w:pPr>
      <w:r>
        <w:rPr>
          <w:rFonts w:ascii="Verdana" w:hAnsi="Verdana"/>
          <w:b w:val="0"/>
          <w:bCs w:val="0"/>
          <w:sz w:val="18"/>
          <w:szCs w:val="18"/>
          <w:rtl w:val="0"/>
          <w:lang w:val="en-US"/>
        </w:rPr>
        <w:t>Feder, K.L. (2010). Encyclopedia of Dubious Archaeology: From Atlantis to the Walam Olum. Greenwood Press.</w:t>
      </w:r>
    </w:p>
    <w:p>
      <w:pPr>
        <w:pStyle w:val="Heading"/>
        <w:rPr>
          <w:rFonts w:ascii="Verdana" w:cs="Verdana" w:hAnsi="Verdana" w:eastAsia="Verdana"/>
          <w:b w:val="0"/>
          <w:bCs w:val="0"/>
          <w:lang w:val="en-US"/>
        </w:rPr>
      </w:pPr>
      <w:r>
        <w:rPr>
          <w:rFonts w:ascii="Verdana" w:hAnsi="Verdana"/>
          <w:b w:val="0"/>
          <w:bCs w:val="0"/>
          <w:sz w:val="18"/>
          <w:szCs w:val="18"/>
          <w:rtl w:val="0"/>
          <w:lang w:val="en-US"/>
        </w:rPr>
        <w:t>Hawke, T. (2026). Prehistoric artifacts of Mesoamerica: Anthropological evidence of ET paleocontact. Harmonic Research Group. harmonicresearchgroup@gmail.com</w:t>
      </w:r>
    </w:p>
    <w:p>
      <w:pPr>
        <w:pStyle w:val="Heading"/>
        <w:rPr>
          <w:rFonts w:ascii="Verdana" w:cs="Verdana" w:hAnsi="Verdana" w:eastAsia="Verdana"/>
          <w:b w:val="0"/>
          <w:bCs w:val="0"/>
        </w:rPr>
      </w:pPr>
      <w:r>
        <w:rPr>
          <w:rFonts w:ascii="Verdana" w:hAnsi="Verdana"/>
          <w:b w:val="0"/>
          <w:bCs w:val="0"/>
          <w:sz w:val="18"/>
          <w:szCs w:val="18"/>
          <w:rtl w:val="0"/>
          <w:lang w:val="en-US"/>
        </w:rPr>
        <w:t>Beekman, C.S. (2000). The correspondence of regional patterns and local strategies in Formative to Classic period West Mexico. Journal of Anthropological Archaeology, 19(4), 385</w:t>
      </w:r>
      <w:r>
        <w:rPr>
          <w:rFonts w:ascii="Verdana" w:hAnsi="Verdana" w:hint="default"/>
          <w:b w:val="0"/>
          <w:bCs w:val="0"/>
          <w:sz w:val="18"/>
          <w:szCs w:val="18"/>
          <w:rtl w:val="0"/>
          <w:lang w:val="de-DE"/>
        </w:rPr>
        <w:t>–</w:t>
      </w:r>
      <w:r>
        <w:rPr>
          <w:rFonts w:ascii="Verdana" w:hAnsi="Verdana"/>
          <w:b w:val="0"/>
          <w:bCs w:val="0"/>
          <w:sz w:val="18"/>
          <w:szCs w:val="18"/>
          <w:rtl w:val="0"/>
          <w:lang w:val="nl-NL"/>
        </w:rPr>
        <w:t>412. https://doi.org/10.1006/jaar.2000.0360</w:t>
      </w:r>
    </w:p>
    <w:p>
      <w:pPr>
        <w:pStyle w:val="Heading"/>
        <w:rPr>
          <w:rFonts w:ascii="Verdana" w:cs="Verdana" w:hAnsi="Verdana" w:eastAsia="Verdana"/>
          <w:b w:val="0"/>
          <w:bCs w:val="0"/>
        </w:rPr>
      </w:pPr>
      <w:r>
        <w:rPr>
          <w:rFonts w:ascii="Verdana" w:hAnsi="Verdana"/>
          <w:b w:val="0"/>
          <w:bCs w:val="0"/>
          <w:sz w:val="18"/>
          <w:szCs w:val="18"/>
          <w:rtl w:val="0"/>
          <w:lang w:val="it-IT"/>
        </w:rPr>
        <w:t>Bell, B. (1972). Archaeological excavations in Jalisco, Mexico. Science, 175(4027), 1238</w:t>
      </w:r>
      <w:r>
        <w:rPr>
          <w:rFonts w:ascii="Verdana" w:hAnsi="Verdana" w:hint="default"/>
          <w:b w:val="0"/>
          <w:bCs w:val="0"/>
          <w:sz w:val="18"/>
          <w:szCs w:val="18"/>
          <w:rtl w:val="0"/>
          <w:lang w:val="de-DE"/>
        </w:rPr>
        <w:t>–</w:t>
      </w:r>
      <w:r>
        <w:rPr>
          <w:rFonts w:ascii="Verdana" w:hAnsi="Verdana"/>
          <w:b w:val="0"/>
          <w:bCs w:val="0"/>
          <w:sz w:val="18"/>
          <w:szCs w:val="18"/>
          <w:rtl w:val="0"/>
          <w:lang w:val="en-US"/>
        </w:rPr>
        <w:t>1239. https://doi.org/10.1126/science.175.4027.1238</w:t>
      </w:r>
    </w:p>
    <w:p>
      <w:pPr>
        <w:pStyle w:val="Heading"/>
        <w:rPr>
          <w:rFonts w:ascii="Verdana" w:cs="Verdana" w:hAnsi="Verdana" w:eastAsia="Verdana"/>
          <w:b w:val="0"/>
          <w:bCs w:val="0"/>
          <w:lang w:val="en-US"/>
        </w:rPr>
      </w:pPr>
      <w:r>
        <w:rPr>
          <w:rFonts w:ascii="Verdana" w:hAnsi="Verdana"/>
          <w:b w:val="0"/>
          <w:bCs w:val="0"/>
          <w:sz w:val="18"/>
          <w:szCs w:val="18"/>
          <w:rtl w:val="0"/>
          <w:lang w:val="en-US"/>
        </w:rPr>
        <w:t>Kennett, D.J., &amp; Winterhalder, B. (Eds.) (2006). Behavioral Ecology and the Transition to Agriculture. University of California Press.</w:t>
      </w:r>
    </w:p>
    <w:p>
      <w:pPr>
        <w:pStyle w:val="Heading"/>
        <w:rPr>
          <w:rFonts w:ascii="Verdana" w:cs="Verdana" w:hAnsi="Verdana" w:eastAsia="Verdana"/>
          <w:b w:val="0"/>
          <w:bCs w:val="0"/>
          <w:lang w:val="en-US"/>
        </w:rPr>
      </w:pPr>
      <w:r>
        <w:rPr>
          <w:rFonts w:ascii="Verdana" w:hAnsi="Verdana"/>
          <w:b w:val="0"/>
          <w:bCs w:val="0"/>
          <w:sz w:val="18"/>
          <w:szCs w:val="18"/>
          <w:rtl w:val="0"/>
          <w:lang w:val="en-US"/>
        </w:rPr>
        <w:t>Voronin, K. (2025). Causes of the freshwater reservoir effect and determination of ceramic components as a result of the study of vessels from a Bronze Age hearth complex in central Russia. npj Heritage Science, 13, 217. https://doi.org/10.1038/s40494-025-01726-7</w:t>
      </w:r>
    </w:p>
    <w:p>
      <w:pPr>
        <w:pStyle w:val="Heading"/>
        <w:rPr>
          <w:rFonts w:ascii="Verdana" w:cs="Verdana" w:hAnsi="Verdana" w:eastAsia="Verdana"/>
          <w:b w:val="0"/>
          <w:bCs w:val="0"/>
        </w:rPr>
      </w:pPr>
      <w:r>
        <w:rPr>
          <w:rFonts w:ascii="Verdana" w:hAnsi="Verdana"/>
          <w:b w:val="0"/>
          <w:bCs w:val="0"/>
          <w:sz w:val="18"/>
          <w:szCs w:val="18"/>
          <w:rtl w:val="0"/>
          <w:lang w:val="en-US"/>
        </w:rPr>
        <w:t>Kuzmin, Y.V. (2017). The origins of pottery in East Asia and neighboring regions: An analysis based on radiocarbon data. Quaternary International, 441, 40</w:t>
      </w:r>
      <w:r>
        <w:rPr>
          <w:rFonts w:ascii="Verdana" w:hAnsi="Verdana" w:hint="default"/>
          <w:b w:val="0"/>
          <w:bCs w:val="0"/>
          <w:sz w:val="18"/>
          <w:szCs w:val="18"/>
          <w:rtl w:val="0"/>
          <w:lang w:val="de-DE"/>
        </w:rPr>
        <w:t>–</w:t>
      </w:r>
      <w:r>
        <w:rPr>
          <w:rFonts w:ascii="Verdana" w:hAnsi="Verdana"/>
          <w:b w:val="0"/>
          <w:bCs w:val="0"/>
          <w:sz w:val="18"/>
          <w:szCs w:val="18"/>
          <w:rtl w:val="0"/>
          <w:lang w:val="pt-PT"/>
        </w:rPr>
        <w:t>52. https://doi.org/10.1016/j.quaint.2016.09.052</w:t>
      </w:r>
    </w:p>
    <w:p>
      <w:pPr>
        <w:pStyle w:val="Heading"/>
        <w:rPr>
          <w:rFonts w:ascii="Verdana" w:cs="Verdana" w:hAnsi="Verdana" w:eastAsia="Verdana"/>
          <w:b w:val="0"/>
          <w:bCs w:val="0"/>
        </w:rPr>
      </w:pPr>
      <w:r>
        <w:rPr>
          <w:rFonts w:ascii="Verdana" w:hAnsi="Verdana"/>
          <w:b w:val="0"/>
          <w:bCs w:val="0"/>
          <w:sz w:val="18"/>
          <w:szCs w:val="18"/>
          <w:rtl w:val="0"/>
          <w:lang w:val="es-ES_tradnl"/>
        </w:rPr>
        <w:t>Ortega-Rosas, C.I., Pe</w:t>
      </w:r>
      <w:r>
        <w:rPr>
          <w:rFonts w:ascii="Verdana" w:hAnsi="Verdana" w:hint="default"/>
          <w:b w:val="0"/>
          <w:bCs w:val="0"/>
          <w:sz w:val="18"/>
          <w:szCs w:val="18"/>
          <w:rtl w:val="0"/>
          <w:lang w:val="es-ES_tradnl"/>
        </w:rPr>
        <w:t>ñ</w:t>
      </w:r>
      <w:r>
        <w:rPr>
          <w:rFonts w:ascii="Verdana" w:hAnsi="Verdana"/>
          <w:b w:val="0"/>
          <w:bCs w:val="0"/>
          <w:sz w:val="18"/>
          <w:szCs w:val="18"/>
          <w:rtl w:val="0"/>
          <w:lang w:val="en-US"/>
        </w:rPr>
        <w:t>alba, M.C., Guiot, J., &amp; Ortiz-Acosta, M.E. (2008). Holocene altitudinal shifts in vegetation belts and environmental changes in the Sierra Madre Occidental, Northwestern Mexico. Review of Palaeobotany and Palynology, 151(3</w:t>
      </w:r>
      <w:r>
        <w:rPr>
          <w:rFonts w:ascii="Verdana" w:hAnsi="Verdana" w:hint="default"/>
          <w:b w:val="0"/>
          <w:bCs w:val="0"/>
          <w:sz w:val="18"/>
          <w:szCs w:val="18"/>
          <w:rtl w:val="0"/>
          <w:lang w:val="de-DE"/>
        </w:rPr>
        <w:t>–</w:t>
      </w:r>
      <w:r>
        <w:rPr>
          <w:rFonts w:ascii="Verdana" w:hAnsi="Verdana"/>
          <w:b w:val="0"/>
          <w:bCs w:val="0"/>
          <w:sz w:val="18"/>
          <w:szCs w:val="18"/>
          <w:rtl w:val="0"/>
          <w:lang w:val="de-DE"/>
        </w:rPr>
        <w:t>4), 216</w:t>
      </w:r>
      <w:r>
        <w:rPr>
          <w:rFonts w:ascii="Verdana" w:hAnsi="Verdana" w:hint="default"/>
          <w:b w:val="0"/>
          <w:bCs w:val="0"/>
          <w:sz w:val="18"/>
          <w:szCs w:val="18"/>
          <w:rtl w:val="0"/>
          <w:lang w:val="de-DE"/>
        </w:rPr>
        <w:t>–</w:t>
      </w:r>
      <w:r>
        <w:rPr>
          <w:rFonts w:ascii="Verdana" w:hAnsi="Verdana"/>
          <w:b w:val="0"/>
          <w:bCs w:val="0"/>
          <w:sz w:val="18"/>
          <w:szCs w:val="18"/>
          <w:rtl w:val="0"/>
          <w:lang w:val="de-DE"/>
        </w:rPr>
        <w:t>232. https://doi.org/10.1016/j.revpalbo.2008.03.009</w:t>
      </w:r>
    </w:p>
    <w:p>
      <w:pPr>
        <w:pStyle w:val="Heading"/>
        <w:rPr>
          <w:rFonts w:ascii="Verdana" w:cs="Verdana" w:hAnsi="Verdana" w:eastAsia="Verdana"/>
          <w:b w:val="0"/>
          <w:bCs w:val="0"/>
          <w:lang w:val="en-US"/>
        </w:rPr>
      </w:pPr>
      <w:r>
        <w:rPr>
          <w:rFonts w:ascii="Verdana" w:hAnsi="Verdana"/>
          <w:b w:val="0"/>
          <w:bCs w:val="0"/>
          <w:sz w:val="18"/>
          <w:szCs w:val="18"/>
          <w:rtl w:val="0"/>
          <w:lang w:val="en-US"/>
        </w:rPr>
        <w:t>Rikkinen, J., Schmidt, A.R., Perdomo-Sanchez, J., Vikkula, K., Meinke, H., von Knorre, A., &amp; Heinrichs, J. (2020). A revised definition for copal and its significance for palaeontological and Anthropocene biodiversity-loss studies. Scientific Reports, 10, 19736. https://doi.org/10.1038/s41598-020-76808-6</w:t>
      </w:r>
    </w:p>
    <w:p>
      <w:pPr>
        <w:pStyle w:val="Heading"/>
        <w:rPr>
          <w:rFonts w:ascii="Verdana" w:cs="Verdana" w:hAnsi="Verdana" w:eastAsia="Verdana"/>
          <w:b w:val="0"/>
          <w:bCs w:val="0"/>
          <w:lang w:val="en-US"/>
        </w:rPr>
      </w:pPr>
      <w:r>
        <w:rPr>
          <w:rFonts w:ascii="Verdana" w:hAnsi="Verdana"/>
          <w:b w:val="0"/>
          <w:bCs w:val="0"/>
          <w:sz w:val="18"/>
          <w:szCs w:val="18"/>
          <w:rtl w:val="0"/>
          <w:lang w:val="en-US"/>
        </w:rPr>
        <w:t>Taylor, R.E., &amp; Bar-Yosef, O. (2014). Radiocarbon Dating: An Archaeological Perspective (2nd ed.). Left Coast Press. https://doi.org/10.4324/9781315421216</w:t>
      </w:r>
    </w:p>
    <w:p>
      <w:pPr>
        <w:pStyle w:val="Heading"/>
        <w:rPr>
          <w:rFonts w:ascii="Verdana" w:cs="Verdana" w:hAnsi="Verdana" w:eastAsia="Verdana"/>
          <w:b w:val="0"/>
          <w:bCs w:val="0"/>
          <w:lang w:val="en-US"/>
        </w:rPr>
      </w:pPr>
      <w:r>
        <w:rPr>
          <w:rFonts w:ascii="Verdana" w:hAnsi="Verdana"/>
          <w:b w:val="0"/>
          <w:bCs w:val="0"/>
          <w:sz w:val="18"/>
          <w:szCs w:val="18"/>
          <w:rtl w:val="0"/>
          <w:lang w:val="en-US"/>
        </w:rPr>
        <w:t>Vondoom, A. (2026). Deep symbolic stabilization in prehistoric Mesoamerica: A macro-regional case study of the Deep Symbolic Systems Model (DSSM). OSF. https://doi.org/10.6084/m9.figshare.31059406</w:t>
      </w:r>
    </w:p>
    <w:p>
      <w:pPr>
        <w:pStyle w:val="Heading"/>
        <w:rPr>
          <w:rFonts w:ascii="Verdana" w:cs="Verdana" w:hAnsi="Verdana" w:eastAsia="Verdana"/>
          <w:b w:val="0"/>
          <w:bCs w:val="0"/>
        </w:rPr>
      </w:pPr>
      <w:r>
        <w:rPr>
          <w:rFonts w:ascii="Verdana" w:hAnsi="Verdana"/>
          <w:b w:val="0"/>
          <w:bCs w:val="0"/>
          <w:sz w:val="18"/>
          <w:szCs w:val="18"/>
          <w:rtl w:val="0"/>
          <w:lang w:val="en-US"/>
        </w:rPr>
        <w:t>Waterbolk, H.T. (1971). Working with radiocarbon dates. Proceedings of the Prehistoric Society, 37(2), 15</w:t>
      </w:r>
      <w:r>
        <w:rPr>
          <w:rFonts w:ascii="Verdana" w:hAnsi="Verdana" w:hint="default"/>
          <w:b w:val="0"/>
          <w:bCs w:val="0"/>
          <w:sz w:val="18"/>
          <w:szCs w:val="18"/>
          <w:rtl w:val="0"/>
          <w:lang w:val="de-DE"/>
        </w:rPr>
        <w:t>–</w:t>
      </w:r>
      <w:r>
        <w:rPr>
          <w:rFonts w:ascii="Verdana" w:hAnsi="Verdana"/>
          <w:b w:val="0"/>
          <w:bCs w:val="0"/>
          <w:sz w:val="18"/>
          <w:szCs w:val="18"/>
          <w:rtl w:val="0"/>
          <w:lang w:val="en-US"/>
        </w:rPr>
        <w:t>33. https://doi.org/10.1017/S0079497X00012548</w:t>
      </w:r>
    </w:p>
    <w:p>
      <w:pPr>
        <w:pStyle w:val="Heading"/>
      </w:pPr>
      <w:r>
        <w:rPr>
          <w:rFonts w:ascii="Verdana" w:hAnsi="Verdana"/>
          <w:b w:val="0"/>
          <w:bCs w:val="0"/>
          <w:sz w:val="18"/>
          <w:szCs w:val="18"/>
          <w:rtl w:val="0"/>
          <w:lang w:val="en-US"/>
        </w:rPr>
        <w:t>Wu, X., Zhang, C., Goldberg, P., Cohen, D., Pan, Y., Arpin, T., &amp; Bar-Yosef, O. (2012). Early pottery at 20,000 years ago in Xianrendong Cave, China. Science, 336(6089), 1696</w:t>
      </w:r>
      <w:r>
        <w:rPr>
          <w:rFonts w:ascii="Verdana" w:hAnsi="Verdana" w:hint="default"/>
          <w:b w:val="0"/>
          <w:bCs w:val="0"/>
          <w:sz w:val="18"/>
          <w:szCs w:val="18"/>
          <w:rtl w:val="0"/>
          <w:lang w:val="de-DE"/>
        </w:rPr>
        <w:t>–</w:t>
      </w:r>
      <w:r>
        <w:rPr>
          <w:rFonts w:ascii="Verdana" w:hAnsi="Verdana"/>
          <w:b w:val="0"/>
          <w:bCs w:val="0"/>
          <w:sz w:val="18"/>
          <w:szCs w:val="18"/>
          <w:rtl w:val="0"/>
          <w:lang w:val="en-US"/>
        </w:rPr>
        <w:t>1700. https://doi.org/10.1126/science.1218643</w:t>
      </w:r>
      <w:r>
        <w:rPr>
          <w:rFonts w:ascii="Verdana" w:cs="Verdana" w:hAnsi="Verdana" w:eastAsia="Verdana"/>
          <w:b w:val="0"/>
          <w:bCs w:val="0"/>
        </w:rPr>
      </w:r>
    </w:p>
    <w:sectPr>
      <w:headerReference w:type="default" r:id="rId4"/>
      <w:footerReference w:type="default" r:id="rId5"/>
      <w:pgSz w:w="12240" w:h="15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style>
  <w:style w:type="character" w:styleId="Hyperlink.0">
    <w:name w:val="Hyperlink.0"/>
    <w:basedOn w:val="Hyperlink"/>
    <w:next w:val="Hyperlink.0"/>
    <w:rPr>
      <w:outline w:val="0"/>
      <w:color w:val="0000ff"/>
      <w:u w:val="single" w:color="0000ff"/>
      <w14:textFill>
        <w14:solidFill>
          <w14:srgbClr w14:val="0000FF"/>
        </w14:solidFill>
      </w14:textFill>
    </w:rPr>
  </w:style>
  <w:style w:type="paragraph" w:styleId="Heading">
    <w:name w:val="Heading"/>
    <w:next w:val="Heading"/>
    <w:pPr>
      <w:keepNext w:val="0"/>
      <w:keepLines w:val="0"/>
      <w:pageBreakBefore w:val="0"/>
      <w:widowControl w:val="1"/>
      <w:shd w:val="clear" w:color="auto" w:fill="auto"/>
      <w:suppressAutoHyphens w:val="0"/>
      <w:bidi w:val="0"/>
      <w:spacing w:before="400" w:after="160" w:line="240" w:lineRule="auto"/>
      <w:ind w:left="0" w:right="0" w:firstLine="0"/>
      <w:jc w:val="left"/>
      <w:outlineLvl w:val="0"/>
    </w:pPr>
    <w:rPr>
      <w:rFonts w:ascii="Arial" w:cs="Arial Unicode MS" w:hAnsi="Arial" w:eastAsia="Arial Unicode MS"/>
      <w:b w:val="1"/>
      <w:bCs w:val="1"/>
      <w:i w:val="0"/>
      <w:iCs w:val="0"/>
      <w:caps w:val="0"/>
      <w:smallCaps w:val="0"/>
      <w:strike w:val="0"/>
      <w:dstrike w:val="0"/>
      <w:outline w:val="0"/>
      <w:color w:val="000000"/>
      <w:spacing w:val="0"/>
      <w:kern w:val="0"/>
      <w:position w:val="0"/>
      <w:sz w:val="26"/>
      <w:szCs w:val="26"/>
      <w:u w:val="none" w:color="000000"/>
      <w:shd w:val="nil" w:color="auto" w:fill="auto"/>
      <w:vertAlign w:val="baseline"/>
      <w:lang w:val="de-DE"/>
      <w14:textOutline w14:w="12700" w14:cap="flat">
        <w14:noFill/>
        <w14:miter w14:lim="400000"/>
      </w14:textOutline>
      <w14:textFill>
        <w14:solidFill>
          <w14:srgbClr w14:val="000000"/>
        </w14:solidFill>
      </w14:textFill>
    </w:rPr>
  </w:style>
  <w:style w:type="paragraph" w:styleId="Heading 2">
    <w:name w:val="Heading 2"/>
    <w:next w:val="Heading 2"/>
    <w:pPr>
      <w:keepNext w:val="0"/>
      <w:keepLines w:val="0"/>
      <w:pageBreakBefore w:val="0"/>
      <w:widowControl w:val="1"/>
      <w:shd w:val="clear" w:color="auto" w:fill="auto"/>
      <w:suppressAutoHyphens w:val="0"/>
      <w:bidi w:val="0"/>
      <w:spacing w:before="280" w:after="100" w:line="240" w:lineRule="auto"/>
      <w:ind w:left="0" w:right="0" w:firstLine="0"/>
      <w:jc w:val="left"/>
      <w:outlineLvl w:val="1"/>
    </w:pPr>
    <w:rPr>
      <w:rFonts w:ascii="Arial" w:cs="Arial Unicode MS" w:hAnsi="Arial"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