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62"/>
          <w:szCs w:val="62"/>
        </w:rPr>
      </w:pPr>
      <w:r>
        <w:rPr>
          <w:rFonts w:ascii="Arial" w:hAnsi="Arial"/>
          <w:sz w:val="62"/>
          <w:szCs w:val="62"/>
          <w:u w:color="000000"/>
          <w:rtl w:val="0"/>
          <w:lang w:val="en-US"/>
        </w:rPr>
        <w:t>When Organic Inclusions Are Not Manufacturing Events: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6"/>
          <w:szCs w:val="26"/>
          <w:u w:color="000000"/>
          <w:rtl w:val="0"/>
          <w:lang w:val="en-US"/>
        </w:rPr>
        <w:t>Chronometric Conflation, Biogeographic Inconsistency, and Iconographic Anachronism in a Proposed Early Holocene Mesoamerican Assemblage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u w:color="000000"/>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i w:val="1"/>
          <w:iCs w:val="1"/>
          <w:sz w:val="18"/>
          <w:szCs w:val="18"/>
          <w:u w:color="000000"/>
          <w:rtl w:val="0"/>
          <w:lang w:val="en-US"/>
        </w:rPr>
        <w:t>Independent Researcher,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18"/>
          <w:szCs w:val="18"/>
          <w:u w:color="000000"/>
          <w:rtl w:val="0"/>
          <w:lang w:val="de-DE"/>
        </w:rPr>
        <w:t>ORCID: 0009-0003-4953-1427  |  anthony.vondoom@outlook.com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bidi w:val="0"/>
      </w:pPr>
    </w:p>
    <w:p>
      <w:pPr>
        <w:pStyle w:val="Heading"/>
        <w:rPr>
          <w:b w:val="0"/>
          <w:bCs w:val="0"/>
        </w:rPr>
      </w:pPr>
      <w:r>
        <w:rPr>
          <w:b w:val="0"/>
          <w:bCs w:val="0"/>
          <w:rtl w:val="0"/>
          <w:lang w:val="de-DE"/>
        </w:rPr>
        <w:t>Abstract</w:t>
      </w:r>
    </w:p>
    <w:p>
      <w:pPr>
        <w:pStyle w:val="Heading"/>
        <w:rPr>
          <w:b w:val="0"/>
          <w:bCs w:val="0"/>
        </w:rPr>
      </w:pPr>
      <w:r>
        <w:rPr>
          <w:b w:val="0"/>
          <w:bCs w:val="0"/>
          <w:sz w:val="22"/>
          <w:szCs w:val="22"/>
          <w:rtl w:val="0"/>
          <w:lang w:val="en-US"/>
        </w:rPr>
        <w:t xml:space="preserve">This paper presents a comprehensive methodological analysis of Hawke (2026), a recently published material science study of the Aztlan Collection </w:t>
      </w:r>
      <w:r>
        <w:rPr>
          <w:b w:val="0"/>
          <w:bCs w:val="0"/>
          <w:sz w:val="22"/>
          <w:szCs w:val="22"/>
          <w:rtl w:val="0"/>
          <w:lang w:val="en-US"/>
        </w:rPr>
        <w:t xml:space="preserve">— </w:t>
      </w:r>
      <w:r>
        <w:rPr>
          <w:b w:val="0"/>
          <w:bCs w:val="0"/>
          <w:sz w:val="22"/>
          <w:szCs w:val="22"/>
          <w:rtl w:val="0"/>
          <w:lang w:val="en-US"/>
        </w:rPr>
        <w:t xml:space="preserve">an unprovenanced assemblage of over 10,000 artefacts from Cerro del Toro, Ojuelos de Jalisco, Mexico, claimed to date to 8,570 </w:t>
      </w:r>
      <w:r>
        <w:rPr>
          <w:b w:val="0"/>
          <w:bCs w:val="0"/>
          <w:sz w:val="22"/>
          <w:szCs w:val="22"/>
          <w:rtl w:val="1"/>
        </w:rPr>
        <w:t xml:space="preserve">± </w:t>
      </w:r>
      <w:r>
        <w:rPr>
          <w:b w:val="0"/>
          <w:bCs w:val="0"/>
          <w:sz w:val="22"/>
          <w:szCs w:val="22"/>
          <w:rtl w:val="0"/>
          <w:lang w:val="en-US"/>
        </w:rPr>
        <w:t xml:space="preserve">30 BP and to document extraterrestrial paleocontact. We examine the paper in full: its abstract, methods, material characterisation, chronometric argumentation, radiometric analysis, iconographic interpretation, and conclusions. This analysis is not a targeted critique of a single claim but a systematic, section-by-section examination of the study as a whole. Six independent lines of analysis </w:t>
      </w:r>
      <w:r>
        <w:rPr>
          <w:b w:val="0"/>
          <w:bCs w:val="0"/>
          <w:sz w:val="22"/>
          <w:szCs w:val="22"/>
          <w:rtl w:val="0"/>
          <w:lang w:val="en-US"/>
        </w:rPr>
        <w:t xml:space="preserve">— </w:t>
      </w:r>
      <w:r>
        <w:rPr>
          <w:b w:val="0"/>
          <w:bCs w:val="0"/>
          <w:sz w:val="22"/>
          <w:szCs w:val="22"/>
          <w:rtl w:val="0"/>
          <w:lang w:val="en-US"/>
        </w:rPr>
        <w:t xml:space="preserve">chronometric, biogeographic, instrumental, phase-characterisation, archaeological, and iconographic </w:t>
      </w:r>
      <w:r>
        <w:rPr>
          <w:b w:val="0"/>
          <w:bCs w:val="0"/>
          <w:sz w:val="22"/>
          <w:szCs w:val="22"/>
          <w:rtl w:val="0"/>
          <w:lang w:val="en-US"/>
        </w:rPr>
        <w:t xml:space="preserve">— </w:t>
      </w:r>
      <w:r>
        <w:rPr>
          <w:b w:val="0"/>
          <w:bCs w:val="0"/>
          <w:sz w:val="22"/>
          <w:szCs w:val="22"/>
          <w:rtl w:val="0"/>
          <w:lang w:val="en-US"/>
        </w:rPr>
        <w:t xml:space="preserve">each reach the same conclusion independently. First, the paper's central chronometric argument rests on a logical conflation stated in its own abstract: the radiocarbon age of organic inclusions within the ceramic matrix is presented as the manufacture date of the artefacts. These are categorically distinct events. The paper's GC-MS-identified organic inclusions </w:t>
      </w:r>
      <w:r>
        <w:rPr>
          <w:b w:val="0"/>
          <w:bCs w:val="0"/>
          <w:sz w:val="22"/>
          <w:szCs w:val="22"/>
          <w:rtl w:val="0"/>
          <w:lang w:val="en-US"/>
        </w:rPr>
        <w:t xml:space="preserve">— </w:t>
      </w:r>
      <w:r>
        <w:rPr>
          <w:b w:val="0"/>
          <w:bCs w:val="0"/>
          <w:sz w:val="22"/>
          <w:szCs w:val="22"/>
          <w:rtl w:val="0"/>
          <w:lang w:val="en-US"/>
        </w:rPr>
        <w:t xml:space="preserve">copal resin (Bursera spp.) and coniferous resin attributed to Pinus oocarpa </w:t>
      </w:r>
      <w:r>
        <w:rPr>
          <w:b w:val="0"/>
          <w:bCs w:val="0"/>
          <w:sz w:val="22"/>
          <w:szCs w:val="22"/>
          <w:rtl w:val="0"/>
          <w:lang w:val="en-US"/>
        </w:rPr>
        <w:t xml:space="preserve">— </w:t>
      </w:r>
      <w:r>
        <w:rPr>
          <w:b w:val="0"/>
          <w:bCs w:val="0"/>
          <w:sz w:val="22"/>
          <w:szCs w:val="22"/>
          <w:rtl w:val="0"/>
          <w:lang w:val="en-US"/>
        </w:rPr>
        <w:t xml:space="preserve">are materials for which natural ancient deposits are documented in the tens of thousands of radiocarbon years (Anderson, 1996; Rikkinen et al., 2020), and the paper's internal data reveal a 760-year spread across adhesive samples and a 1,500-year discrepancy within a single artefact, both consistent with variable-age organic sourcing rather than contemporaneous manufacture. Second, the paper's organic species inventory is biogeographically inconsistent with the claimed manufacture location and period: the attributed Pinus species does not naturally occur in the northern Jalisco highlands, no pre-ceramic nomadic population in the Mesoamerican Archaic record traded long-distance botanical resins, and the intrusive root material </w:t>
      </w:r>
      <w:r>
        <w:rPr>
          <w:b w:val="0"/>
          <w:bCs w:val="0"/>
          <w:sz w:val="22"/>
          <w:szCs w:val="22"/>
          <w:rtl w:val="0"/>
          <w:lang w:val="en-US"/>
        </w:rPr>
        <w:t xml:space="preserve">— </w:t>
      </w:r>
      <w:r>
        <w:rPr>
          <w:b w:val="0"/>
          <w:bCs w:val="0"/>
          <w:sz w:val="22"/>
          <w:szCs w:val="22"/>
          <w:rtl w:val="0"/>
          <w:lang w:val="en-US"/>
        </w:rPr>
        <w:t xml:space="preserve">the most direct available evidence of burial duration </w:t>
      </w:r>
      <w:r>
        <w:rPr>
          <w:b w:val="0"/>
          <w:bCs w:val="0"/>
          <w:sz w:val="22"/>
          <w:szCs w:val="22"/>
          <w:rtl w:val="0"/>
          <w:lang w:val="en-US"/>
        </w:rPr>
        <w:t xml:space="preserve">— </w:t>
      </w:r>
      <w:r>
        <w:rPr>
          <w:b w:val="0"/>
          <w:bCs w:val="0"/>
          <w:sz w:val="22"/>
          <w:szCs w:val="22"/>
          <w:rtl w:val="0"/>
          <w:lang w:val="en-US"/>
        </w:rPr>
        <w:t>was never radiocarbon dated. Third, the artefacts' iconographic vocabulary derives from traditions post-dating the claimed manufacture by thousands of years. We argue that independent convergence as an alternative explanation becomes progressively less parsimonious as the number of specific parallels increases, and that the simultaneous presence of Olmec compositional conventions (1,200</w:t>
      </w:r>
      <w:r>
        <w:rPr>
          <w:b w:val="0"/>
          <w:bCs w:val="0"/>
          <w:sz w:val="22"/>
          <w:szCs w:val="22"/>
          <w:rtl w:val="0"/>
        </w:rPr>
        <w:t>–</w:t>
      </w:r>
      <w:r>
        <w:rPr>
          <w:b w:val="0"/>
          <w:bCs w:val="0"/>
          <w:sz w:val="22"/>
          <w:szCs w:val="22"/>
          <w:rtl w:val="0"/>
          <w:lang w:val="fr-FR"/>
        </w:rPr>
        <w:t>400 BCE), Mixtec stylistic vocabulary (900</w:t>
      </w:r>
      <w:r>
        <w:rPr>
          <w:b w:val="0"/>
          <w:bCs w:val="0"/>
          <w:sz w:val="22"/>
          <w:szCs w:val="22"/>
          <w:rtl w:val="0"/>
        </w:rPr>
        <w:t>–</w:t>
      </w:r>
      <w:r>
        <w:rPr>
          <w:b w:val="0"/>
          <w:bCs w:val="0"/>
          <w:sz w:val="22"/>
          <w:szCs w:val="22"/>
          <w:rtl w:val="0"/>
          <w:lang w:val="en-US"/>
        </w:rPr>
        <w:t>1521 CE), and the 20th-century grey alien visual template is most consistent with a maker with access to all three rather than with prehistoric independent development. The paper is further compromised by quantitative radiometric claims derived from a consumer-grade scintillation detector incapable of the spectral resolution those calculations require, and by the absence of XRD and FTIR phase identification foundational to any geopolymer classification. We propose a minimum evidentiary framework for evaluating similar claims, with specific attention to the threshold of demonstrating that dated organic material is intrinsic to a manufacturing event rather than sourced from ancient deposits.</w:t>
      </w:r>
    </w:p>
    <w:p>
      <w:pPr>
        <w:pStyle w:val="Heading"/>
        <w:rPr>
          <w:b w:val="0"/>
          <w:bCs w:val="0"/>
        </w:rPr>
      </w:pPr>
    </w:p>
    <w:p>
      <w:pPr>
        <w:pStyle w:val="Heading"/>
        <w:rPr>
          <w:b w:val="0"/>
          <w:bCs w:val="0"/>
        </w:rPr>
      </w:pPr>
      <w:r>
        <w:rPr>
          <w:b w:val="0"/>
          <w:bCs w:val="0"/>
          <w:sz w:val="22"/>
          <w:szCs w:val="22"/>
          <w:rtl w:val="0"/>
          <w:lang w:val="en-US"/>
        </w:rPr>
        <w:t>Keywords: radiocarbon dating; organic inclusions; geopolymer ceramics; Mesoamerican Archaic; artefact provenance; archaeometry; pseudoarchaeology; Pinus oocarpa; palaeobotany; iconographic analysis; evidentiary standards; unfalsifiable frameworks</w:t>
      </w:r>
    </w:p>
    <w:p>
      <w:pPr>
        <w:pStyle w:val="Heading"/>
        <w:rPr>
          <w:b w:val="0"/>
          <w:bCs w:val="0"/>
        </w:rPr>
      </w:pPr>
    </w:p>
    <w:p>
      <w:pPr>
        <w:pStyle w:val="Heading"/>
        <w:rPr>
          <w:b w:val="0"/>
          <w:bCs w:val="0"/>
        </w:rPr>
      </w:pPr>
    </w:p>
    <w:p>
      <w:pPr>
        <w:pStyle w:val="Heading"/>
        <w:rPr>
          <w:b w:val="0"/>
          <w:bCs w:val="0"/>
        </w:rPr>
      </w:pPr>
      <w:r>
        <w:rPr>
          <w:b w:val="0"/>
          <w:bCs w:val="0"/>
          <w:rtl w:val="0"/>
          <w:lang w:val="fr-FR"/>
        </w:rPr>
        <w:t>1. Introduction</w:t>
      </w:r>
    </w:p>
    <w:p>
      <w:pPr>
        <w:pStyle w:val="Heading"/>
        <w:rPr>
          <w:b w:val="0"/>
          <w:bCs w:val="0"/>
        </w:rPr>
      </w:pPr>
      <w:r>
        <w:rPr>
          <w:b w:val="0"/>
          <w:bCs w:val="0"/>
          <w:sz w:val="22"/>
          <w:szCs w:val="22"/>
          <w:rtl w:val="0"/>
          <w:lang w:val="en-US"/>
        </w:rPr>
        <w:t xml:space="preserve">The authentication of ancient artefacts depends on methodological chains that are reproducible, internally consistent, and free from logical gaps between observation and conclusion. This requirement is not a bureaucratic formality but a functional necessity: when the chain breaks, invalid conclusions enter the interpretive record and resist correction, particularly when the invalid conclusions carry public appeal </w:t>
      </w:r>
      <w:r>
        <w:rPr>
          <w:b w:val="0"/>
          <w:bCs w:val="0"/>
          <w:sz w:val="22"/>
          <w:szCs w:val="22"/>
          <w:rtl w:val="0"/>
          <w:lang w:val="en-US"/>
        </w:rPr>
        <w:t xml:space="preserve">— </w:t>
      </w:r>
      <w:r>
        <w:rPr>
          <w:b w:val="0"/>
          <w:bCs w:val="0"/>
          <w:sz w:val="22"/>
          <w:szCs w:val="22"/>
          <w:rtl w:val="0"/>
          <w:lang w:val="en-US"/>
        </w:rPr>
        <w:t>as claims of extraterrestrial contact reliably do (Feder, 2010; Stiebing, 1984).</w:t>
      </w:r>
    </w:p>
    <w:p>
      <w:pPr>
        <w:pStyle w:val="Heading"/>
        <w:rPr>
          <w:b w:val="0"/>
          <w:bCs w:val="0"/>
        </w:rPr>
      </w:pPr>
      <w:r>
        <w:rPr>
          <w:b w:val="0"/>
          <w:bCs w:val="0"/>
          <w:sz w:val="22"/>
          <w:szCs w:val="22"/>
          <w:rtl w:val="0"/>
          <w:lang w:val="en-US"/>
        </w:rPr>
        <w:t xml:space="preserve">The present paper provides a systematic, comprehensive examination of a recently published study of the Aztlan Collection (Hawke, 2026). We analyse the paper in its entirety </w:t>
      </w:r>
      <w:r>
        <w:rPr>
          <w:b w:val="0"/>
          <w:bCs w:val="0"/>
          <w:sz w:val="22"/>
          <w:szCs w:val="22"/>
          <w:rtl w:val="0"/>
          <w:lang w:val="en-US"/>
        </w:rPr>
        <w:t xml:space="preserve">— </w:t>
      </w:r>
      <w:r>
        <w:rPr>
          <w:b w:val="0"/>
          <w:bCs w:val="0"/>
          <w:sz w:val="22"/>
          <w:szCs w:val="22"/>
          <w:rtl w:val="0"/>
          <w:lang w:val="en-US"/>
        </w:rPr>
        <w:t>from its abstract through its materials and methods, its material characterisation, chronometric argumentation, radiometric analysis, species identification, archaeological framing, iconographic interpretation, and conclusions. The Aztlan Collection is an assemblage of over 10,000 artefacts in private hands, attributed to Cerro del Toro in the highlands of Jalisco, Mexico, claimed to be manufactured approximately 8,570 years ago, and claimed to document prehistoric contact between Mesoamerican populations and extraterrestrial intelligences. The study employs real instruments, cites real researchers, and reports analyses from an accredited radiocarbon laboratory.</w:t>
      </w:r>
    </w:p>
    <w:p>
      <w:pPr>
        <w:pStyle w:val="Heading"/>
        <w:rPr>
          <w:b w:val="0"/>
          <w:bCs w:val="0"/>
        </w:rPr>
      </w:pPr>
      <w:r>
        <w:rPr>
          <w:b w:val="0"/>
          <w:bCs w:val="0"/>
          <w:sz w:val="22"/>
          <w:szCs w:val="22"/>
          <w:rtl w:val="0"/>
          <w:lang w:val="en-US"/>
        </w:rPr>
        <w:t xml:space="preserve">Before developing this critique, we acknowledge its genuine contributions: the SEM and EDS analyses employ appropriate instrumentation and describe real microstructural features; the radiocarbon analyses reported by the University of Georgia Center for Applied Isotope Studies (UGA CAIS) are from an accredited laboratory using established protocol; and the surface texture mapping methodology represents a coherent approach to characterising material rheology from engraving profiles. These contributions are addressed fully in Section 10. We identify them at the outset so that the critique that follows is understood as directed at the logical structure connecting evidence to conclusion </w:t>
      </w:r>
      <w:r>
        <w:rPr>
          <w:b w:val="0"/>
          <w:bCs w:val="0"/>
          <w:sz w:val="22"/>
          <w:szCs w:val="22"/>
          <w:rtl w:val="0"/>
          <w:lang w:val="en-US"/>
        </w:rPr>
        <w:t xml:space="preserve">— </w:t>
      </w:r>
      <w:r>
        <w:rPr>
          <w:b w:val="0"/>
          <w:bCs w:val="0"/>
          <w:sz w:val="22"/>
          <w:szCs w:val="22"/>
          <w:rtl w:val="0"/>
          <w:lang w:val="en-US"/>
        </w:rPr>
        <w:t>not at the physical measurements themselves.</w:t>
      </w:r>
    </w:p>
    <w:p>
      <w:pPr>
        <w:pStyle w:val="Heading"/>
        <w:rPr>
          <w:b w:val="0"/>
          <w:bCs w:val="0"/>
        </w:rPr>
      </w:pPr>
      <w:r>
        <w:rPr>
          <w:b w:val="0"/>
          <w:bCs w:val="0"/>
          <w:sz w:val="22"/>
          <w:szCs w:val="22"/>
          <w:rtl w:val="0"/>
          <w:lang w:val="en-US"/>
        </w:rPr>
        <w:t xml:space="preserve">This examination is thorough by design. We do not select the weakest points in the paper and ignore the rest; we follow the paper section by section, evaluating each analytical claim against the evidence and methodology it is built on. Six independent lines of analysis </w:t>
      </w:r>
      <w:r>
        <w:rPr>
          <w:b w:val="0"/>
          <w:bCs w:val="0"/>
          <w:sz w:val="22"/>
          <w:szCs w:val="22"/>
          <w:rtl w:val="0"/>
          <w:lang w:val="en-US"/>
        </w:rPr>
        <w:t xml:space="preserve">— </w:t>
      </w:r>
      <w:r>
        <w:rPr>
          <w:b w:val="0"/>
          <w:bCs w:val="0"/>
          <w:sz w:val="22"/>
          <w:szCs w:val="22"/>
          <w:rtl w:val="0"/>
          <w:lang w:val="en-US"/>
        </w:rPr>
        <w:t xml:space="preserve">chronometric, biogeographic, instrumental, phase-characterisation, archaeological, and iconographic </w:t>
      </w:r>
      <w:r>
        <w:rPr>
          <w:b w:val="0"/>
          <w:bCs w:val="0"/>
          <w:sz w:val="22"/>
          <w:szCs w:val="22"/>
          <w:rtl w:val="0"/>
          <w:lang w:val="en-US"/>
        </w:rPr>
        <w:t xml:space="preserve">— </w:t>
      </w:r>
      <w:r>
        <w:rPr>
          <w:b w:val="0"/>
          <w:bCs w:val="0"/>
          <w:sz w:val="22"/>
          <w:szCs w:val="22"/>
          <w:rtl w:val="0"/>
          <w:lang w:val="en-US"/>
        </w:rPr>
        <w:t>each reach the same conclusion by a different route. Their convergence is not the result of a motivated reading; it is the result of reading the paper carefully and completely. Where the paper's analyses are competently executed we say so. Where they are not we explain precisely why.</w:t>
      </w:r>
    </w:p>
    <w:p>
      <w:pPr>
        <w:pStyle w:val="Heading"/>
        <w:rPr>
          <w:b w:val="0"/>
          <w:bCs w:val="0"/>
        </w:rPr>
      </w:pPr>
      <w:r>
        <w:rPr>
          <w:b w:val="0"/>
          <w:bCs w:val="0"/>
          <w:sz w:val="22"/>
          <w:szCs w:val="22"/>
          <w:rtl w:val="0"/>
          <w:lang w:val="en-US"/>
        </w:rPr>
        <w:t>The contribution of this paper is therefore twofold: a documented critique of a specific evidentiary failure, and a proposed minimum evidentiary framework for evaluating extraordinary chronometric and cultural claims in assemblages lacking controlled archaeological provenance.</w:t>
      </w:r>
    </w:p>
    <w:p>
      <w:pPr>
        <w:pStyle w:val="Heading"/>
        <w:rPr>
          <w:b w:val="0"/>
          <w:bCs w:val="0"/>
        </w:rPr>
      </w:pPr>
    </w:p>
    <w:p>
      <w:pPr>
        <w:pStyle w:val="Heading"/>
        <w:rPr>
          <w:b w:val="0"/>
          <w:bCs w:val="0"/>
        </w:rPr>
      </w:pPr>
    </w:p>
    <w:p>
      <w:pPr>
        <w:pStyle w:val="Heading"/>
        <w:rPr>
          <w:b w:val="0"/>
          <w:bCs w:val="0"/>
        </w:rPr>
      </w:pPr>
    </w:p>
    <w:p>
      <w:pPr>
        <w:pStyle w:val="Heading"/>
        <w:rPr>
          <w:b w:val="0"/>
          <w:bCs w:val="0"/>
        </w:rPr>
      </w:pPr>
      <w:r>
        <w:rPr>
          <w:b w:val="0"/>
          <w:bCs w:val="0"/>
          <w:rtl w:val="0"/>
          <w:lang w:val="en-US"/>
        </w:rPr>
        <w:t>2. The Paper Under Examination: Claims, Context, and Scope</w:t>
      </w:r>
    </w:p>
    <w:p>
      <w:pPr>
        <w:pStyle w:val="Heading"/>
        <w:rPr>
          <w:b w:val="0"/>
          <w:bCs w:val="0"/>
        </w:rPr>
      </w:pPr>
      <w:r>
        <w:rPr>
          <w:b w:val="0"/>
          <w:bCs w:val="0"/>
          <w:sz w:val="22"/>
          <w:szCs w:val="22"/>
          <w:rtl w:val="0"/>
          <w:lang w:val="en-US"/>
        </w:rPr>
        <w:t>Hawke (2026) presents the Aztlan Collection as an assemblage of anthropogenic Low-Temperature Geopolymeric Setting (LTGS) ceramics manufactured in the Early Holocene. The paper's abstract states its central chronometric claim:</w:t>
      </w:r>
    </w:p>
    <w:p>
      <w:pPr>
        <w:pStyle w:val="Heading"/>
        <w:rPr>
          <w:b w:val="0"/>
          <w:bCs w:val="0"/>
        </w:rPr>
      </w:pPr>
      <w:r>
        <w:rPr>
          <w:b w:val="0"/>
          <w:bCs w:val="0"/>
          <w:i w:val="1"/>
          <w:iCs w:val="1"/>
          <w:sz w:val="18"/>
          <w:szCs w:val="18"/>
          <w:rtl w:val="0"/>
          <w:lang w:val="en-US"/>
        </w:rPr>
        <w:t xml:space="preserve">"C14 AMS radiocarbon dating of organic inclusions within the ceramic matrix yields a chronological age of 8,570 </w:t>
      </w:r>
      <w:r>
        <w:rPr>
          <w:b w:val="0"/>
          <w:bCs w:val="0"/>
          <w:i w:val="1"/>
          <w:iCs w:val="1"/>
          <w:sz w:val="18"/>
          <w:szCs w:val="18"/>
          <w:rtl w:val="1"/>
        </w:rPr>
        <w:t xml:space="preserve">± </w:t>
      </w:r>
      <w:r>
        <w:rPr>
          <w:b w:val="0"/>
          <w:bCs w:val="0"/>
          <w:i w:val="1"/>
          <w:iCs w:val="1"/>
          <w:sz w:val="18"/>
          <w:szCs w:val="18"/>
          <w:rtl w:val="0"/>
          <w:lang w:val="nl-NL"/>
        </w:rPr>
        <w:t>30 BP, establishing a definitive mid-Holocene provenance."</w:t>
      </w:r>
    </w:p>
    <w:p>
      <w:pPr>
        <w:pStyle w:val="Heading"/>
        <w:rPr>
          <w:b w:val="0"/>
          <w:bCs w:val="0"/>
        </w:rPr>
      </w:pPr>
      <w:r>
        <w:rPr>
          <w:b w:val="0"/>
          <w:bCs w:val="0"/>
          <w:sz w:val="22"/>
          <w:szCs w:val="22"/>
          <w:rtl w:val="0"/>
          <w:lang w:val="en-US"/>
        </w:rPr>
        <w:t>Three further claims follow from this: that the artefacts represent an unknown pre-ceramic Mesoamerican civilisation with sophisticated material engineering capabilities; that their iconographic content documents contact between this civilisation and extraterrestrial intelligences; and that this documentation was deliberately engineered into durable ceramic form to survive across millennia.</w:t>
      </w:r>
    </w:p>
    <w:p>
      <w:pPr>
        <w:pStyle w:val="Heading"/>
        <w:rPr>
          <w:b w:val="0"/>
          <w:bCs w:val="0"/>
        </w:rPr>
      </w:pPr>
      <w:r>
        <w:rPr>
          <w:b w:val="0"/>
          <w:bCs w:val="0"/>
          <w:sz w:val="22"/>
          <w:szCs w:val="22"/>
          <w:rtl w:val="0"/>
          <w:lang w:val="en-US"/>
        </w:rPr>
        <w:t>INAH characterised the collection as modern fabrications following the closure of a municipal museum at Ojuelos de Jalisco in 2014. Hawke (2026) attributes this rejection to the absence of geochemical analysis from INAH's assessment. We argue that INAH's judgment rests on the totality of archaeological evidence for the claimed period and region rather than on visual inspection alone, and that the geochemical analyses, properly interpreted, do not contradict that judgment.</w:t>
      </w:r>
    </w:p>
    <w:p>
      <w:pPr>
        <w:pStyle w:val="Heading"/>
        <w:rPr>
          <w:b w:val="0"/>
          <w:bCs w:val="0"/>
        </w:rPr>
      </w:pPr>
      <w:r>
        <w:rPr>
          <w:b w:val="0"/>
          <w:bCs w:val="0"/>
          <w:rtl w:val="0"/>
          <w:lang w:val="en-US"/>
        </w:rPr>
        <w:t>3. The Central Flaw: Radiocarbon Dating of Organic Inclusions Does Not Date Manufacture</w:t>
      </w:r>
    </w:p>
    <w:p>
      <w:pPr>
        <w:pStyle w:val="Heading"/>
        <w:rPr>
          <w:b w:val="0"/>
          <w:bCs w:val="0"/>
        </w:rPr>
      </w:pPr>
      <w:r>
        <w:rPr>
          <w:b w:val="0"/>
          <w:bCs w:val="0"/>
          <w:sz w:val="22"/>
          <w:szCs w:val="22"/>
          <w:rtl w:val="0"/>
          <w:lang w:val="en-US"/>
        </w:rPr>
        <w:t xml:space="preserve">Radiocarbon dating measures the elapsed time since an organic material last exchanged carbon with the atmosphere </w:t>
      </w:r>
      <w:r>
        <w:rPr>
          <w:b w:val="0"/>
          <w:bCs w:val="0"/>
          <w:sz w:val="22"/>
          <w:szCs w:val="22"/>
          <w:rtl w:val="0"/>
          <w:lang w:val="en-US"/>
        </w:rPr>
        <w:t xml:space="preserve">— </w:t>
      </w:r>
      <w:r>
        <w:rPr>
          <w:b w:val="0"/>
          <w:bCs w:val="0"/>
          <w:sz w:val="22"/>
          <w:szCs w:val="22"/>
          <w:rtl w:val="0"/>
          <w:lang w:val="en-US"/>
        </w:rPr>
        <w:t>that is, since the source organism died or ceased metabolic activity (Bowman, 1990; Taylor &amp; Bar-Yosef, 2014). Applied to an organic inclusion within a ceramic matrix, it measures the age of the organic material at metabolic cessation, not the age of the ceramic object in which that material was subsequently incorporated. These are distinct events separated by an interval that can range from zero to tens of thousands of years, depending on when and how the organic material was sourced.</w:t>
      </w:r>
    </w:p>
    <w:p>
      <w:pPr>
        <w:pStyle w:val="Heading"/>
        <w:rPr>
          <w:b w:val="0"/>
          <w:bCs w:val="0"/>
        </w:rPr>
      </w:pPr>
      <w:r>
        <w:rPr>
          <w:b w:val="0"/>
          <w:bCs w:val="0"/>
          <w:sz w:val="22"/>
          <w:szCs w:val="22"/>
          <w:rtl w:val="0"/>
          <w:lang w:val="en-US"/>
        </w:rPr>
        <w:t>For the radiocarbon age of an organic inclusion to function as a manufacture date, three conditions must all be demonstrably satisfied: (a) the organic material could only have been sourced contemporaneously with manufacture and could not have been obtained from ancient deposits; (b) no equivalent ancient organic source material was accessible to a potential fabricator working at a later date; (c) the organic carbon is demonstrably intrinsic to the manufacturing event rather than externally applied, post-depositionally introduced, or derived from ancient organic precursors. Hawke (2026) demonstrates none of these conditions.</w:t>
      </w:r>
    </w:p>
    <w:p>
      <w:pPr>
        <w:pStyle w:val="Heading"/>
        <w:rPr>
          <w:b w:val="0"/>
          <w:bCs w:val="0"/>
        </w:rPr>
      </w:pPr>
      <w:r>
        <w:rPr>
          <w:b w:val="0"/>
          <w:bCs w:val="0"/>
          <w:sz w:val="22"/>
          <w:szCs w:val="22"/>
          <w:rtl w:val="0"/>
          <w:lang w:val="en-US"/>
        </w:rPr>
        <w:t xml:space="preserve">The GC-MS analysis identifies the adhesive resins as copal from the Bursera genus and coniferous resin attributed to Pinus oocarpa </w:t>
      </w:r>
      <w:r>
        <w:rPr>
          <w:b w:val="0"/>
          <w:bCs w:val="0"/>
          <w:sz w:val="22"/>
          <w:szCs w:val="22"/>
          <w:rtl w:val="0"/>
          <w:lang w:val="en-US"/>
        </w:rPr>
        <w:t xml:space="preserve">— </w:t>
      </w:r>
      <w:r>
        <w:rPr>
          <w:b w:val="0"/>
          <w:bCs w:val="0"/>
          <w:sz w:val="22"/>
          <w:szCs w:val="22"/>
          <w:rtl w:val="0"/>
          <w:lang w:val="en-US"/>
        </w:rPr>
        <w:t>both materials for which natural ancient deposits are extensively documented. Anderson (1996) established that plant resins persist in geological and depositional contexts for extraordinarily long periods. Rikkinen et al. (2020) document that Dominican copal has been dated to over 36,000 years BP in natural depositional settings, with individual specimens ranging from 10,820 BP to 1,700 BP. The copal genus Bursera is endemic to the Mexican Pacific slopes and semi-arid highlands, present in ancient depositional contexts across the region (Gigliarelli et al., 2015).</w:t>
      </w:r>
    </w:p>
    <w:p>
      <w:pPr>
        <w:pStyle w:val="Heading"/>
        <w:rPr>
          <w:b w:val="0"/>
          <w:bCs w:val="0"/>
        </w:rPr>
      </w:pPr>
      <w:r>
        <w:rPr>
          <w:b w:val="0"/>
          <w:bCs w:val="0"/>
          <w:sz w:val="22"/>
          <w:szCs w:val="22"/>
          <w:rtl w:val="0"/>
          <w:lang w:val="en-US"/>
        </w:rPr>
        <w:t xml:space="preserve">The paper's internal data provide independent evidence that organic source materials of varying ages were used. The 2019 UGA CAIS analysis reports dates across five adhesive samples spanning 8,420 </w:t>
      </w:r>
      <w:r>
        <w:rPr>
          <w:b w:val="0"/>
          <w:bCs w:val="0"/>
          <w:sz w:val="22"/>
          <w:szCs w:val="22"/>
          <w:rtl w:val="1"/>
        </w:rPr>
        <w:t xml:space="preserve">± </w:t>
      </w:r>
      <w:r>
        <w:rPr>
          <w:b w:val="0"/>
          <w:bCs w:val="0"/>
          <w:sz w:val="22"/>
          <w:szCs w:val="22"/>
          <w:rtl w:val="0"/>
          <w:lang w:val="en-US"/>
        </w:rPr>
        <w:t xml:space="preserve">30 BP to 9,180 </w:t>
      </w:r>
      <w:r>
        <w:rPr>
          <w:b w:val="0"/>
          <w:bCs w:val="0"/>
          <w:sz w:val="22"/>
          <w:szCs w:val="22"/>
          <w:rtl w:val="1"/>
        </w:rPr>
        <w:t xml:space="preserve">± </w:t>
      </w:r>
      <w:r>
        <w:rPr>
          <w:b w:val="0"/>
          <w:bCs w:val="0"/>
          <w:sz w:val="22"/>
          <w:szCs w:val="22"/>
          <w:rtl w:val="0"/>
          <w:lang w:val="pt-PT"/>
        </w:rPr>
        <w:t xml:space="preserve">30 BP </w:t>
      </w:r>
      <w:r>
        <w:rPr>
          <w:b w:val="0"/>
          <w:bCs w:val="0"/>
          <w:sz w:val="22"/>
          <w:szCs w:val="22"/>
          <w:rtl w:val="0"/>
          <w:lang w:val="en-US"/>
        </w:rPr>
        <w:t xml:space="preserve">— </w:t>
      </w:r>
      <w:r>
        <w:rPr>
          <w:b w:val="0"/>
          <w:bCs w:val="0"/>
          <w:sz w:val="22"/>
          <w:szCs w:val="22"/>
          <w:rtl w:val="0"/>
          <w:lang w:val="en-US"/>
        </w:rPr>
        <w:t>a range of 760 radiocarbon years across artefacts attributed to a single unified manufacturing tradition. If these artefacts were manufactured contemporaneously from contemporaneous organic binders, this temporal spread is anomalous; it is precisely what would result from using organic source materials drawn from deposits of varying ages.</w:t>
      </w:r>
    </w:p>
    <w:p>
      <w:pPr>
        <w:pStyle w:val="Heading"/>
        <w:rPr>
          <w:b w:val="0"/>
          <w:bCs w:val="0"/>
        </w:rPr>
      </w:pPr>
      <w:r>
        <w:rPr>
          <w:b w:val="0"/>
          <w:bCs w:val="0"/>
          <w:sz w:val="22"/>
          <w:szCs w:val="22"/>
          <w:rtl w:val="0"/>
          <w:lang w:val="en-US"/>
        </w:rPr>
        <w:t xml:space="preserve">The 2026 core matrix analysis provides the paper's most explicit internal contradiction. Sample MA-0010 returns a core date of 7,090 </w:t>
      </w:r>
      <w:r>
        <w:rPr>
          <w:b w:val="0"/>
          <w:bCs w:val="0"/>
          <w:sz w:val="22"/>
          <w:szCs w:val="22"/>
          <w:rtl w:val="1"/>
        </w:rPr>
        <w:t xml:space="preserve">± </w:t>
      </w:r>
      <w:r>
        <w:rPr>
          <w:b w:val="0"/>
          <w:bCs w:val="0"/>
          <w:sz w:val="22"/>
          <w:szCs w:val="22"/>
          <w:rtl w:val="0"/>
          <w:lang w:val="en-US"/>
        </w:rPr>
        <w:t xml:space="preserve">60 BP against an adhesive date of approximately 8,600 BP </w:t>
      </w:r>
      <w:r>
        <w:rPr>
          <w:b w:val="0"/>
          <w:bCs w:val="0"/>
          <w:sz w:val="22"/>
          <w:szCs w:val="22"/>
          <w:rtl w:val="0"/>
          <w:lang w:val="en-US"/>
        </w:rPr>
        <w:t xml:space="preserve">— </w:t>
      </w:r>
      <w:r>
        <w:rPr>
          <w:b w:val="0"/>
          <w:bCs w:val="0"/>
          <w:sz w:val="22"/>
          <w:szCs w:val="22"/>
          <w:rtl w:val="0"/>
          <w:lang w:val="en-US"/>
        </w:rPr>
        <w:t xml:space="preserve">a 1,500-year discrepancy between two components of the same artefact. The paper explains this through analytical sensitivity limits: the core yielded only 12 picograms of carbon from a 60 mg sample, increasing susceptibility to modern carbon contamination (Hedges, 1992). This explanation is technically defensible in isolation. But the companion sample MA-0014 </w:t>
      </w:r>
      <w:r>
        <w:rPr>
          <w:b w:val="0"/>
          <w:bCs w:val="0"/>
          <w:sz w:val="22"/>
          <w:szCs w:val="22"/>
          <w:rtl w:val="0"/>
          <w:lang w:val="en-US"/>
        </w:rPr>
        <w:t xml:space="preserve">— </w:t>
      </w:r>
      <w:r>
        <w:rPr>
          <w:b w:val="0"/>
          <w:bCs w:val="0"/>
          <w:sz w:val="22"/>
          <w:szCs w:val="22"/>
          <w:rtl w:val="0"/>
          <w:lang w:val="en-US"/>
        </w:rPr>
        <w:t xml:space="preserve">with a core-adhesive convergence of 8,570/8,580 BP </w:t>
      </w:r>
      <w:r>
        <w:rPr>
          <w:b w:val="0"/>
          <w:bCs w:val="0"/>
          <w:sz w:val="22"/>
          <w:szCs w:val="22"/>
          <w:rtl w:val="0"/>
          <w:lang w:val="en-US"/>
        </w:rPr>
        <w:t xml:space="preserve">— </w:t>
      </w:r>
      <w:r>
        <w:rPr>
          <w:b w:val="0"/>
          <w:bCs w:val="0"/>
          <w:sz w:val="22"/>
          <w:szCs w:val="22"/>
          <w:rtl w:val="0"/>
          <w:lang w:val="en-US"/>
        </w:rPr>
        <w:t>is simultaneously described as 'groundbreaking confirmation of a singular, synchronized manufacturing event.' A method that is robust when confirming the thesis and contamination-susceptible when contradicting it reveals circular reasoning rather than rigour.</w:t>
      </w:r>
    </w:p>
    <w:p>
      <w:pPr>
        <w:pStyle w:val="Heading"/>
        <w:rPr>
          <w:b w:val="0"/>
          <w:bCs w:val="0"/>
        </w:rPr>
      </w:pPr>
      <w:r>
        <w:rPr>
          <w:b w:val="0"/>
          <w:bCs w:val="0"/>
          <w:rtl w:val="0"/>
          <w:lang w:val="en-US"/>
        </w:rPr>
        <w:t>4. Biogeographic Inconsistency in the Identified Organic Species</w:t>
      </w:r>
    </w:p>
    <w:p>
      <w:pPr>
        <w:pStyle w:val="Heading 2"/>
        <w:rPr>
          <w:b w:val="0"/>
          <w:bCs w:val="0"/>
        </w:rPr>
      </w:pPr>
      <w:r>
        <w:rPr>
          <w:b w:val="0"/>
          <w:bCs w:val="0"/>
          <w:rtl w:val="0"/>
          <w:lang w:val="en-US"/>
        </w:rPr>
        <w:t>4.1 Post-Manufacture Intrusions and the Unperformed Test</w:t>
      </w:r>
    </w:p>
    <w:p>
      <w:pPr>
        <w:pStyle w:val="Heading 2"/>
        <w:rPr>
          <w:b w:val="0"/>
          <w:bCs w:val="0"/>
        </w:rPr>
      </w:pPr>
      <w:r>
        <w:rPr>
          <w:b w:val="0"/>
          <w:bCs w:val="0"/>
          <w:rtl w:val="0"/>
          <w:lang w:val="en-US"/>
        </w:rPr>
        <w:t xml:space="preserve">Artefact A contains permineralized root systems of Muhlenbergia robusta (Poaceae), fungal hyphae, and a grass seed floret. Hawke (2026) explicitly states that the artefact's 'curved through-holes at the periphery of the disc...evidently served as points of entry for internal water migration allowing for biological propagation.' These organisms entered the artefact post-manufacture through pre-existing structural holes. They are post-manufacture intrusions </w:t>
      </w:r>
      <w:r>
        <w:rPr>
          <w:b w:val="0"/>
          <w:bCs w:val="0"/>
          <w:rtl w:val="0"/>
          <w:lang w:val="en-US"/>
        </w:rPr>
        <w:t xml:space="preserve">— </w:t>
      </w:r>
      <w:r>
        <w:rPr>
          <w:b w:val="0"/>
          <w:bCs w:val="0"/>
          <w:rtl w:val="0"/>
          <w:lang w:val="en-US"/>
        </w:rPr>
        <w:t xml:space="preserve">biological colonisation of a buried porous object during its depositional history </w:t>
      </w:r>
      <w:r>
        <w:rPr>
          <w:b w:val="0"/>
          <w:bCs w:val="0"/>
          <w:rtl w:val="0"/>
          <w:lang w:val="en-US"/>
        </w:rPr>
        <w:t xml:space="preserve">— </w:t>
      </w:r>
      <w:r>
        <w:rPr>
          <w:b w:val="0"/>
          <w:bCs w:val="0"/>
          <w:rtl w:val="0"/>
          <w:lang w:val="en-US"/>
        </w:rPr>
        <w:t>not original inclusions incorporated at manufacture.</w:t>
      </w:r>
    </w:p>
    <w:p>
      <w:pPr>
        <w:pStyle w:val="Heading 2"/>
        <w:rPr>
          <w:b w:val="0"/>
          <w:bCs w:val="0"/>
        </w:rPr>
      </w:pPr>
      <w:r>
        <w:rPr>
          <w:b w:val="0"/>
          <w:bCs w:val="0"/>
          <w:rtl w:val="0"/>
          <w:lang w:val="en-US"/>
        </w:rPr>
        <w:t>Their significance for the paper's argument is direct: they are the one class of organic material in the artefact whose radiocarbon age would most directly measure burial duration and thereby provide independent evidence of whether the artefact was interred thousands of years ago or recently. They were not radiocarbon dated. The most diagnostic available test was not performed. Species-level identification of M. robusta from silicified micro-tooth spacing measurements (35</w:t>
      </w:r>
      <w:r>
        <w:rPr>
          <w:b w:val="0"/>
          <w:bCs w:val="0"/>
          <w:rtl w:val="0"/>
        </w:rPr>
        <w:t>–</w:t>
      </w:r>
      <w:r>
        <w:rPr>
          <w:b w:val="0"/>
          <w:bCs w:val="0"/>
          <w:rtl w:val="0"/>
        </w:rPr>
        <w:t xml:space="preserve">50 </w:t>
      </w:r>
      <w:r>
        <w:rPr>
          <w:b w:val="0"/>
          <w:bCs w:val="0"/>
          <w:rtl w:val="0"/>
        </w:rPr>
        <w:t>μ</w:t>
      </w:r>
      <w:r>
        <w:rPr>
          <w:b w:val="0"/>
          <w:bCs w:val="0"/>
          <w:rtl w:val="0"/>
          <w:lang w:val="en-US"/>
        </w:rPr>
        <w:t xml:space="preserve">m) is presented without a comparative botanical collection, voucher specimens, or specialist botanical review </w:t>
      </w:r>
      <w:r>
        <w:rPr>
          <w:b w:val="0"/>
          <w:bCs w:val="0"/>
          <w:rtl w:val="0"/>
          <w:lang w:val="en-US"/>
        </w:rPr>
        <w:t xml:space="preserve">— </w:t>
      </w:r>
      <w:r>
        <w:rPr>
          <w:b w:val="0"/>
          <w:bCs w:val="0"/>
          <w:rtl w:val="0"/>
          <w:lang w:val="en-US"/>
        </w:rPr>
        <w:t>a standard requirement for such identifications from permineralized material (Piperno &amp; Pearsall, 1998).</w:t>
      </w:r>
    </w:p>
    <w:p>
      <w:pPr>
        <w:pStyle w:val="Heading 2"/>
        <w:rPr>
          <w:b w:val="0"/>
          <w:bCs w:val="0"/>
        </w:rPr>
      </w:pPr>
      <w:r>
        <w:rPr>
          <w:b w:val="0"/>
          <w:bCs w:val="0"/>
          <w:rtl w:val="0"/>
          <w:lang w:val="en-US"/>
        </w:rPr>
        <w:t>4.2 Coniferous Resin Attribution and Biogeographic Implications</w:t>
      </w:r>
    </w:p>
    <w:p>
      <w:pPr>
        <w:pStyle w:val="Heading 2"/>
        <w:rPr>
          <w:b w:val="0"/>
          <w:bCs w:val="0"/>
        </w:rPr>
      </w:pPr>
      <w:r>
        <w:rPr>
          <w:b w:val="0"/>
          <w:bCs w:val="0"/>
          <w:rtl w:val="0"/>
          <w:lang w:val="en-US"/>
        </w:rPr>
        <w:t xml:space="preserve">The GC-MS analysis of sample MA-0011 identifies dehydroabietic acid and 7-oxodehydroabietic acid as markers of coniferous resin, which Hawke (2026) attributes specifically to Pinus oocarpa. It is important to note at the outset that dehydroabietic acid is present across multiple Pinus species </w:t>
      </w:r>
      <w:r>
        <w:rPr>
          <w:b w:val="0"/>
          <w:bCs w:val="0"/>
          <w:rtl w:val="0"/>
          <w:lang w:val="en-US"/>
        </w:rPr>
        <w:t xml:space="preserve">— </w:t>
      </w:r>
      <w:r>
        <w:rPr>
          <w:b w:val="0"/>
          <w:bCs w:val="0"/>
          <w:rtl w:val="0"/>
          <w:lang w:val="en-US"/>
        </w:rPr>
        <w:t>it is a broad-spectrum diterpenoid marker for coniferous resin rather than a species-specific diagnostic. Species-level attribution to P. oocarpa from this marker alone, without corroborating evidence such as additional terpenoid markers or stable isotope profiling, represents an interpretive claim that Hawke (2026) presents as an identification without establishing its uniqueness to that species.</w:t>
      </w:r>
    </w:p>
    <w:p>
      <w:pPr>
        <w:pStyle w:val="Heading 2"/>
        <w:rPr>
          <w:b w:val="0"/>
          <w:bCs w:val="0"/>
        </w:rPr>
      </w:pPr>
      <w:r>
        <w:rPr>
          <w:b w:val="0"/>
          <w:bCs w:val="0"/>
          <w:rtl w:val="0"/>
          <w:lang w:val="en-US"/>
        </w:rPr>
        <w:t>The biogeographic argument that follows is therefore conditional: if the attributed species is P. oocarpa, it introduces a significant spatial inconsistency; if the resin derives from another Pinus species, the biogeographic assessment would need to be conducted for that species' distribution. We note, however, that this conditionality strengthens rather than weakens our broader argument: the uncertainty at species level means the paper's claim to 'a diverse selection of botanical sources indigenous to Mesoamerica' is even less supportable as a provenance argument, since it cannot specify which range applies.</w:t>
      </w:r>
    </w:p>
    <w:p>
      <w:pPr>
        <w:pStyle w:val="Heading 2"/>
        <w:rPr>
          <w:b w:val="0"/>
          <w:bCs w:val="0"/>
        </w:rPr>
      </w:pPr>
      <w:r>
        <w:rPr>
          <w:b w:val="0"/>
          <w:bCs w:val="0"/>
          <w:rtl w:val="0"/>
          <w:lang w:val="en-US"/>
        </w:rPr>
        <w:t>Proceeding on the basis of Hawke's own identification: Pinus oocarpa is native to the highlands of southern Mexico (Oaxaca, Chiapas) and Central America and does not naturally occur in the northern Jalisco highlands, where Los Altos de Jalisco at approximately 2,000 m elevation supports semi-arid scrubland dominated by Acacia, Opuntia, and xeric grasses (Gigliarelli et al., 2015). Palaeovegetation reconstructions from the Sierra Madre Occidental show no evidence of P. oocarpa range expansion into northern Jalisco during the early Holocene: woodland species were retreating from lower elevations as warmer, drier conditions developed (Ortega-Rosas et al., 2008).</w:t>
      </w:r>
    </w:p>
    <w:p>
      <w:pPr>
        <w:pStyle w:val="Heading 2"/>
        <w:rPr>
          <w:b w:val="0"/>
          <w:bCs w:val="0"/>
        </w:rPr>
      </w:pPr>
      <w:r>
        <w:rPr>
          <w:b w:val="0"/>
          <w:bCs w:val="0"/>
          <w:rtl w:val="0"/>
          <w:lang w:val="en-US"/>
        </w:rPr>
        <w:t>For P. oocarpa resin (accepting the identification) to appear in artefacts allegedly manufactured at Cerro del Toro at 8,570 BP, one of three explanations is required: an undocumented early Holocene range expansion into northern Jalisco; long-distance resin trade by pre-ceramic nomadic populations (without parallel in the Archaic archaeological record; Kennett &amp; Winterhalder, 2006); or modern sourcing by fabricators unaware of the species' biogeographic boundaries. The third is most consistent with the convergent evidence.</w:t>
      </w:r>
    </w:p>
    <w:p>
      <w:pPr>
        <w:pStyle w:val="Heading"/>
        <w:rPr>
          <w:b w:val="0"/>
          <w:bCs w:val="0"/>
        </w:rPr>
      </w:pPr>
      <w:r>
        <w:rPr>
          <w:b w:val="0"/>
          <w:bCs w:val="0"/>
          <w:rtl w:val="0"/>
          <w:lang w:val="en-US"/>
        </w:rPr>
        <w:t>5. Instrumental Inadequacy in the Radiometric Analysis</w:t>
      </w:r>
    </w:p>
    <w:p>
      <w:pPr>
        <w:pStyle w:val="Heading"/>
        <w:rPr>
          <w:b w:val="0"/>
          <w:bCs w:val="0"/>
        </w:rPr>
      </w:pPr>
      <w:r>
        <w:rPr>
          <w:b w:val="0"/>
          <w:bCs w:val="0"/>
          <w:sz w:val="22"/>
          <w:szCs w:val="22"/>
          <w:rtl w:val="0"/>
          <w:lang w:val="en-US"/>
        </w:rPr>
        <w:t>Hawke (2026) derives from gamma spectroscopy performed with a Radiacode 103: a secular equilibrium ratio (R) of 0.2106 in the U-238 decay series; a radon emanation coefficient of 78.94%; and a Th/U mass ratio of approximately 0.118, compared against a stated terrestrial crustal average of 3.5</w:t>
      </w:r>
      <w:r>
        <w:rPr>
          <w:b w:val="0"/>
          <w:bCs w:val="0"/>
          <w:sz w:val="22"/>
          <w:szCs w:val="22"/>
          <w:rtl w:val="0"/>
        </w:rPr>
        <w:t>–</w:t>
      </w:r>
      <w:r>
        <w:rPr>
          <w:b w:val="0"/>
          <w:bCs w:val="0"/>
          <w:sz w:val="22"/>
          <w:szCs w:val="22"/>
          <w:rtl w:val="0"/>
          <w:lang w:val="en-US"/>
        </w:rPr>
        <w:t>4.0 (McLennan et al., 1990). These figures are presented as radiometric technosignatures of anthropogenic manufacture.</w:t>
      </w:r>
    </w:p>
    <w:p>
      <w:pPr>
        <w:pStyle w:val="Heading"/>
        <w:rPr>
          <w:b w:val="0"/>
          <w:bCs w:val="0"/>
        </w:rPr>
      </w:pPr>
      <w:r>
        <w:rPr>
          <w:b w:val="0"/>
          <w:bCs w:val="0"/>
          <w:sz w:val="22"/>
          <w:szCs w:val="22"/>
          <w:rtl w:val="0"/>
          <w:lang w:val="en-US"/>
        </w:rPr>
        <w:t>The Radiacode 103 is a CsI(Tl) scintillation detector designed for personal radiation monitoring and hobbyist nuclear spectroscopy, with an energy resolution of approximately 6</w:t>
      </w:r>
      <w:r>
        <w:rPr>
          <w:b w:val="0"/>
          <w:bCs w:val="0"/>
          <w:sz w:val="22"/>
          <w:szCs w:val="22"/>
          <w:rtl w:val="0"/>
        </w:rPr>
        <w:t>–</w:t>
      </w:r>
      <w:r>
        <w:rPr>
          <w:b w:val="0"/>
          <w:bCs w:val="0"/>
          <w:sz w:val="22"/>
          <w:szCs w:val="22"/>
          <w:rtl w:val="0"/>
          <w:lang w:val="en-US"/>
        </w:rPr>
        <w:t>8% FWHM at 662 keV. Uranium series disequilibrium calculations of the type performed by Hawke (2026) require separation of the Ra-226/U-235 complex at 186.2 keV, resolution of Pb-214 photopeaks at 241.9, 295.2, and 351.9 keV, and derivation of Bi-214 activity at 609.3 keV. These separations require calibrated High-Purity Germanium (HPGe) instrumentation achieving &lt;0.3% FWHM at 1.33 MeV (Knoll, 2010). At 6</w:t>
      </w:r>
      <w:r>
        <w:rPr>
          <w:b w:val="0"/>
          <w:bCs w:val="0"/>
          <w:sz w:val="22"/>
          <w:szCs w:val="22"/>
          <w:rtl w:val="0"/>
        </w:rPr>
        <w:t>–</w:t>
      </w:r>
      <w:r>
        <w:rPr>
          <w:b w:val="0"/>
          <w:bCs w:val="0"/>
          <w:sz w:val="22"/>
          <w:szCs w:val="22"/>
          <w:rtl w:val="0"/>
          <w:lang w:val="en-US"/>
        </w:rPr>
        <w:t>8% resolution, the Radiacode 103 produces Gaussian peaks with FWHM of approximately 11</w:t>
      </w:r>
      <w:r>
        <w:rPr>
          <w:b w:val="0"/>
          <w:bCs w:val="0"/>
          <w:sz w:val="22"/>
          <w:szCs w:val="22"/>
          <w:rtl w:val="0"/>
        </w:rPr>
        <w:t>–</w:t>
      </w:r>
      <w:r>
        <w:rPr>
          <w:b w:val="0"/>
          <w:bCs w:val="0"/>
          <w:sz w:val="22"/>
          <w:szCs w:val="22"/>
          <w:rtl w:val="0"/>
          <w:lang w:val="en-US"/>
        </w:rPr>
        <w:t xml:space="preserve">15 keV in the relevant energy regions </w:t>
      </w:r>
      <w:r>
        <w:rPr>
          <w:b w:val="0"/>
          <w:bCs w:val="0"/>
          <w:sz w:val="22"/>
          <w:szCs w:val="22"/>
          <w:rtl w:val="0"/>
          <w:lang w:val="en-US"/>
        </w:rPr>
        <w:t xml:space="preserve">— </w:t>
      </w:r>
      <w:r>
        <w:rPr>
          <w:b w:val="0"/>
          <w:bCs w:val="0"/>
          <w:sz w:val="22"/>
          <w:szCs w:val="22"/>
          <w:rtl w:val="0"/>
          <w:lang w:val="en-US"/>
        </w:rPr>
        <w:t>insufficient to isolate the required photopeaks from adjacent emissions and background (L'Annunziata, 2012). No absolute efficiency calibration with certified reference materials at the measurement geometry is reported.</w:t>
      </w:r>
    </w:p>
    <w:p>
      <w:pPr>
        <w:pStyle w:val="Heading"/>
        <w:rPr>
          <w:b w:val="0"/>
          <w:bCs w:val="0"/>
        </w:rPr>
      </w:pPr>
      <w:r>
        <w:rPr>
          <w:b w:val="0"/>
          <w:bCs w:val="0"/>
          <w:sz w:val="22"/>
          <w:szCs w:val="22"/>
          <w:rtl w:val="0"/>
          <w:lang w:val="en-US"/>
        </w:rPr>
        <w:t xml:space="preserve">All quantitative radiometric claims in the paper </w:t>
      </w:r>
      <w:r>
        <w:rPr>
          <w:b w:val="0"/>
          <w:bCs w:val="0"/>
          <w:sz w:val="22"/>
          <w:szCs w:val="22"/>
          <w:rtl w:val="0"/>
          <w:lang w:val="en-US"/>
        </w:rPr>
        <w:t xml:space="preserve">— </w:t>
      </w:r>
      <w:r>
        <w:rPr>
          <w:b w:val="0"/>
          <w:bCs w:val="0"/>
          <w:sz w:val="22"/>
          <w:szCs w:val="22"/>
          <w:rtl w:val="0"/>
          <w:lang w:val="en-US"/>
        </w:rPr>
        <w:t xml:space="preserve">secular disequilibrium, radon emanation coefficient, Th/U ratio, and their interpretation as technosignatures </w:t>
      </w:r>
      <w:r>
        <w:rPr>
          <w:b w:val="0"/>
          <w:bCs w:val="0"/>
          <w:sz w:val="22"/>
          <w:szCs w:val="22"/>
          <w:rtl w:val="0"/>
          <w:lang w:val="en-US"/>
        </w:rPr>
        <w:t xml:space="preserve">— </w:t>
      </w:r>
      <w:r>
        <w:rPr>
          <w:b w:val="0"/>
          <w:bCs w:val="0"/>
          <w:sz w:val="22"/>
          <w:szCs w:val="22"/>
          <w:rtl w:val="0"/>
          <w:lang w:val="en-US"/>
        </w:rPr>
        <w:t>are derived from instrumentation that cannot support them and must be disregarded in any assessment of the artefacts' authenticity.</w:t>
      </w:r>
    </w:p>
    <w:p>
      <w:pPr>
        <w:pStyle w:val="Heading"/>
        <w:rPr>
          <w:b w:val="0"/>
          <w:bCs w:val="0"/>
        </w:rPr>
      </w:pPr>
      <w:r>
        <w:rPr>
          <w:b w:val="0"/>
          <w:bCs w:val="0"/>
          <w:rtl w:val="0"/>
          <w:lang w:val="en-US"/>
        </w:rPr>
        <w:t>6. The Absence of Foundational Phase Identification</w:t>
      </w:r>
    </w:p>
    <w:p>
      <w:pPr>
        <w:pStyle w:val="Heading"/>
        <w:rPr>
          <w:b w:val="0"/>
          <w:bCs w:val="0"/>
        </w:rPr>
      </w:pPr>
      <w:r>
        <w:rPr>
          <w:b w:val="0"/>
          <w:bCs w:val="0"/>
          <w:sz w:val="22"/>
          <w:szCs w:val="22"/>
          <w:rtl w:val="0"/>
          <w:lang w:val="en-US"/>
        </w:rPr>
        <w:t>The conclusion of Hawke (2026) identifies XRD and FTIR as future analytical priorities. This framing mischaracterises these methods as advanced supplementary work. In geopolymer characterisation, XRD and FTIR are foundational: XRD confirms the amorphous phase structure distinguishing geopolymer gel from crystalline mineral phases, and FTIR directly identifies the Si</w:t>
      </w:r>
      <w:r>
        <w:rPr>
          <w:b w:val="0"/>
          <w:bCs w:val="0"/>
          <w:sz w:val="22"/>
          <w:szCs w:val="22"/>
          <w:rtl w:val="0"/>
        </w:rPr>
        <w:t>–</w:t>
      </w:r>
      <w:r>
        <w:rPr>
          <w:b w:val="0"/>
          <w:bCs w:val="0"/>
          <w:sz w:val="22"/>
          <w:szCs w:val="22"/>
          <w:rtl w:val="0"/>
        </w:rPr>
        <w:t>O</w:t>
      </w:r>
      <w:r>
        <w:rPr>
          <w:b w:val="0"/>
          <w:bCs w:val="0"/>
          <w:sz w:val="22"/>
          <w:szCs w:val="22"/>
          <w:rtl w:val="0"/>
        </w:rPr>
        <w:t>–</w:t>
      </w:r>
      <w:r>
        <w:rPr>
          <w:b w:val="0"/>
          <w:bCs w:val="0"/>
          <w:sz w:val="22"/>
          <w:szCs w:val="22"/>
          <w:rtl w:val="0"/>
          <w:lang w:val="en-US"/>
        </w:rPr>
        <w:t>Al and Si</w:t>
      </w:r>
      <w:r>
        <w:rPr>
          <w:b w:val="0"/>
          <w:bCs w:val="0"/>
          <w:sz w:val="22"/>
          <w:szCs w:val="22"/>
          <w:rtl w:val="0"/>
        </w:rPr>
        <w:t>–</w:t>
      </w:r>
      <w:r>
        <w:rPr>
          <w:b w:val="0"/>
          <w:bCs w:val="0"/>
          <w:sz w:val="22"/>
          <w:szCs w:val="22"/>
          <w:rtl w:val="0"/>
        </w:rPr>
        <w:t>O</w:t>
      </w:r>
      <w:r>
        <w:rPr>
          <w:b w:val="0"/>
          <w:bCs w:val="0"/>
          <w:sz w:val="22"/>
          <w:szCs w:val="22"/>
          <w:rtl w:val="0"/>
        </w:rPr>
        <w:t>–</w:t>
      </w:r>
      <w:r>
        <w:rPr>
          <w:b w:val="0"/>
          <w:bCs w:val="0"/>
          <w:sz w:val="22"/>
          <w:szCs w:val="22"/>
          <w:rtl w:val="0"/>
          <w:lang w:val="en-US"/>
        </w:rPr>
        <w:t>Si stretching vibrations characteristic of poly(sialate) networks (Davidovits, 2008; Duxson et al., 2007). Without them, geopolymer classification based on SEM morphology and EDS stoichiometry is provisional, because natural volcanic tuffs, zeolite-rich sediments, and diagenetically altered rhyolites can produce overlapping profiles at SEM resolution (Lloyd et al., 2009; Provis &amp; van Deventer, 2014).</w:t>
      </w:r>
    </w:p>
    <w:p>
      <w:pPr>
        <w:pStyle w:val="Heading"/>
        <w:rPr>
          <w:b w:val="0"/>
          <w:bCs w:val="0"/>
        </w:rPr>
      </w:pPr>
      <w:r>
        <w:rPr>
          <w:b w:val="0"/>
          <w:bCs w:val="0"/>
          <w:sz w:val="22"/>
          <w:szCs w:val="22"/>
          <w:rtl w:val="0"/>
          <w:lang w:val="en-US"/>
        </w:rPr>
        <w:t>The paper acknowledges the confirmatory analyses are required while presenting the geopolymer classification throughout as established fact. A provisional classification pending confirmatory analysis should be framed as such. Presenting it as established and deferring the confirmation to future research is an internal inconsistency that undermines the material characterisation claim in its entirety.</w:t>
      </w:r>
    </w:p>
    <w:p>
      <w:pPr>
        <w:pStyle w:val="Heading"/>
        <w:rPr>
          <w:b w:val="0"/>
          <w:bCs w:val="0"/>
        </w:rPr>
      </w:pPr>
      <w:r>
        <w:rPr>
          <w:b w:val="0"/>
          <w:bCs w:val="0"/>
          <w:rtl w:val="0"/>
          <w:lang w:val="en-US"/>
        </w:rPr>
        <w:t>7. Archaeological and Palaeological Context</w:t>
      </w:r>
    </w:p>
    <w:p>
      <w:pPr>
        <w:pStyle w:val="Heading 2"/>
        <w:rPr>
          <w:b w:val="0"/>
          <w:bCs w:val="0"/>
        </w:rPr>
      </w:pPr>
      <w:r>
        <w:rPr>
          <w:b w:val="0"/>
          <w:bCs w:val="0"/>
          <w:rtl w:val="0"/>
          <w:lang w:val="en-US"/>
        </w:rPr>
        <w:t>7.1 The Human Population of Los Altos Jalisco at 8,570 BP</w:t>
      </w:r>
    </w:p>
    <w:p>
      <w:pPr>
        <w:pStyle w:val="Heading 2"/>
        <w:rPr>
          <w:b w:val="0"/>
          <w:bCs w:val="0"/>
        </w:rPr>
      </w:pPr>
      <w:r>
        <w:rPr>
          <w:b w:val="0"/>
          <w:bCs w:val="0"/>
          <w:rtl w:val="0"/>
          <w:lang w:val="en-US"/>
        </w:rPr>
        <w:t xml:space="preserve">The claimed manufacture date corresponds to approximately 6,620 BCE </w:t>
      </w:r>
      <w:r>
        <w:rPr>
          <w:b w:val="0"/>
          <w:bCs w:val="0"/>
          <w:rtl w:val="0"/>
          <w:lang w:val="en-US"/>
        </w:rPr>
        <w:t xml:space="preserve">— </w:t>
      </w:r>
      <w:r>
        <w:rPr>
          <w:b w:val="0"/>
          <w:bCs w:val="0"/>
          <w:rtl w:val="0"/>
          <w:lang w:val="en-US"/>
        </w:rPr>
        <w:t xml:space="preserve">the Early Archaic period of Mesoamerican prehistory, the pre-ceramic phase characterised by mobile to semi-mobile hunter-gatherers and incipient horticulturalists with no documented sedentary settlements, no ceramic tradition, and no evidence of complex iconographic systems in western Mexico (Kennett &amp; Winterhalder, 2006). Bell (1972) established that the earliest documented occupation evidence in northeastern Jalisco dates to approximately AD 100 </w:t>
      </w:r>
      <w:r>
        <w:rPr>
          <w:b w:val="0"/>
          <w:bCs w:val="0"/>
          <w:rtl w:val="0"/>
          <w:lang w:val="en-US"/>
        </w:rPr>
        <w:t xml:space="preserve">— </w:t>
      </w:r>
      <w:r>
        <w:rPr>
          <w:b w:val="0"/>
          <w:bCs w:val="0"/>
          <w:rtl w:val="0"/>
          <w:lang w:val="en-US"/>
        </w:rPr>
        <w:t xml:space="preserve">8,700 years after the claimed manufacture date. The Western Mexico shaft tomb tradition, the first archaeologically documented complex cultural production in Jalisco, dates from approximately 300 BCE to 400 CE (Beekman, 2000). Ojuelos de Jalisco was founded in 1569 CE as a Spanish military garrison against the Chichimeca </w:t>
      </w:r>
      <w:r>
        <w:rPr>
          <w:b w:val="0"/>
          <w:bCs w:val="0"/>
          <w:rtl w:val="0"/>
          <w:lang w:val="en-US"/>
        </w:rPr>
        <w:t xml:space="preserve">— </w:t>
      </w:r>
      <w:r>
        <w:rPr>
          <w:b w:val="0"/>
          <w:bCs w:val="0"/>
          <w:rtl w:val="0"/>
          <w:lang w:val="en-US"/>
        </w:rPr>
        <w:t>semi-nomadic peoples who still occupied the northern Jalisco highlands at European contact.</w:t>
      </w:r>
    </w:p>
    <w:p>
      <w:pPr>
        <w:pStyle w:val="Heading 2"/>
        <w:rPr>
          <w:b w:val="0"/>
          <w:bCs w:val="0"/>
        </w:rPr>
      </w:pPr>
      <w:r>
        <w:rPr>
          <w:b w:val="0"/>
          <w:bCs w:val="0"/>
          <w:rtl w:val="0"/>
          <w:lang w:val="en-US"/>
        </w:rPr>
        <w:t>A collection of over 10,000 artefacts with consistent, sophisticated iconography requires a sustained, sedentary, socially stratified population capable of standardised production across generations. No evidence of such a population exists in the Los Altos Jalisco region at 8,570 BP or for thousands of years thereafter. This is not a gap awaiting discovery; it is a sustained absence across a region with documented, if sparse, human occupation.</w:t>
      </w:r>
    </w:p>
    <w:p>
      <w:pPr>
        <w:pStyle w:val="Heading 2"/>
        <w:rPr>
          <w:b w:val="0"/>
          <w:bCs w:val="0"/>
        </w:rPr>
      </w:pPr>
      <w:r>
        <w:rPr>
          <w:b w:val="0"/>
          <w:bCs w:val="0"/>
          <w:rtl w:val="0"/>
          <w:lang w:val="en-US"/>
        </w:rPr>
        <w:t>7.2 Iconographic Stasis Over a Claimed 2,000-Year Date Span</w:t>
      </w:r>
    </w:p>
    <w:p>
      <w:pPr>
        <w:pStyle w:val="Heading 2"/>
        <w:rPr>
          <w:b w:val="0"/>
          <w:bCs w:val="0"/>
        </w:rPr>
      </w:pPr>
      <w:r>
        <w:rPr>
          <w:b w:val="0"/>
          <w:bCs w:val="0"/>
          <w:rtl w:val="0"/>
          <w:lang w:val="en-US"/>
        </w:rPr>
        <w:t xml:space="preserve">The radiocarbon dates across all sampled artefacts span approximately 7,090 BP to 9,180 BP </w:t>
      </w:r>
      <w:r>
        <w:rPr>
          <w:b w:val="0"/>
          <w:bCs w:val="0"/>
          <w:rtl w:val="0"/>
          <w:lang w:val="en-US"/>
        </w:rPr>
        <w:t xml:space="preserve">— </w:t>
      </w:r>
      <w:r>
        <w:rPr>
          <w:b w:val="0"/>
          <w:bCs w:val="0"/>
          <w:rtl w:val="0"/>
          <w:lang w:val="en-US"/>
        </w:rPr>
        <w:t xml:space="preserve">over 2,000 radiocarbon years. Established principles of archaeological seriation require observable evolution across comparable timeframes in iconographic vocabulary, technical execution, material formulation, and stylistic convention (Smith &amp; Berdan, 2003). Every documented cultural assemblage spanning multi-century periods exhibits such evolution. The Aztlan artefacts exhibit none. Consistent iconographic vocabulary and technical execution across a claimed &gt;2,000-year assemblage span is irreconcilable with genuine cultural production. It is consistent with a single manufacturing episode using organic source materials of varying depositional ages </w:t>
      </w:r>
      <w:r>
        <w:rPr>
          <w:b w:val="0"/>
          <w:bCs w:val="0"/>
          <w:rtl w:val="0"/>
          <w:lang w:val="en-US"/>
        </w:rPr>
        <w:t xml:space="preserve">— </w:t>
      </w:r>
      <w:r>
        <w:rPr>
          <w:b w:val="0"/>
          <w:bCs w:val="0"/>
          <w:rtl w:val="0"/>
          <w:lang w:val="en-US"/>
        </w:rPr>
        <w:t>the same explanation the chronometric analysis independently supports.</w:t>
      </w:r>
    </w:p>
    <w:p>
      <w:pPr>
        <w:pStyle w:val="Heading"/>
        <w:rPr>
          <w:b w:val="0"/>
          <w:bCs w:val="0"/>
        </w:rPr>
      </w:pPr>
      <w:r>
        <w:rPr>
          <w:b w:val="0"/>
          <w:bCs w:val="0"/>
          <w:rtl w:val="0"/>
          <w:lang w:val="en-US"/>
        </w:rPr>
        <w:t>8. Iconographic Analysis</w:t>
      </w:r>
    </w:p>
    <w:p>
      <w:pPr>
        <w:pStyle w:val="Heading 2"/>
        <w:rPr>
          <w:b w:val="0"/>
          <w:bCs w:val="0"/>
        </w:rPr>
      </w:pPr>
      <w:r>
        <w:rPr>
          <w:b w:val="0"/>
          <w:bCs w:val="0"/>
          <w:rtl w:val="0"/>
          <w:lang w:val="en-US"/>
        </w:rPr>
        <w:t>8.1 Documented Parallels and Their Temporal Positions</w:t>
      </w:r>
    </w:p>
    <w:p>
      <w:pPr>
        <w:pStyle w:val="Heading 2"/>
        <w:rPr>
          <w:b w:val="0"/>
          <w:bCs w:val="0"/>
        </w:rPr>
      </w:pPr>
      <w:r>
        <w:rPr>
          <w:b w:val="0"/>
          <w:bCs w:val="0"/>
          <w:rtl w:val="0"/>
          <w:lang w:val="en-US"/>
        </w:rPr>
        <w:t>The iconographic content of the Aztlan artefacts has well-documented parallels in the established Mesoamerican archaeological record. Every parallel post-dates the claimed manufacture by thousands of years.</w:t>
      </w:r>
    </w:p>
    <w:p>
      <w:pPr>
        <w:pStyle w:val="Heading 2"/>
        <w:rPr>
          <w:b w:val="0"/>
          <w:bCs w:val="0"/>
        </w:rPr>
      </w:pPr>
      <w:r>
        <w:rPr>
          <w:b w:val="0"/>
          <w:bCs w:val="0"/>
          <w:rtl w:val="0"/>
          <w:lang w:val="en-US"/>
        </w:rPr>
        <w:t xml:space="preserve">The motif of a ritual figure holding or presenting a supernatural infant-like being </w:t>
      </w:r>
      <w:r>
        <w:rPr>
          <w:b w:val="0"/>
          <w:bCs w:val="0"/>
          <w:rtl w:val="0"/>
          <w:lang w:val="en-US"/>
        </w:rPr>
        <w:t xml:space="preserve">— </w:t>
      </w:r>
      <w:r>
        <w:rPr>
          <w:b w:val="0"/>
          <w:bCs w:val="0"/>
          <w:rtl w:val="0"/>
          <w:lang w:val="en-US"/>
        </w:rPr>
        <w:t xml:space="preserve">described in Hawke (2026) as a 'priest-like human figure in the presence of an extra-terrestrial being holding an infant' </w:t>
      </w:r>
      <w:r>
        <w:rPr>
          <w:b w:val="0"/>
          <w:bCs w:val="0"/>
          <w:rtl w:val="0"/>
          <w:lang w:val="en-US"/>
        </w:rPr>
        <w:t xml:space="preserve">— </w:t>
      </w:r>
      <w:r>
        <w:rPr>
          <w:b w:val="0"/>
          <w:bCs w:val="0"/>
          <w:rtl w:val="0"/>
          <w:lang w:val="en-US"/>
        </w:rPr>
        <w:t>is a defining theme of Olmec art (approximately 1,200</w:t>
      </w:r>
      <w:r>
        <w:rPr>
          <w:b w:val="0"/>
          <w:bCs w:val="0"/>
          <w:rtl w:val="0"/>
        </w:rPr>
        <w:t>–</w:t>
      </w:r>
      <w:r>
        <w:rPr>
          <w:b w:val="0"/>
          <w:bCs w:val="0"/>
          <w:rtl w:val="0"/>
          <w:lang w:val="en-US"/>
        </w:rPr>
        <w:t xml:space="preserve">400 BCE). La Venta Altar 5 presents seated figures with elaborate headdresses holding supernatural beings in precisely this arrangement. Las Limas Monument 1 represents the same tradition: a cross-legged figure cradling a were-jaguar infant, with incised supernatural iconography (Coe &amp; Diehl, 1980; Joralemon, 1976). This iconographic complex is understood as relating to Olmec religious practice, ancestral mythology, and the relationship between human and supernatural realms </w:t>
      </w:r>
      <w:r>
        <w:rPr>
          <w:b w:val="0"/>
          <w:bCs w:val="0"/>
          <w:rtl w:val="0"/>
          <w:lang w:val="en-US"/>
        </w:rPr>
        <w:t xml:space="preserve">— </w:t>
      </w:r>
      <w:r>
        <w:rPr>
          <w:b w:val="0"/>
          <w:bCs w:val="0"/>
          <w:rtl w:val="0"/>
          <w:lang w:val="en-US"/>
        </w:rPr>
        <w:t>a terrestrial symbolic tradition with traceable developmental antecedents.</w:t>
      </w:r>
    </w:p>
    <w:p>
      <w:pPr>
        <w:pStyle w:val="Heading 2"/>
        <w:rPr>
          <w:b w:val="0"/>
          <w:bCs w:val="0"/>
        </w:rPr>
      </w:pPr>
      <w:r>
        <w:rPr>
          <w:b w:val="0"/>
          <w:bCs w:val="0"/>
          <w:rtl w:val="0"/>
          <w:lang w:val="en-US"/>
        </w:rPr>
        <w:t xml:space="preserve">The angular, geometric figure style </w:t>
      </w:r>
      <w:r>
        <w:rPr>
          <w:b w:val="0"/>
          <w:bCs w:val="0"/>
          <w:rtl w:val="0"/>
          <w:lang w:val="en-US"/>
        </w:rPr>
        <w:t xml:space="preserve">— </w:t>
      </w:r>
      <w:r>
        <w:rPr>
          <w:b w:val="0"/>
          <w:bCs w:val="0"/>
          <w:rtl w:val="0"/>
          <w:lang w:val="en-US"/>
        </w:rPr>
        <w:t xml:space="preserve">step-fret borders, geometric fill patterns, serpent enclosures </w:t>
      </w:r>
      <w:r>
        <w:rPr>
          <w:b w:val="0"/>
          <w:bCs w:val="0"/>
          <w:rtl w:val="0"/>
          <w:lang w:val="en-US"/>
        </w:rPr>
        <w:t xml:space="preserve">— </w:t>
      </w:r>
      <w:r>
        <w:rPr>
          <w:b w:val="0"/>
          <w:bCs w:val="0"/>
          <w:rtl w:val="0"/>
          <w:lang w:val="en-US"/>
        </w:rPr>
        <w:t>is a defining visual convention of Late Postclassic Mixtec codex art (approximately 900</w:t>
      </w:r>
      <w:r>
        <w:rPr>
          <w:b w:val="0"/>
          <w:bCs w:val="0"/>
          <w:rtl w:val="0"/>
        </w:rPr>
        <w:t>–</w:t>
      </w:r>
      <w:r>
        <w:rPr>
          <w:b w:val="0"/>
          <w:bCs w:val="0"/>
          <w:rtl w:val="0"/>
          <w:lang w:val="en-US"/>
        </w:rPr>
        <w:t>1521 CE). The Codex Zouche-Nuttall, Codex Vindobonensis, and Codex Borgia employ this vocabulary in precisely the combination observed: angular anthropomorphic figures, serpent frame elements, and ritual encounters between human and supernatural entities (Jansen &amp; P</w:t>
      </w:r>
      <w:r>
        <w:rPr>
          <w:b w:val="0"/>
          <w:bCs w:val="0"/>
          <w:rtl w:val="0"/>
          <w:lang w:val="fr-FR"/>
        </w:rPr>
        <w:t>é</w:t>
      </w:r>
      <w:r>
        <w:rPr>
          <w:b w:val="0"/>
          <w:bCs w:val="0"/>
          <w:rtl w:val="0"/>
          <w:lang w:val="es-ES_tradnl"/>
        </w:rPr>
        <w:t>rez Jim</w:t>
      </w:r>
      <w:r>
        <w:rPr>
          <w:b w:val="0"/>
          <w:bCs w:val="0"/>
          <w:rtl w:val="0"/>
          <w:lang w:val="fr-FR"/>
        </w:rPr>
        <w:t>é</w:t>
      </w:r>
      <w:r>
        <w:rPr>
          <w:b w:val="0"/>
          <w:bCs w:val="0"/>
          <w:rtl w:val="0"/>
        </w:rPr>
        <w:t>nez, 2017).</w:t>
      </w:r>
    </w:p>
    <w:p>
      <w:pPr>
        <w:pStyle w:val="Heading 2"/>
        <w:rPr>
          <w:b w:val="0"/>
          <w:bCs w:val="0"/>
        </w:rPr>
      </w:pPr>
      <w:r>
        <w:rPr>
          <w:b w:val="0"/>
          <w:bCs w:val="0"/>
          <w:rtl w:val="0"/>
          <w:lang w:val="en-US"/>
        </w:rPr>
        <w:t>8.2 Direction of Influence and the Independent Convergence Question</w:t>
      </w:r>
    </w:p>
    <w:p>
      <w:pPr>
        <w:pStyle w:val="Heading 2"/>
        <w:rPr>
          <w:b w:val="0"/>
          <w:bCs w:val="0"/>
        </w:rPr>
      </w:pPr>
      <w:r>
        <w:rPr>
          <w:b w:val="0"/>
          <w:bCs w:val="0"/>
          <w:rtl w:val="0"/>
          <w:lang w:val="en-US"/>
        </w:rPr>
        <w:t>A legitimate methodological alternative to derivation is independent convergence: two cultures independently arriving at similar symbolic conventions without a causal link between them. We address this alternative explicitly because it is the strongest available counter-argument to the iconographic case, and because failing to address it would leave the iconographic argument weaker than the evidence supports.</w:t>
      </w:r>
    </w:p>
    <w:p>
      <w:pPr>
        <w:pStyle w:val="Heading 2"/>
        <w:rPr>
          <w:b w:val="0"/>
          <w:bCs w:val="0"/>
        </w:rPr>
      </w:pPr>
      <w:r>
        <w:rPr>
          <w:b w:val="0"/>
          <w:bCs w:val="0"/>
          <w:rtl w:val="0"/>
          <w:lang w:val="en-US"/>
        </w:rPr>
        <w:t xml:space="preserve">Independent convergence is possible in principle for any individual parallel. It becomes progressively less parsimonious as the number of specific, independent parallels increases </w:t>
      </w:r>
      <w:r>
        <w:rPr>
          <w:b w:val="0"/>
          <w:bCs w:val="0"/>
          <w:rtl w:val="0"/>
          <w:lang w:val="en-US"/>
        </w:rPr>
        <w:t xml:space="preserve">— </w:t>
      </w:r>
      <w:r>
        <w:rPr>
          <w:b w:val="0"/>
          <w:bCs w:val="0"/>
          <w:rtl w:val="0"/>
          <w:lang w:val="en-US"/>
        </w:rPr>
        <w:t xml:space="preserve">because each additional parallel requires a separate independent arrival, and the probability of all co-occurring by convergence declines multiplicatively. The Aztlan artefacts do not share one general motif with later traditions; they share, in combination: (a) the specific Olmec priest-with-supernatural-infant compositional arrangement, with the subsidiary figure in a horizontal or sub-erect position and the primary figure with elaborate headdress </w:t>
      </w:r>
      <w:r>
        <w:rPr>
          <w:b w:val="0"/>
          <w:bCs w:val="0"/>
          <w:rtl w:val="0"/>
          <w:lang w:val="en-US"/>
        </w:rPr>
        <w:t xml:space="preserve">— </w:t>
      </w:r>
      <w:r>
        <w:rPr>
          <w:b w:val="0"/>
          <w:bCs w:val="0"/>
          <w:rtl w:val="0"/>
          <w:lang w:val="en-US"/>
        </w:rPr>
        <w:t xml:space="preserve">a convention not universal but specific to a defined Olmec corpus (Coe &amp; Diehl, 1980; Joralemon, 1976); (b) the specific Late Postclassic Mixtec angular figure style with step-fret borders, geometric fill patterns, and serpent enclosures </w:t>
      </w:r>
      <w:r>
        <w:rPr>
          <w:b w:val="0"/>
          <w:bCs w:val="0"/>
          <w:rtl w:val="0"/>
          <w:lang w:val="en-US"/>
        </w:rPr>
        <w:t xml:space="preserve">— </w:t>
      </w:r>
      <w:r>
        <w:rPr>
          <w:b w:val="0"/>
          <w:bCs w:val="0"/>
          <w:rtl w:val="0"/>
          <w:lang w:val="en-US"/>
        </w:rPr>
        <w:t>a convention with documented origins in Mixtec scribal traditions (Jansen &amp; P</w:t>
      </w:r>
      <w:r>
        <w:rPr>
          <w:b w:val="0"/>
          <w:bCs w:val="0"/>
          <w:rtl w:val="0"/>
          <w:lang w:val="fr-FR"/>
        </w:rPr>
        <w:t>é</w:t>
      </w:r>
      <w:r>
        <w:rPr>
          <w:b w:val="0"/>
          <w:bCs w:val="0"/>
          <w:rtl w:val="0"/>
          <w:lang w:val="es-ES_tradnl"/>
        </w:rPr>
        <w:t>rez Jim</w:t>
      </w:r>
      <w:r>
        <w:rPr>
          <w:b w:val="0"/>
          <w:bCs w:val="0"/>
          <w:rtl w:val="0"/>
          <w:lang w:val="fr-FR"/>
        </w:rPr>
        <w:t>é</w:t>
      </w:r>
      <w:r>
        <w:rPr>
          <w:b w:val="0"/>
          <w:bCs w:val="0"/>
          <w:rtl w:val="0"/>
          <w:lang w:val="en-US"/>
        </w:rPr>
        <w:t xml:space="preserve">nez, 2017); (c) the specific 20th-century grey alien facial morphology: enlarged, almond-shaped eyes, disproportionate cranium, minimal facial features </w:t>
      </w:r>
      <w:r>
        <w:rPr>
          <w:b w:val="0"/>
          <w:bCs w:val="0"/>
          <w:rtl w:val="0"/>
          <w:lang w:val="en-US"/>
        </w:rPr>
        <w:t xml:space="preserve">— </w:t>
      </w:r>
      <w:r>
        <w:rPr>
          <w:b w:val="0"/>
          <w:bCs w:val="0"/>
          <w:rtl w:val="0"/>
          <w:lang w:val="en-US"/>
        </w:rPr>
        <w:t>a visual convention whose historical origin lies in popular culture of the mid-to-late 20th century (Bullard, 2010).</w:t>
      </w:r>
    </w:p>
    <w:p>
      <w:pPr>
        <w:pStyle w:val="Heading 2"/>
        <w:rPr>
          <w:b w:val="0"/>
          <w:bCs w:val="0"/>
        </w:rPr>
      </w:pPr>
      <w:r>
        <w:rPr>
          <w:b w:val="0"/>
          <w:bCs w:val="0"/>
          <w:rtl w:val="0"/>
          <w:lang w:val="en-US"/>
        </w:rPr>
        <w:t xml:space="preserve">Independent convergence cannot account for the third parallel. The grey alien visual template has a documented historical origin in 20th-century popular culture </w:t>
      </w:r>
      <w:r>
        <w:rPr>
          <w:b w:val="0"/>
          <w:bCs w:val="0"/>
          <w:rtl w:val="0"/>
          <w:lang w:val="en-US"/>
        </w:rPr>
        <w:t xml:space="preserve">— </w:t>
      </w:r>
      <w:r>
        <w:rPr>
          <w:b w:val="0"/>
          <w:bCs w:val="0"/>
          <w:rtl w:val="0"/>
          <w:lang w:val="en-US"/>
        </w:rPr>
        <w:t>it did not exist as a visual convention before the 20th century, and prior to its emergence, no documented interpreter of ancient art read almond-eyed supernatural figures as extraterrestrial. The simultaneous presence of this 20th-century template alongside conventions from Olmec and Mixtec traditions cannot be the product of prehistoric independent development; it requires a maker with access to all three simultaneously. This constrains the manufacture date to the 20th century or later, independent of any material analysis.</w:t>
      </w:r>
    </w:p>
    <w:p>
      <w:pPr>
        <w:pStyle w:val="Heading 2"/>
        <w:rPr>
          <w:b w:val="0"/>
          <w:bCs w:val="0"/>
        </w:rPr>
      </w:pPr>
      <w:r>
        <w:rPr>
          <w:b w:val="0"/>
          <w:bCs w:val="0"/>
          <w:rtl w:val="0"/>
          <w:lang w:val="en-US"/>
        </w:rPr>
        <w:t xml:space="preserve">For genuine artefacts manufactured at 8,570 BP, the iconographic influence would be expected to run outward from Aztlan </w:t>
      </w:r>
      <w:r>
        <w:rPr>
          <w:b w:val="0"/>
          <w:bCs w:val="0"/>
          <w:rtl w:val="0"/>
          <w:lang w:val="en-US"/>
        </w:rPr>
        <w:t xml:space="preserve">— </w:t>
      </w:r>
      <w:r>
        <w:rPr>
          <w:b w:val="0"/>
          <w:bCs w:val="0"/>
          <w:rtl w:val="0"/>
          <w:lang w:val="en-US"/>
        </w:rPr>
        <w:t>with the Olmec priest-infant motif and Mixtec codex style emerging from or being influenced by the Aztlan tradition. The complete absence of any iconographic ancestry linking Aztlan to these later traditions in the intervening 7,000</w:t>
      </w:r>
      <w:r>
        <w:rPr>
          <w:b w:val="0"/>
          <w:bCs w:val="0"/>
          <w:rtl w:val="0"/>
        </w:rPr>
        <w:t>–</w:t>
      </w:r>
      <w:r>
        <w:rPr>
          <w:b w:val="0"/>
          <w:bCs w:val="0"/>
          <w:rtl w:val="0"/>
          <w:lang w:val="en-US"/>
        </w:rPr>
        <w:t>9,000 years, across a region with documented human occupation, is not a gap; it is a sustained absence inconsistent with genuine cultural transmission.</w:t>
      </w:r>
    </w:p>
    <w:p>
      <w:pPr>
        <w:pStyle w:val="Heading"/>
        <w:rPr>
          <w:b w:val="0"/>
          <w:bCs w:val="0"/>
        </w:rPr>
      </w:pPr>
      <w:r>
        <w:rPr>
          <w:b w:val="0"/>
          <w:bCs w:val="0"/>
          <w:rtl w:val="0"/>
          <w:lang w:val="de-DE"/>
        </w:rPr>
        <w:t>9. The Unfalsifiable Framework Problem</w:t>
      </w:r>
    </w:p>
    <w:p>
      <w:pPr>
        <w:pStyle w:val="Heading"/>
        <w:rPr>
          <w:b w:val="0"/>
          <w:bCs w:val="0"/>
        </w:rPr>
      </w:pPr>
      <w:r>
        <w:rPr>
          <w:b w:val="0"/>
          <w:bCs w:val="0"/>
          <w:sz w:val="22"/>
          <w:szCs w:val="22"/>
          <w:rtl w:val="0"/>
          <w:lang w:val="en-US"/>
        </w:rPr>
        <w:t>A scientific hypothesis must generate testable predictions whose fulfilment or failure constrains confidence in the hypothesis. The ET paleocontact framework advanced in Hawke (2026) exhibits a structural feature that disqualifies it as a scientific hypothesis: it is unfalsifiable.</w:t>
      </w:r>
    </w:p>
    <w:p>
      <w:pPr>
        <w:pStyle w:val="Heading"/>
        <w:rPr>
          <w:b w:val="0"/>
          <w:bCs w:val="0"/>
        </w:rPr>
      </w:pPr>
      <w:r>
        <w:rPr>
          <w:b w:val="0"/>
          <w:bCs w:val="0"/>
          <w:sz w:val="22"/>
          <w:szCs w:val="22"/>
          <w:rtl w:val="0"/>
          <w:lang w:val="en-US"/>
        </w:rPr>
        <w:t xml:space="preserve">The specific mechanism of unfalsifiability is the absorption of contrary evidence as confirmatory. The complete absence of corroborating evidence at any other site, in any other period, across 8,000 years of the Mesoamerican archaeological record is re-framed by the paper not as disconfirmation but as evidence of the durability of the artefacts' intended message. When a hypothesis can interpret all possible evidence </w:t>
      </w:r>
      <w:r>
        <w:rPr>
          <w:b w:val="0"/>
          <w:bCs w:val="0"/>
          <w:sz w:val="22"/>
          <w:szCs w:val="22"/>
          <w:rtl w:val="0"/>
          <w:lang w:val="en-US"/>
        </w:rPr>
        <w:t xml:space="preserve">— </w:t>
      </w:r>
      <w:r>
        <w:rPr>
          <w:b w:val="0"/>
          <w:bCs w:val="0"/>
          <w:sz w:val="22"/>
          <w:szCs w:val="22"/>
          <w:rtl w:val="0"/>
          <w:lang w:val="en-US"/>
        </w:rPr>
        <w:t xml:space="preserve">including the total absence of supporting evidence </w:t>
      </w:r>
      <w:r>
        <w:rPr>
          <w:b w:val="0"/>
          <w:bCs w:val="0"/>
          <w:sz w:val="22"/>
          <w:szCs w:val="22"/>
          <w:rtl w:val="0"/>
          <w:lang w:val="en-US"/>
        </w:rPr>
        <w:t xml:space="preserve">— </w:t>
      </w:r>
      <w:r>
        <w:rPr>
          <w:b w:val="0"/>
          <w:bCs w:val="0"/>
          <w:sz w:val="22"/>
          <w:szCs w:val="22"/>
          <w:rtl w:val="0"/>
          <w:lang w:val="en-US"/>
        </w:rPr>
        <w:t>as confirmation, it does not function as a scientific hypothesis; it functions as an unfalsifiable narrative (Feder, 2010; Stiebing, 1984).</w:t>
      </w:r>
    </w:p>
    <w:p>
      <w:pPr>
        <w:pStyle w:val="Heading"/>
        <w:rPr>
          <w:b w:val="0"/>
          <w:bCs w:val="0"/>
        </w:rPr>
      </w:pPr>
      <w:r>
        <w:rPr>
          <w:b w:val="0"/>
          <w:bCs w:val="0"/>
          <w:sz w:val="22"/>
          <w:szCs w:val="22"/>
          <w:rtl w:val="0"/>
          <w:lang w:val="en-US"/>
        </w:rPr>
        <w:t xml:space="preserve">This structural feature </w:t>
      </w:r>
      <w:r>
        <w:rPr>
          <w:b w:val="0"/>
          <w:bCs w:val="0"/>
          <w:sz w:val="22"/>
          <w:szCs w:val="22"/>
          <w:rtl w:val="0"/>
          <w:lang w:val="en-US"/>
        </w:rPr>
        <w:t xml:space="preserve">— </w:t>
      </w:r>
      <w:r>
        <w:rPr>
          <w:b w:val="0"/>
          <w:bCs w:val="0"/>
          <w:sz w:val="22"/>
          <w:szCs w:val="22"/>
          <w:rtl w:val="0"/>
          <w:lang w:val="en-US"/>
        </w:rPr>
        <w:t xml:space="preserve">the unfalsifiable framework </w:t>
      </w:r>
      <w:r>
        <w:rPr>
          <w:b w:val="0"/>
          <w:bCs w:val="0"/>
          <w:sz w:val="22"/>
          <w:szCs w:val="22"/>
          <w:rtl w:val="0"/>
          <w:lang w:val="en-US"/>
        </w:rPr>
        <w:t xml:space="preserve">— </w:t>
      </w:r>
      <w:r>
        <w:rPr>
          <w:b w:val="0"/>
          <w:bCs w:val="0"/>
          <w:sz w:val="22"/>
          <w:szCs w:val="22"/>
          <w:rtl w:val="0"/>
          <w:lang w:val="en-US"/>
        </w:rPr>
        <w:t xml:space="preserve">is a methodological problem independent of whether the specific extraordinary claim is extraterrestrial contact or any other proposition. It is identifiable by the pattern: evidence confirming the hypothesis is cited as proof; evidence contradicting the hypothesis is reframed as consistent with it through auxiliary mechanisms. Identifying this pattern is a methodological contribution, not a judgment about the specific content of the claim. In the Aztlan case, the predictive requirements of the contact hypothesis </w:t>
      </w:r>
      <w:r>
        <w:rPr>
          <w:b w:val="0"/>
          <w:bCs w:val="0"/>
          <w:sz w:val="22"/>
          <w:szCs w:val="22"/>
          <w:rtl w:val="0"/>
          <w:lang w:val="en-US"/>
        </w:rPr>
        <w:t xml:space="preserve">— </w:t>
      </w:r>
      <w:r>
        <w:rPr>
          <w:b w:val="0"/>
          <w:bCs w:val="0"/>
          <w:sz w:val="22"/>
          <w:szCs w:val="22"/>
          <w:rtl w:val="0"/>
          <w:lang w:val="en-US"/>
        </w:rPr>
        <w:t xml:space="preserve">contemporaneous evidence at the contact site, subsequent outward diffusion, corroboration from independent sources </w:t>
      </w:r>
      <w:r>
        <w:rPr>
          <w:b w:val="0"/>
          <w:bCs w:val="0"/>
          <w:sz w:val="22"/>
          <w:szCs w:val="22"/>
          <w:rtl w:val="0"/>
          <w:lang w:val="en-US"/>
        </w:rPr>
        <w:t xml:space="preserve">— </w:t>
      </w:r>
      <w:r>
        <w:rPr>
          <w:b w:val="0"/>
          <w:bCs w:val="0"/>
          <w:sz w:val="22"/>
          <w:szCs w:val="22"/>
          <w:rtl w:val="0"/>
          <w:lang w:val="en-US"/>
        </w:rPr>
        <w:t>are not satisfied, and their non-satisfaction is explained rather than allowed to constrain the hypothesis.</w:t>
      </w:r>
    </w:p>
    <w:p>
      <w:pPr>
        <w:pStyle w:val="Heading"/>
        <w:rPr>
          <w:b w:val="0"/>
          <w:bCs w:val="0"/>
        </w:rPr>
      </w:pPr>
      <w:r>
        <w:rPr>
          <w:b w:val="0"/>
          <w:bCs w:val="0"/>
          <w:rtl w:val="0"/>
          <w:lang w:val="en-US"/>
        </w:rPr>
        <w:t>10. Scientific Credibility Without Scientific Accountability</w:t>
      </w:r>
    </w:p>
    <w:p>
      <w:pPr>
        <w:pStyle w:val="Heading"/>
        <w:rPr>
          <w:b w:val="0"/>
          <w:bCs w:val="0"/>
        </w:rPr>
      </w:pPr>
      <w:r>
        <w:rPr>
          <w:b w:val="0"/>
          <w:bCs w:val="0"/>
          <w:sz w:val="22"/>
          <w:szCs w:val="22"/>
          <w:rtl w:val="0"/>
          <w:lang w:val="en-US"/>
        </w:rPr>
        <w:t>A pattern visible across the paper and its associated public presentation warrants isolation as a methodological concern in its own right, because it constitutes a replicable technique for constructing apparent scientific credibility in the absence of the accountability structures that normally underlie it.</w:t>
      </w:r>
    </w:p>
    <w:p>
      <w:pPr>
        <w:pStyle w:val="Heading"/>
        <w:rPr>
          <w:b w:val="0"/>
          <w:bCs w:val="0"/>
        </w:rPr>
      </w:pPr>
      <w:r>
        <w:rPr>
          <w:b w:val="0"/>
          <w:bCs w:val="0"/>
          <w:sz w:val="22"/>
          <w:szCs w:val="22"/>
          <w:rtl w:val="0"/>
          <w:lang w:val="en-US"/>
        </w:rPr>
        <w:t xml:space="preserve">The technique operates through accumulation. In the paper: real laboratory instruments are named (Thermo Fisher Helios NanoLab 660 DualBeam SEM); reports from an accredited radiocarbon laboratory are reproduced (UGA CAIS); legitimate geopolymer researchers are cited throughout (Davidovits, Kriven, Provis). In associated public materials: the author self-designates as 'scientist' on Academia.edu </w:t>
      </w:r>
      <w:r>
        <w:rPr>
          <w:b w:val="0"/>
          <w:bCs w:val="0"/>
          <w:sz w:val="22"/>
          <w:szCs w:val="22"/>
          <w:rtl w:val="0"/>
          <w:lang w:val="en-US"/>
        </w:rPr>
        <w:t xml:space="preserve">— </w:t>
      </w:r>
      <w:r>
        <w:rPr>
          <w:b w:val="0"/>
          <w:bCs w:val="0"/>
          <w:sz w:val="22"/>
          <w:szCs w:val="22"/>
          <w:rtl w:val="0"/>
          <w:lang w:val="en-US"/>
        </w:rPr>
        <w:t>a platform populated primarily by credentialed researchers including PhD candidates, postdoctoral fellows, and faculty. No academic degree, institutional affiliation, professional certification, or membership in any scientific body is disclosed anywhere in the paper or in associated public materials. The 'scientist' label is self-applied on a platform that confers the appearance of academic standing without verifying it.</w:t>
      </w:r>
    </w:p>
    <w:p>
      <w:pPr>
        <w:pStyle w:val="Heading"/>
        <w:rPr>
          <w:b w:val="0"/>
          <w:bCs w:val="0"/>
        </w:rPr>
      </w:pPr>
      <w:r>
        <w:rPr>
          <w:b w:val="0"/>
          <w:bCs w:val="0"/>
          <w:sz w:val="22"/>
          <w:szCs w:val="22"/>
          <w:rtl w:val="0"/>
          <w:lang w:val="en-US"/>
        </w:rPr>
        <w:t xml:space="preserve">A further accountability gap is visible within the paper itself: the authorship line carries one name while the laboratory reports embedded in the paper (Figures 72 and 78) carry a different name. The paper does not explain this discrepancy. Regardless of its reason </w:t>
      </w:r>
      <w:r>
        <w:rPr>
          <w:b w:val="0"/>
          <w:bCs w:val="0"/>
          <w:sz w:val="22"/>
          <w:szCs w:val="22"/>
          <w:rtl w:val="0"/>
          <w:lang w:val="en-US"/>
        </w:rPr>
        <w:t xml:space="preserve">— </w:t>
      </w:r>
      <w:r>
        <w:rPr>
          <w:b w:val="0"/>
          <w:bCs w:val="0"/>
          <w:sz w:val="22"/>
          <w:szCs w:val="22"/>
          <w:rtl w:val="0"/>
          <w:lang w:val="en-US"/>
        </w:rPr>
        <w:t xml:space="preserve">whether it reflects pseudonymous authorship, organisational restructuring, or another cause, none of which are disclosed </w:t>
      </w:r>
      <w:r>
        <w:rPr>
          <w:b w:val="0"/>
          <w:bCs w:val="0"/>
          <w:sz w:val="22"/>
          <w:szCs w:val="22"/>
          <w:rtl w:val="0"/>
          <w:lang w:val="en-US"/>
        </w:rPr>
        <w:t xml:space="preserve">— </w:t>
      </w:r>
      <w:r>
        <w:rPr>
          <w:b w:val="0"/>
          <w:bCs w:val="0"/>
          <w:sz w:val="22"/>
          <w:szCs w:val="22"/>
          <w:rtl w:val="0"/>
          <w:lang w:val="en-US"/>
        </w:rPr>
        <w:t xml:space="preserve">the result is that no institutional structure demonstrably links the paper's named author to the samples submitted for laboratory analysis. Independent verification of sample provenance and chain of custody is therefore not possible through normal peer review mechanisms. Pseudonymous publication is permitted in academic practice and is not itself a concern; the concern is the absence, in conjunction with the pseudonym, of any other accountability structure </w:t>
      </w:r>
      <w:r>
        <w:rPr>
          <w:b w:val="0"/>
          <w:bCs w:val="0"/>
          <w:sz w:val="22"/>
          <w:szCs w:val="22"/>
          <w:rtl w:val="0"/>
          <w:lang w:val="en-US"/>
        </w:rPr>
        <w:t xml:space="preserve">— </w:t>
      </w:r>
      <w:r>
        <w:rPr>
          <w:b w:val="0"/>
          <w:bCs w:val="0"/>
          <w:sz w:val="22"/>
          <w:szCs w:val="22"/>
          <w:rtl w:val="0"/>
          <w:lang w:val="en-US"/>
        </w:rPr>
        <w:t xml:space="preserve">institutional affiliation, professional body, disclosed qualification </w:t>
      </w:r>
      <w:r>
        <w:rPr>
          <w:b w:val="0"/>
          <w:bCs w:val="0"/>
          <w:sz w:val="22"/>
          <w:szCs w:val="22"/>
          <w:rtl w:val="0"/>
          <w:lang w:val="en-US"/>
        </w:rPr>
        <w:t xml:space="preserve">— </w:t>
      </w:r>
      <w:r>
        <w:rPr>
          <w:b w:val="0"/>
          <w:bCs w:val="0"/>
          <w:sz w:val="22"/>
          <w:szCs w:val="22"/>
          <w:rtl w:val="0"/>
          <w:lang w:val="en-US"/>
        </w:rPr>
        <w:t>that would provide an alternative basis for evidentiary audit.</w:t>
      </w:r>
    </w:p>
    <w:p>
      <w:pPr>
        <w:pStyle w:val="Heading"/>
        <w:rPr>
          <w:b w:val="0"/>
          <w:bCs w:val="0"/>
        </w:rPr>
      </w:pPr>
      <w:r>
        <w:rPr>
          <w:b w:val="0"/>
          <w:bCs w:val="0"/>
          <w:sz w:val="22"/>
          <w:szCs w:val="22"/>
          <w:rtl w:val="0"/>
          <w:lang w:val="en-US"/>
        </w:rPr>
        <w:t xml:space="preserve">The practical consequence for readers is significant. A researcher, journalist, or member of the public encountering this paper through Academia.edu </w:t>
      </w:r>
      <w:r>
        <w:rPr>
          <w:b w:val="0"/>
          <w:bCs w:val="0"/>
          <w:sz w:val="22"/>
          <w:szCs w:val="22"/>
          <w:rtl w:val="0"/>
          <w:lang w:val="en-US"/>
        </w:rPr>
        <w:t xml:space="preserve">— </w:t>
      </w:r>
      <w:r>
        <w:rPr>
          <w:b w:val="0"/>
          <w:bCs w:val="0"/>
          <w:sz w:val="22"/>
          <w:szCs w:val="22"/>
          <w:rtl w:val="0"/>
          <w:lang w:val="en-US"/>
        </w:rPr>
        <w:t xml:space="preserve">where 'scientist' appears as the stated professional identity </w:t>
      </w:r>
      <w:r>
        <w:rPr>
          <w:b w:val="0"/>
          <w:bCs w:val="0"/>
          <w:sz w:val="22"/>
          <w:szCs w:val="22"/>
          <w:rtl w:val="0"/>
          <w:lang w:val="en-US"/>
        </w:rPr>
        <w:t xml:space="preserve">— </w:t>
      </w:r>
      <w:r>
        <w:rPr>
          <w:b w:val="0"/>
          <w:bCs w:val="0"/>
          <w:sz w:val="22"/>
          <w:szCs w:val="22"/>
          <w:rtl w:val="0"/>
          <w:lang w:val="en-US"/>
        </w:rPr>
        <w:t xml:space="preserve">alongside accredited laboratory reports and a standard academic citation format has no independent means to identify the absence of the accountability structures those markers normally represent. The layered impression of institutional scientific credibility is a functional feature of the paper's presentation, not an incidental byproduct of its formatting choices. Identifying this pattern as a methodological category </w:t>
      </w:r>
      <w:r>
        <w:rPr>
          <w:b w:val="0"/>
          <w:bCs w:val="0"/>
          <w:sz w:val="22"/>
          <w:szCs w:val="22"/>
          <w:rtl w:val="0"/>
          <w:lang w:val="en-US"/>
        </w:rPr>
        <w:t xml:space="preserve">— </w:t>
      </w:r>
      <w:r>
        <w:rPr>
          <w:b w:val="0"/>
          <w:bCs w:val="0"/>
          <w:sz w:val="22"/>
          <w:szCs w:val="22"/>
          <w:rtl w:val="0"/>
          <w:lang w:val="en-US"/>
        </w:rPr>
        <w:t xml:space="preserve">scientific credibility construction through accumulated markers without underlying accountability </w:t>
      </w:r>
      <w:r>
        <w:rPr>
          <w:b w:val="0"/>
          <w:bCs w:val="0"/>
          <w:sz w:val="22"/>
          <w:szCs w:val="22"/>
          <w:rtl w:val="0"/>
          <w:lang w:val="en-US"/>
        </w:rPr>
        <w:t xml:space="preserve">— </w:t>
      </w:r>
      <w:r>
        <w:rPr>
          <w:b w:val="0"/>
          <w:bCs w:val="0"/>
          <w:sz w:val="22"/>
          <w:szCs w:val="22"/>
          <w:rtl w:val="0"/>
          <w:lang w:val="en-US"/>
        </w:rPr>
        <w:t>allows readers and editors to recognise it independently of the specific content of the claims advanced.</w:t>
      </w:r>
    </w:p>
    <w:p>
      <w:pPr>
        <w:pStyle w:val="Heading"/>
        <w:rPr>
          <w:b w:val="0"/>
          <w:bCs w:val="0"/>
        </w:rPr>
      </w:pPr>
      <w:r>
        <w:rPr>
          <w:b w:val="0"/>
          <w:bCs w:val="0"/>
          <w:rtl w:val="0"/>
          <w:lang w:val="en-US"/>
        </w:rPr>
        <w:t>11. Discussion: Minimum Evidentiary Thresholds for Claims of This Type</w:t>
      </w:r>
    </w:p>
    <w:p>
      <w:pPr>
        <w:pStyle w:val="Heading"/>
        <w:rPr>
          <w:b w:val="0"/>
          <w:bCs w:val="0"/>
        </w:rPr>
      </w:pPr>
      <w:r>
        <w:rPr>
          <w:b w:val="0"/>
          <w:bCs w:val="0"/>
          <w:sz w:val="22"/>
          <w:szCs w:val="22"/>
          <w:rtl w:val="0"/>
          <w:lang w:val="en-US"/>
        </w:rPr>
        <w:t xml:space="preserve">The convergence of failures across independent lines of analysis </w:t>
      </w:r>
      <w:r>
        <w:rPr>
          <w:b w:val="0"/>
          <w:bCs w:val="0"/>
          <w:sz w:val="22"/>
          <w:szCs w:val="22"/>
          <w:rtl w:val="0"/>
          <w:lang w:val="en-US"/>
        </w:rPr>
        <w:t xml:space="preserve">— </w:t>
      </w:r>
      <w:r>
        <w:rPr>
          <w:b w:val="0"/>
          <w:bCs w:val="0"/>
          <w:sz w:val="22"/>
          <w:szCs w:val="22"/>
          <w:rtl w:val="0"/>
          <w:lang w:val="en-US"/>
        </w:rPr>
        <w:t xml:space="preserve">chronometric, biogeographic, instrumental, phase-characterisation, archaeological, iconographic </w:t>
      </w:r>
      <w:r>
        <w:rPr>
          <w:b w:val="0"/>
          <w:bCs w:val="0"/>
          <w:sz w:val="22"/>
          <w:szCs w:val="22"/>
          <w:rtl w:val="0"/>
          <w:lang w:val="en-US"/>
        </w:rPr>
        <w:t xml:space="preserve">— </w:t>
      </w:r>
      <w:r>
        <w:rPr>
          <w:b w:val="0"/>
          <w:bCs w:val="0"/>
          <w:sz w:val="22"/>
          <w:szCs w:val="22"/>
          <w:rtl w:val="0"/>
          <w:lang w:val="en-US"/>
        </w:rPr>
        <w:t>is not coincidental. It reflects a methodological pattern in which laboratory analyses are deployed for credibility rather than for genuine constraint on the hypothesis. The analyses generate real data; the data does not exclude the desired conclusion; the conclusion is presented as established. This pattern is identifiable and describable, and describing it is the first step toward requiring something better.</w:t>
      </w:r>
    </w:p>
    <w:p>
      <w:pPr>
        <w:pStyle w:val="Heading"/>
        <w:rPr>
          <w:b w:val="0"/>
          <w:bCs w:val="0"/>
        </w:rPr>
      </w:pPr>
      <w:r>
        <w:rPr>
          <w:b w:val="0"/>
          <w:bCs w:val="0"/>
          <w:sz w:val="22"/>
          <w:szCs w:val="22"/>
          <w:rtl w:val="0"/>
          <w:lang w:val="en-US"/>
        </w:rPr>
        <w:t>For assemblages lacking controlled archaeological provenance and bearing extraordinary chronometric or cultural claims, we propose the following minimum evidentiary thresholds:</w:t>
      </w:r>
    </w:p>
    <w:p>
      <w:pPr>
        <w:pStyle w:val="Heading"/>
        <w:rPr>
          <w:b w:val="0"/>
          <w:bCs w:val="0"/>
        </w:rPr>
      </w:pPr>
      <w:r>
        <w:rPr>
          <w:b w:val="0"/>
          <w:bCs w:val="0"/>
          <w:sz w:val="22"/>
          <w:szCs w:val="22"/>
          <w:rtl w:val="0"/>
          <w:lang w:val="da-DK"/>
        </w:rPr>
        <w:t xml:space="preserve">Threshold 1 </w:t>
      </w:r>
      <w:r>
        <w:rPr>
          <w:b w:val="0"/>
          <w:bCs w:val="0"/>
          <w:sz w:val="22"/>
          <w:szCs w:val="22"/>
          <w:rtl w:val="0"/>
          <w:lang w:val="en-US"/>
        </w:rPr>
        <w:t xml:space="preserve">— </w:t>
      </w:r>
      <w:r>
        <w:rPr>
          <w:b w:val="0"/>
          <w:bCs w:val="0"/>
          <w:sz w:val="22"/>
          <w:szCs w:val="22"/>
          <w:rtl w:val="0"/>
          <w:lang w:val="en-US"/>
        </w:rPr>
        <w:t xml:space="preserve">Demonstrate that dated organic material is intrinsic to the manufacturing event. This is the most technically demanding threshold and the one at which the examined study fails most immediately. In principle, meeting this threshold requires convergence across three independent lines of evidence: (a) dating of multiple organic fractions with genuinely different expected ages if sourced from different events </w:t>
      </w:r>
      <w:r>
        <w:rPr>
          <w:b w:val="0"/>
          <w:bCs w:val="0"/>
          <w:sz w:val="22"/>
          <w:szCs w:val="22"/>
          <w:rtl w:val="0"/>
          <w:lang w:val="en-US"/>
        </w:rPr>
        <w:t xml:space="preserve">— </w:t>
      </w:r>
      <w:r>
        <w:rPr>
          <w:b w:val="0"/>
          <w:bCs w:val="0"/>
          <w:sz w:val="22"/>
          <w:szCs w:val="22"/>
          <w:rtl w:val="0"/>
          <w:lang w:val="en-US"/>
        </w:rPr>
        <w:t>specifically, the post-manufacture intrusive biological material and the adhesive or matrix organics must be dated simultaneously; convergence in their ages indicates contemporaneous burial and manufacture, while divergence indicates the use of ancient organic sources and distinguishes burial age from manufacture date; (b) geochemical traceability of the organic material to local sources contemporaneous with the claimed manufacture period, using stable isotope profiles, compound-specific radiocarbon measurements, and comparative reference datasets from the regional environmental record; (c) independent corroboration from depositional context, requiring controlled excavation with documented stratigraphy. None of these lines of evidence is individually conclusive, but their convergence progressively constrains the interpretation. The examined study meets none of them: the intrusive biological material was not dated, the organic species are not demonstrably local to the claimed period, and no excavation record exists.</w:t>
      </w:r>
    </w:p>
    <w:p>
      <w:pPr>
        <w:pStyle w:val="Heading"/>
        <w:rPr>
          <w:b w:val="0"/>
          <w:bCs w:val="0"/>
        </w:rPr>
      </w:pPr>
      <w:r>
        <w:rPr>
          <w:b w:val="0"/>
          <w:bCs w:val="0"/>
          <w:sz w:val="22"/>
          <w:szCs w:val="22"/>
          <w:rtl w:val="0"/>
          <w:lang w:val="da-DK"/>
        </w:rPr>
        <w:t xml:space="preserve">Threshold 2 </w:t>
      </w:r>
      <w:r>
        <w:rPr>
          <w:b w:val="0"/>
          <w:bCs w:val="0"/>
          <w:sz w:val="22"/>
          <w:szCs w:val="22"/>
          <w:rtl w:val="0"/>
          <w:lang w:val="en-US"/>
        </w:rPr>
        <w:t xml:space="preserve">— </w:t>
      </w:r>
      <w:r>
        <w:rPr>
          <w:b w:val="0"/>
          <w:bCs w:val="0"/>
          <w:sz w:val="22"/>
          <w:szCs w:val="22"/>
          <w:rtl w:val="0"/>
          <w:lang w:val="en-US"/>
        </w:rPr>
        <w:t>Confirm geopolymer classification by XRD and FTIR before presenting it as established. These are foundational methods, not supplementary work.</w:t>
      </w:r>
    </w:p>
    <w:p>
      <w:pPr>
        <w:pStyle w:val="Heading"/>
        <w:rPr>
          <w:b w:val="0"/>
          <w:bCs w:val="0"/>
        </w:rPr>
      </w:pPr>
      <w:r>
        <w:rPr>
          <w:b w:val="0"/>
          <w:bCs w:val="0"/>
          <w:sz w:val="22"/>
          <w:szCs w:val="22"/>
          <w:rtl w:val="0"/>
          <w:lang w:val="da-DK"/>
        </w:rPr>
        <w:t xml:space="preserve">Threshold 3 </w:t>
      </w:r>
      <w:r>
        <w:rPr>
          <w:b w:val="0"/>
          <w:bCs w:val="0"/>
          <w:sz w:val="22"/>
          <w:szCs w:val="22"/>
          <w:rtl w:val="0"/>
          <w:lang w:val="en-US"/>
        </w:rPr>
        <w:t xml:space="preserve">— </w:t>
      </w:r>
      <w:r>
        <w:rPr>
          <w:b w:val="0"/>
          <w:bCs w:val="0"/>
          <w:sz w:val="22"/>
          <w:szCs w:val="22"/>
          <w:rtl w:val="0"/>
          <w:lang w:val="en-US"/>
        </w:rPr>
        <w:t>Specify instrument type, energy resolution, calibration standards, and measurement geometry for all quantitative radiometric claims. Claims derived from instruments inadequate for the precision required must be excluded or re-performed.</w:t>
      </w:r>
    </w:p>
    <w:p>
      <w:pPr>
        <w:pStyle w:val="Heading"/>
        <w:rPr>
          <w:b w:val="0"/>
          <w:bCs w:val="0"/>
        </w:rPr>
      </w:pPr>
      <w:r>
        <w:rPr>
          <w:b w:val="0"/>
          <w:bCs w:val="0"/>
          <w:sz w:val="22"/>
          <w:szCs w:val="22"/>
          <w:rtl w:val="0"/>
          <w:lang w:val="da-DK"/>
        </w:rPr>
        <w:t xml:space="preserve">Threshold 4 </w:t>
      </w:r>
      <w:r>
        <w:rPr>
          <w:b w:val="0"/>
          <w:bCs w:val="0"/>
          <w:sz w:val="22"/>
          <w:szCs w:val="22"/>
          <w:rtl w:val="0"/>
          <w:lang w:val="en-US"/>
        </w:rPr>
        <w:t xml:space="preserve">— </w:t>
      </w:r>
      <w:r>
        <w:rPr>
          <w:b w:val="0"/>
          <w:bCs w:val="0"/>
          <w:sz w:val="22"/>
          <w:szCs w:val="22"/>
          <w:rtl w:val="0"/>
          <w:lang w:val="en-US"/>
        </w:rPr>
        <w:t>Evaluate identified organic species against the palaeobotanical record of the claimed manufacture location and period. Attribution of organic components to species absent from that location and period constitutes a biogeographic inconsistency that must be resolved, not concealed in regional-scale language.</w:t>
      </w:r>
    </w:p>
    <w:p>
      <w:pPr>
        <w:pStyle w:val="Heading"/>
        <w:rPr>
          <w:b w:val="0"/>
          <w:bCs w:val="0"/>
        </w:rPr>
      </w:pPr>
      <w:r>
        <w:rPr>
          <w:b w:val="0"/>
          <w:bCs w:val="0"/>
          <w:sz w:val="22"/>
          <w:szCs w:val="22"/>
          <w:rtl w:val="0"/>
          <w:lang w:val="da-DK"/>
        </w:rPr>
        <w:t xml:space="preserve">Threshold 5 </w:t>
      </w:r>
      <w:r>
        <w:rPr>
          <w:b w:val="0"/>
          <w:bCs w:val="0"/>
          <w:sz w:val="22"/>
          <w:szCs w:val="22"/>
          <w:rtl w:val="0"/>
          <w:lang w:val="en-US"/>
        </w:rPr>
        <w:t xml:space="preserve">— </w:t>
      </w:r>
      <w:r>
        <w:rPr>
          <w:b w:val="0"/>
          <w:bCs w:val="0"/>
          <w:sz w:val="22"/>
          <w:szCs w:val="22"/>
          <w:rtl w:val="0"/>
          <w:lang w:val="en-US"/>
        </w:rPr>
        <w:t>Address iconographic parallels by temporal position and direction of influence. Parallels with later traditions require explicit argument for why the direction of influence runs from the earlier to the later tradition; independent convergence must be addressed and argued against on parsimony grounds.</w:t>
      </w:r>
    </w:p>
    <w:p>
      <w:pPr>
        <w:pStyle w:val="Heading"/>
        <w:rPr>
          <w:b w:val="0"/>
          <w:bCs w:val="0"/>
        </w:rPr>
      </w:pPr>
      <w:r>
        <w:rPr>
          <w:b w:val="0"/>
          <w:bCs w:val="0"/>
          <w:sz w:val="22"/>
          <w:szCs w:val="22"/>
          <w:rtl w:val="0"/>
          <w:lang w:val="en-US"/>
        </w:rPr>
        <w:t xml:space="preserve">The Aztlan Collection, under current documentation, fails all five thresholds. Whether future properly controlled investigation would change this assessment is an open question that the present evidence cannot answer </w:t>
      </w:r>
      <w:r>
        <w:rPr>
          <w:b w:val="0"/>
          <w:bCs w:val="0"/>
          <w:sz w:val="22"/>
          <w:szCs w:val="22"/>
          <w:rtl w:val="0"/>
          <w:lang w:val="en-US"/>
        </w:rPr>
        <w:t xml:space="preserve">— </w:t>
      </w:r>
      <w:r>
        <w:rPr>
          <w:b w:val="0"/>
          <w:bCs w:val="0"/>
          <w:sz w:val="22"/>
          <w:szCs w:val="22"/>
          <w:rtl w:val="0"/>
          <w:lang w:val="en-US"/>
        </w:rPr>
        <w:t>and that is precisely the point. Extraordinary claims require extraordinary evidence, and the minimum thresholds above represent not an extraordinary standard but the ordinary standard that archaeometric publication should require.</w:t>
      </w:r>
    </w:p>
    <w:p>
      <w:pPr>
        <w:pStyle w:val="Heading"/>
        <w:rPr>
          <w:b w:val="0"/>
          <w:bCs w:val="0"/>
        </w:rPr>
      </w:pPr>
      <w:r>
        <w:rPr>
          <w:b w:val="0"/>
          <w:bCs w:val="0"/>
          <w:rtl w:val="0"/>
          <w:lang w:val="fr-FR"/>
        </w:rPr>
        <w:t>12. Conclusions</w:t>
      </w:r>
    </w:p>
    <w:p>
      <w:pPr>
        <w:pStyle w:val="Heading"/>
        <w:rPr>
          <w:b w:val="0"/>
          <w:bCs w:val="0"/>
        </w:rPr>
      </w:pPr>
      <w:r>
        <w:rPr>
          <w:b w:val="0"/>
          <w:bCs w:val="0"/>
          <w:sz w:val="22"/>
          <w:szCs w:val="22"/>
          <w:rtl w:val="0"/>
          <w:lang w:val="en-US"/>
        </w:rPr>
        <w:t xml:space="preserve">This paper has examined Hawke (2026) in full </w:t>
      </w:r>
      <w:r>
        <w:rPr>
          <w:b w:val="0"/>
          <w:bCs w:val="0"/>
          <w:sz w:val="22"/>
          <w:szCs w:val="22"/>
          <w:rtl w:val="0"/>
          <w:lang w:val="en-US"/>
        </w:rPr>
        <w:t xml:space="preserve">— </w:t>
      </w:r>
      <w:r>
        <w:rPr>
          <w:b w:val="0"/>
          <w:bCs w:val="0"/>
          <w:sz w:val="22"/>
          <w:szCs w:val="22"/>
          <w:rtl w:val="0"/>
          <w:lang w:val="en-US"/>
        </w:rPr>
        <w:t xml:space="preserve">from its abstract through its materials and methods, material characterisation, chronometric argumentation, radiometric analysis, species identification, archaeological framing, iconographic interpretation, and conclusions. The examination is not a selective critique of convenient weaknesses but a systematic analysis of the entire study. The central methodological error </w:t>
      </w:r>
      <w:r>
        <w:rPr>
          <w:b w:val="0"/>
          <w:bCs w:val="0"/>
          <w:sz w:val="22"/>
          <w:szCs w:val="22"/>
          <w:rtl w:val="0"/>
          <w:lang w:val="en-US"/>
        </w:rPr>
        <w:t xml:space="preserve">— </w:t>
      </w:r>
      <w:r>
        <w:rPr>
          <w:b w:val="0"/>
          <w:bCs w:val="0"/>
          <w:sz w:val="22"/>
          <w:szCs w:val="22"/>
          <w:rtl w:val="0"/>
          <w:lang w:val="en-US"/>
        </w:rPr>
        <w:t xml:space="preserve">conflating the radiocarbon age of organic inclusions with the manufacture date of the objects containing them </w:t>
      </w:r>
      <w:r>
        <w:rPr>
          <w:b w:val="0"/>
          <w:bCs w:val="0"/>
          <w:sz w:val="22"/>
          <w:szCs w:val="22"/>
          <w:rtl w:val="0"/>
          <w:lang w:val="en-US"/>
        </w:rPr>
        <w:t xml:space="preserve">— </w:t>
      </w:r>
      <w:r>
        <w:rPr>
          <w:b w:val="0"/>
          <w:bCs w:val="0"/>
          <w:sz w:val="22"/>
          <w:szCs w:val="22"/>
          <w:rtl w:val="0"/>
          <w:lang w:val="en-US"/>
        </w:rPr>
        <w:t xml:space="preserve">is stated in the paper's own abstract and is fatal to the chronometric argument regardless of the quality of the laboratory analyses from which the dates were derived. Five additional, independent lines of evidence </w:t>
      </w:r>
      <w:r>
        <w:rPr>
          <w:b w:val="0"/>
          <w:bCs w:val="0"/>
          <w:sz w:val="22"/>
          <w:szCs w:val="22"/>
          <w:rtl w:val="0"/>
          <w:lang w:val="en-US"/>
        </w:rPr>
        <w:t xml:space="preserve">— </w:t>
      </w:r>
      <w:r>
        <w:rPr>
          <w:b w:val="0"/>
          <w:bCs w:val="0"/>
          <w:sz w:val="22"/>
          <w:szCs w:val="22"/>
          <w:rtl w:val="0"/>
          <w:lang w:val="en-US"/>
        </w:rPr>
        <w:t xml:space="preserve">biogeographic inconsistency in the identified organic species, the absence of the most diagnostic available biological dating test, instrumental inadequacy for the radiometric claims made, the absence of foundational phase identification, and the irreconcilability of both the archaeological record and the artefacts' iconographic vocabulary with the claimed manufacture period </w:t>
      </w:r>
      <w:r>
        <w:rPr>
          <w:b w:val="0"/>
          <w:bCs w:val="0"/>
          <w:sz w:val="22"/>
          <w:szCs w:val="22"/>
          <w:rtl w:val="0"/>
          <w:lang w:val="en-US"/>
        </w:rPr>
        <w:t xml:space="preserve">— </w:t>
      </w:r>
      <w:r>
        <w:rPr>
          <w:b w:val="0"/>
          <w:bCs w:val="0"/>
          <w:sz w:val="22"/>
          <w:szCs w:val="22"/>
          <w:rtl w:val="0"/>
          <w:lang w:val="en-US"/>
        </w:rPr>
        <w:t>each reach the same conclusion independently, having been derived from separate sections of the paper through separate analytical routes. The iconographic argument is strengthened by the explicit elimination of independent convergence as a competing explanation: the simultaneous presence of Olmec compositional conventions, Mixtec stylistic vocabulary, and a 20th-century popular culture template cannot be the product of prehistoric independent development. The unfalsifiable framework structure of the ET contact hypothesis disqualifies it as a scientific hypothesis. The construction of scientific credibility through accumulated markers without underlying accountability structures is a replicable methodological pattern whose identification is a contribution independent of the specific claims it enables.</w:t>
      </w:r>
    </w:p>
    <w:p>
      <w:pPr>
        <w:pStyle w:val="Heading"/>
        <w:rPr>
          <w:b w:val="0"/>
          <w:bCs w:val="0"/>
        </w:rPr>
      </w:pPr>
      <w:r>
        <w:rPr>
          <w:b w:val="0"/>
          <w:bCs w:val="0"/>
          <w:sz w:val="22"/>
          <w:szCs w:val="22"/>
          <w:rtl w:val="0"/>
          <w:lang w:val="en-US"/>
        </w:rPr>
        <w:t>The appropriate response is not rejection of the physical evidence but insistence on the minimum evidentiary standards that archaeometric publication requires: controlled provenance where possible; independent replication; foundational phase identification by XRD and FTIR; simultaneous dating of intrusive biological material and adhesive organics to distinguish burial age from manufacture date; biogeographic assessment of identified organic species; and logical consistency between what is measured and what is concluded. The Aztlan Collection, under current documentation, does not meet these standards. The evidence it provides cannot support the conclusions it has been made to bear.</w:t>
      </w:r>
    </w:p>
    <w:p>
      <w:pPr>
        <w:pStyle w:val="Heading"/>
        <w:rPr>
          <w:b w:val="0"/>
          <w:bCs w:val="0"/>
        </w:rPr>
      </w:pPr>
      <w:r>
        <w:rPr>
          <w:b w:val="0"/>
          <w:bCs w:val="0"/>
          <w:rtl w:val="0"/>
          <w:lang w:val="en-US"/>
        </w:rPr>
        <w:t>Acknowledgments</w:t>
      </w:r>
    </w:p>
    <w:p>
      <w:pPr>
        <w:pStyle w:val="Heading"/>
        <w:rPr>
          <w:b w:val="0"/>
          <w:bCs w:val="0"/>
        </w:rPr>
      </w:pPr>
      <w:r>
        <w:rPr>
          <w:b w:val="0"/>
          <w:bCs w:val="0"/>
          <w:sz w:val="22"/>
          <w:szCs w:val="22"/>
          <w:rtl w:val="0"/>
          <w:lang w:val="en-US"/>
        </w:rPr>
        <w:t>The author thanks the academic correspondents whose engagement with the DSSM research programme informed the methodological framework applied here. This work was produced independently without institutional funding. The author thanks the reviewers whose comments substantially strengthened the paper, particularly the clarification of the P. oocarpa species-level identification dependency and the recommendation to address the independent convergence alternative explicitly. No conflict of interest is declared.</w:t>
      </w:r>
    </w:p>
    <w:p>
      <w:pPr>
        <w:pStyle w:val="Heading"/>
        <w:rPr>
          <w:b w:val="0"/>
          <w:bCs w:val="0"/>
        </w:rPr>
      </w:pPr>
    </w:p>
    <w:p>
      <w:pPr>
        <w:pStyle w:val="Heading"/>
        <w:rPr>
          <w:b w:val="0"/>
          <w:bCs w:val="0"/>
        </w:rPr>
      </w:pPr>
      <w:r>
        <w:rPr>
          <w:b w:val="0"/>
          <w:bCs w:val="0"/>
          <w:rtl w:val="0"/>
          <w:lang w:val="fr-FR"/>
        </w:rPr>
        <w:t>References</w:t>
      </w:r>
    </w:p>
    <w:p>
      <w:pPr>
        <w:pStyle w:val="Heading"/>
        <w:rPr>
          <w:b w:val="0"/>
          <w:bCs w:val="0"/>
        </w:rPr>
      </w:pPr>
      <w:r>
        <w:rPr>
          <w:b w:val="0"/>
          <w:bCs w:val="0"/>
          <w:sz w:val="18"/>
          <w:szCs w:val="18"/>
          <w:rtl w:val="0"/>
          <w:lang w:val="en-US"/>
        </w:rPr>
        <w:t xml:space="preserve">Anderson, K.B. (1996). The nature and fate of natural resins in the geosphere </w:t>
      </w:r>
      <w:r>
        <w:rPr>
          <w:b w:val="0"/>
          <w:bCs w:val="0"/>
          <w:sz w:val="18"/>
          <w:szCs w:val="18"/>
          <w:rtl w:val="0"/>
          <w:lang w:val="en-US"/>
        </w:rPr>
        <w:t xml:space="preserve">— </w:t>
      </w:r>
      <w:r>
        <w:rPr>
          <w:b w:val="0"/>
          <w:bCs w:val="0"/>
          <w:sz w:val="18"/>
          <w:szCs w:val="18"/>
          <w:rtl w:val="0"/>
          <w:lang w:val="en-US"/>
        </w:rPr>
        <w:t>VII. A radiocarbon (14C) age scale for description of immature natural resins: An invitation to scientific debate. Organic Geochemistry, 25(3</w:t>
      </w:r>
      <w:r>
        <w:rPr>
          <w:b w:val="0"/>
          <w:bCs w:val="0"/>
          <w:sz w:val="18"/>
          <w:szCs w:val="18"/>
          <w:rtl w:val="0"/>
        </w:rPr>
        <w:t>–</w:t>
      </w:r>
      <w:r>
        <w:rPr>
          <w:b w:val="0"/>
          <w:bCs w:val="0"/>
          <w:sz w:val="18"/>
          <w:szCs w:val="18"/>
          <w:rtl w:val="0"/>
        </w:rPr>
        <w:t>4), 251</w:t>
      </w:r>
      <w:r>
        <w:rPr>
          <w:b w:val="0"/>
          <w:bCs w:val="0"/>
          <w:sz w:val="18"/>
          <w:szCs w:val="18"/>
          <w:rtl w:val="0"/>
        </w:rPr>
        <w:t>–</w:t>
      </w:r>
      <w:r>
        <w:rPr>
          <w:b w:val="0"/>
          <w:bCs w:val="0"/>
          <w:sz w:val="18"/>
          <w:szCs w:val="18"/>
          <w:rtl w:val="0"/>
          <w:lang w:val="en-US"/>
        </w:rPr>
        <w:t>253. https://doi.org/10.1016/S0146-6380(96)00122-1</w:t>
      </w:r>
    </w:p>
    <w:p>
      <w:pPr>
        <w:pStyle w:val="Heading"/>
        <w:rPr>
          <w:b w:val="0"/>
          <w:bCs w:val="0"/>
        </w:rPr>
      </w:pPr>
      <w:r>
        <w:rPr>
          <w:b w:val="0"/>
          <w:bCs w:val="0"/>
          <w:sz w:val="18"/>
          <w:szCs w:val="18"/>
          <w:rtl w:val="0"/>
          <w:lang w:val="en-US"/>
        </w:rPr>
        <w:t>Beekman, C.S. (2000). The correspondence of regional patterns and local strategies in Formative to Classic period West Mexico. Journal of Anthropological Archaeology, 19(4), 385</w:t>
      </w:r>
      <w:r>
        <w:rPr>
          <w:b w:val="0"/>
          <w:bCs w:val="0"/>
          <w:sz w:val="18"/>
          <w:szCs w:val="18"/>
          <w:rtl w:val="0"/>
        </w:rPr>
        <w:t>–</w:t>
      </w:r>
      <w:r>
        <w:rPr>
          <w:b w:val="0"/>
          <w:bCs w:val="0"/>
          <w:sz w:val="18"/>
          <w:szCs w:val="18"/>
          <w:rtl w:val="0"/>
          <w:lang w:val="nl-NL"/>
        </w:rPr>
        <w:t>412. https://doi.org/10.1006/jaar.2000.0360</w:t>
      </w:r>
    </w:p>
    <w:p>
      <w:pPr>
        <w:pStyle w:val="Heading"/>
        <w:rPr>
          <w:b w:val="0"/>
          <w:bCs w:val="0"/>
        </w:rPr>
      </w:pPr>
      <w:r>
        <w:rPr>
          <w:b w:val="0"/>
          <w:bCs w:val="0"/>
          <w:sz w:val="18"/>
          <w:szCs w:val="18"/>
          <w:rtl w:val="0"/>
          <w:lang w:val="it-IT"/>
        </w:rPr>
        <w:t>Bell, B. (1972). Archaeological excavations in Jalisco, Mexico. Science, 175(4027), 1238</w:t>
      </w:r>
      <w:r>
        <w:rPr>
          <w:b w:val="0"/>
          <w:bCs w:val="0"/>
          <w:sz w:val="18"/>
          <w:szCs w:val="18"/>
          <w:rtl w:val="0"/>
        </w:rPr>
        <w:t>–</w:t>
      </w:r>
      <w:r>
        <w:rPr>
          <w:b w:val="0"/>
          <w:bCs w:val="0"/>
          <w:sz w:val="18"/>
          <w:szCs w:val="18"/>
          <w:rtl w:val="0"/>
          <w:lang w:val="en-US"/>
        </w:rPr>
        <w:t>1239. https://doi.org/10.1126/science.175.4027.1238</w:t>
      </w:r>
    </w:p>
    <w:p>
      <w:pPr>
        <w:pStyle w:val="Heading"/>
        <w:rPr>
          <w:b w:val="0"/>
          <w:bCs w:val="0"/>
        </w:rPr>
      </w:pPr>
      <w:r>
        <w:rPr>
          <w:b w:val="0"/>
          <w:bCs w:val="0"/>
          <w:sz w:val="18"/>
          <w:szCs w:val="18"/>
          <w:rtl w:val="0"/>
          <w:lang w:val="it-IT"/>
        </w:rPr>
        <w:t>Bowman, S. (1990). Radiocarbon Dating. British Museum Press.</w:t>
      </w:r>
    </w:p>
    <w:p>
      <w:pPr>
        <w:pStyle w:val="Heading"/>
        <w:rPr>
          <w:b w:val="0"/>
          <w:bCs w:val="0"/>
        </w:rPr>
      </w:pPr>
      <w:r>
        <w:rPr>
          <w:b w:val="0"/>
          <w:bCs w:val="0"/>
          <w:sz w:val="18"/>
          <w:szCs w:val="18"/>
          <w:rtl w:val="0"/>
          <w:lang w:val="en-US"/>
        </w:rPr>
        <w:t>Bullard, T.E. (2010). The Myth and Mystery of UFOs. University Press of Kansas.</w:t>
      </w:r>
    </w:p>
    <w:p>
      <w:pPr>
        <w:pStyle w:val="Heading"/>
        <w:rPr>
          <w:b w:val="0"/>
          <w:bCs w:val="0"/>
        </w:rPr>
      </w:pPr>
      <w:r>
        <w:rPr>
          <w:b w:val="0"/>
          <w:bCs w:val="0"/>
          <w:sz w:val="18"/>
          <w:szCs w:val="18"/>
          <w:rtl w:val="0"/>
          <w:lang w:val="en-US"/>
        </w:rPr>
        <w:t>Coe, M.D. (1965). The Olmec style and its distribution. In G. Willey (Ed.), Handbook of Middle American Indians, Vol. 3 (pp. 739</w:t>
      </w:r>
      <w:r>
        <w:rPr>
          <w:b w:val="0"/>
          <w:bCs w:val="0"/>
          <w:sz w:val="18"/>
          <w:szCs w:val="18"/>
          <w:rtl w:val="0"/>
        </w:rPr>
        <w:t>–</w:t>
      </w:r>
      <w:r>
        <w:rPr>
          <w:b w:val="0"/>
          <w:bCs w:val="0"/>
          <w:sz w:val="18"/>
          <w:szCs w:val="18"/>
          <w:rtl w:val="0"/>
          <w:lang w:val="en-US"/>
        </w:rPr>
        <w:t>775). University of Texas Press.</w:t>
      </w:r>
    </w:p>
    <w:p>
      <w:pPr>
        <w:pStyle w:val="Heading"/>
        <w:rPr>
          <w:b w:val="0"/>
          <w:bCs w:val="0"/>
        </w:rPr>
      </w:pPr>
      <w:r>
        <w:rPr>
          <w:b w:val="0"/>
          <w:bCs w:val="0"/>
          <w:sz w:val="18"/>
          <w:szCs w:val="18"/>
          <w:rtl w:val="0"/>
          <w:lang w:val="en-US"/>
        </w:rPr>
        <w:t>Coe, M.D., &amp; Diehl, R.A. (1980). In the Land of the Olmec (2 vols.). University of Texas Press.</w:t>
      </w:r>
    </w:p>
    <w:p>
      <w:pPr>
        <w:pStyle w:val="Heading"/>
        <w:rPr>
          <w:b w:val="0"/>
          <w:bCs w:val="0"/>
        </w:rPr>
      </w:pPr>
      <w:r>
        <w:rPr>
          <w:b w:val="0"/>
          <w:bCs w:val="0"/>
          <w:sz w:val="18"/>
          <w:szCs w:val="18"/>
          <w:rtl w:val="0"/>
          <w:lang w:val="en-US"/>
        </w:rPr>
        <w:t>Davidovits, J. (2008). Geopolymer Chemistry and Applications. Geopolymer Institute.</w:t>
      </w:r>
    </w:p>
    <w:p>
      <w:pPr>
        <w:pStyle w:val="Heading"/>
        <w:rPr>
          <w:b w:val="0"/>
          <w:bCs w:val="0"/>
        </w:rPr>
      </w:pPr>
      <w:r>
        <w:rPr>
          <w:b w:val="0"/>
          <w:bCs w:val="0"/>
          <w:sz w:val="18"/>
          <w:szCs w:val="18"/>
          <w:rtl w:val="0"/>
          <w:lang w:val="fr-FR"/>
        </w:rPr>
        <w:t>Duxson, P., Fern</w:t>
      </w:r>
      <w:r>
        <w:rPr>
          <w:b w:val="0"/>
          <w:bCs w:val="0"/>
          <w:sz w:val="18"/>
          <w:szCs w:val="18"/>
          <w:rtl w:val="0"/>
        </w:rPr>
        <w:t>á</w:t>
      </w:r>
      <w:r>
        <w:rPr>
          <w:b w:val="0"/>
          <w:bCs w:val="0"/>
          <w:sz w:val="18"/>
          <w:szCs w:val="18"/>
          <w:rtl w:val="0"/>
          <w:lang w:val="fr-FR"/>
        </w:rPr>
        <w:t>ndez-Jim</w:t>
      </w:r>
      <w:r>
        <w:rPr>
          <w:b w:val="0"/>
          <w:bCs w:val="0"/>
          <w:sz w:val="18"/>
          <w:szCs w:val="18"/>
          <w:rtl w:val="0"/>
          <w:lang w:val="fr-FR"/>
        </w:rPr>
        <w:t>é</w:t>
      </w:r>
      <w:r>
        <w:rPr>
          <w:b w:val="0"/>
          <w:bCs w:val="0"/>
          <w:sz w:val="18"/>
          <w:szCs w:val="18"/>
          <w:rtl w:val="0"/>
          <w:lang w:val="en-US"/>
        </w:rPr>
        <w:t>nez, A., Provis, J.L., Lukey, G.C., Palomo, A., &amp; van Deventer, J.S.J. (2007). Geopolymer technology: The current state of the art and future research opportunities. Journal of Materials Science, 42(9), 2917</w:t>
      </w:r>
      <w:r>
        <w:rPr>
          <w:b w:val="0"/>
          <w:bCs w:val="0"/>
          <w:sz w:val="18"/>
          <w:szCs w:val="18"/>
          <w:rtl w:val="0"/>
        </w:rPr>
        <w:t>–</w:t>
      </w:r>
      <w:r>
        <w:rPr>
          <w:b w:val="0"/>
          <w:bCs w:val="0"/>
          <w:sz w:val="18"/>
          <w:szCs w:val="18"/>
          <w:rtl w:val="0"/>
          <w:lang w:val="en-US"/>
        </w:rPr>
        <w:t>2933. https://doi.org/10.1007/s10853-006-0637-z</w:t>
      </w:r>
    </w:p>
    <w:p>
      <w:pPr>
        <w:pStyle w:val="Heading"/>
        <w:rPr>
          <w:b w:val="0"/>
          <w:bCs w:val="0"/>
        </w:rPr>
      </w:pPr>
      <w:r>
        <w:rPr>
          <w:b w:val="0"/>
          <w:bCs w:val="0"/>
          <w:sz w:val="18"/>
          <w:szCs w:val="18"/>
          <w:rtl w:val="0"/>
          <w:lang w:val="en-US"/>
        </w:rPr>
        <w:t>Feder, K.L. (2010). Encyclopedia of Dubious Archaeology: From Atlantis to the Walam Olum. Greenwood Press.</w:t>
      </w:r>
    </w:p>
    <w:p>
      <w:pPr>
        <w:pStyle w:val="Heading"/>
        <w:rPr>
          <w:b w:val="0"/>
          <w:bCs w:val="0"/>
        </w:rPr>
      </w:pPr>
      <w:r>
        <w:rPr>
          <w:b w:val="0"/>
          <w:bCs w:val="0"/>
          <w:sz w:val="18"/>
          <w:szCs w:val="18"/>
          <w:rtl w:val="0"/>
          <w:lang w:val="en-US"/>
        </w:rPr>
        <w:t>Gigliarelli, G., Becerra, J.X., Curini, M., &amp; Marcotullio, M.C. (2015). Chemical composition and biological activities of fragrant Mexican copal (Bursera spp.). Molecules, 20(12), 22383</w:t>
      </w:r>
      <w:r>
        <w:rPr>
          <w:b w:val="0"/>
          <w:bCs w:val="0"/>
          <w:sz w:val="18"/>
          <w:szCs w:val="18"/>
          <w:rtl w:val="0"/>
        </w:rPr>
        <w:t>–</w:t>
      </w:r>
      <w:r>
        <w:rPr>
          <w:b w:val="0"/>
          <w:bCs w:val="0"/>
          <w:sz w:val="18"/>
          <w:szCs w:val="18"/>
          <w:rtl w:val="0"/>
          <w:lang w:val="en-US"/>
        </w:rPr>
        <w:t>22394. https://doi.org/10.3390/molecules201219849</w:t>
      </w:r>
    </w:p>
    <w:p>
      <w:pPr>
        <w:pStyle w:val="Heading"/>
        <w:rPr>
          <w:b w:val="0"/>
          <w:bCs w:val="0"/>
        </w:rPr>
      </w:pPr>
      <w:r>
        <w:rPr>
          <w:b w:val="0"/>
          <w:bCs w:val="0"/>
          <w:sz w:val="18"/>
          <w:szCs w:val="18"/>
          <w:rtl w:val="0"/>
          <w:lang w:val="en-US"/>
        </w:rPr>
        <w:t>Hawke, T. (2026). Prehistoric artifacts of Mesoamerica: Anthropological evidence of ET paleocontact. Harmonic Research Group. harmonicresearchgroup@gmail.com</w:t>
      </w:r>
    </w:p>
    <w:p>
      <w:pPr>
        <w:pStyle w:val="Heading"/>
        <w:rPr>
          <w:b w:val="0"/>
          <w:bCs w:val="0"/>
        </w:rPr>
      </w:pPr>
      <w:r>
        <w:rPr>
          <w:b w:val="0"/>
          <w:bCs w:val="0"/>
          <w:sz w:val="18"/>
          <w:szCs w:val="18"/>
          <w:rtl w:val="0"/>
          <w:lang w:val="en-US"/>
        </w:rPr>
        <w:t>Hedges, R.E.M. (1992). Sample pretreatment. Radiocarbon, 34(3), 279</w:t>
      </w:r>
      <w:r>
        <w:rPr>
          <w:b w:val="0"/>
          <w:bCs w:val="0"/>
          <w:sz w:val="18"/>
          <w:szCs w:val="18"/>
          <w:rtl w:val="0"/>
        </w:rPr>
        <w:t>–</w:t>
      </w:r>
      <w:r>
        <w:rPr>
          <w:b w:val="0"/>
          <w:bCs w:val="0"/>
          <w:sz w:val="18"/>
          <w:szCs w:val="18"/>
          <w:rtl w:val="0"/>
          <w:lang w:val="en-US"/>
        </w:rPr>
        <w:t>289. https://doi.org/10.1017/S003382200006323X</w:t>
      </w:r>
    </w:p>
    <w:p>
      <w:pPr>
        <w:pStyle w:val="Heading"/>
        <w:rPr>
          <w:b w:val="0"/>
          <w:bCs w:val="0"/>
        </w:rPr>
      </w:pPr>
      <w:r>
        <w:rPr>
          <w:b w:val="0"/>
          <w:bCs w:val="0"/>
          <w:sz w:val="18"/>
          <w:szCs w:val="18"/>
          <w:rtl w:val="0"/>
          <w:lang w:val="da-DK"/>
        </w:rPr>
        <w:t>Jansen, M., &amp; P</w:t>
      </w:r>
      <w:r>
        <w:rPr>
          <w:b w:val="0"/>
          <w:bCs w:val="0"/>
          <w:sz w:val="18"/>
          <w:szCs w:val="18"/>
          <w:rtl w:val="0"/>
          <w:lang w:val="fr-FR"/>
        </w:rPr>
        <w:t>é</w:t>
      </w:r>
      <w:r>
        <w:rPr>
          <w:b w:val="0"/>
          <w:bCs w:val="0"/>
          <w:sz w:val="18"/>
          <w:szCs w:val="18"/>
          <w:rtl w:val="0"/>
          <w:lang w:val="es-ES_tradnl"/>
        </w:rPr>
        <w:t>rez Jim</w:t>
      </w:r>
      <w:r>
        <w:rPr>
          <w:b w:val="0"/>
          <w:bCs w:val="0"/>
          <w:sz w:val="18"/>
          <w:szCs w:val="18"/>
          <w:rtl w:val="0"/>
          <w:lang w:val="fr-FR"/>
        </w:rPr>
        <w:t>é</w:t>
      </w:r>
      <w:r>
        <w:rPr>
          <w:b w:val="0"/>
          <w:bCs w:val="0"/>
          <w:sz w:val="18"/>
          <w:szCs w:val="18"/>
          <w:rtl w:val="0"/>
          <w:lang w:val="en-US"/>
        </w:rPr>
        <w:t>nez, G. (2017). Time and the Ancestors: Aztec and Mixtec Ritual Art. Brill. https://doi.org/10.1163/9789004350717</w:t>
      </w:r>
    </w:p>
    <w:p>
      <w:pPr>
        <w:pStyle w:val="Heading"/>
        <w:rPr>
          <w:b w:val="0"/>
          <w:bCs w:val="0"/>
        </w:rPr>
      </w:pPr>
      <w:r>
        <w:rPr>
          <w:b w:val="0"/>
          <w:bCs w:val="0"/>
          <w:sz w:val="18"/>
          <w:szCs w:val="18"/>
          <w:rtl w:val="0"/>
          <w:lang w:val="en-US"/>
        </w:rPr>
        <w:t>Joralemon, D. (1976). The Olmec dragon: A study in Pre-Columbian iconography. In H.B. Nicholson (Ed.), Origins of Religious Art and Iconography in Preclassic Mesoamerica (pp. 27</w:t>
      </w:r>
      <w:r>
        <w:rPr>
          <w:b w:val="0"/>
          <w:bCs w:val="0"/>
          <w:sz w:val="18"/>
          <w:szCs w:val="18"/>
          <w:rtl w:val="0"/>
        </w:rPr>
        <w:t>–</w:t>
      </w:r>
      <w:r>
        <w:rPr>
          <w:b w:val="0"/>
          <w:bCs w:val="0"/>
          <w:sz w:val="18"/>
          <w:szCs w:val="18"/>
          <w:rtl w:val="0"/>
          <w:lang w:val="en-US"/>
        </w:rPr>
        <w:t>71). UCLA Latin American Center Publications.</w:t>
      </w:r>
    </w:p>
    <w:p>
      <w:pPr>
        <w:pStyle w:val="Heading"/>
        <w:rPr>
          <w:b w:val="0"/>
          <w:bCs w:val="0"/>
        </w:rPr>
      </w:pPr>
      <w:r>
        <w:rPr>
          <w:b w:val="0"/>
          <w:bCs w:val="0"/>
          <w:sz w:val="18"/>
          <w:szCs w:val="18"/>
          <w:rtl w:val="0"/>
          <w:lang w:val="en-US"/>
        </w:rPr>
        <w:t>Kennett, D.J., &amp; Winterhalder, B. (Eds.) (2006). Behavioral Ecology and the Transition to Agriculture. University of California Press.</w:t>
      </w:r>
    </w:p>
    <w:p>
      <w:pPr>
        <w:pStyle w:val="Heading"/>
        <w:rPr>
          <w:b w:val="0"/>
          <w:bCs w:val="0"/>
        </w:rPr>
      </w:pPr>
      <w:r>
        <w:rPr>
          <w:b w:val="0"/>
          <w:bCs w:val="0"/>
          <w:sz w:val="18"/>
          <w:szCs w:val="18"/>
          <w:rtl w:val="0"/>
          <w:lang w:val="en-US"/>
        </w:rPr>
        <w:t>Knoll, G.F. (2010). Radiation Detection and Measurement (4th ed.). John Wiley &amp; Sons.</w:t>
      </w:r>
    </w:p>
    <w:p>
      <w:pPr>
        <w:pStyle w:val="Heading"/>
        <w:rPr>
          <w:b w:val="0"/>
          <w:bCs w:val="0"/>
        </w:rPr>
      </w:pPr>
      <w:r>
        <w:rPr>
          <w:b w:val="0"/>
          <w:bCs w:val="0"/>
          <w:sz w:val="18"/>
          <w:szCs w:val="18"/>
          <w:rtl w:val="0"/>
          <w:lang w:val="it-IT"/>
        </w:rPr>
        <w:t>L'Annunziata, M.F. (Ed.) (2012). Handbook of Radioactivity Analysis (3rd ed.). Academic Press.</w:t>
      </w:r>
    </w:p>
    <w:p>
      <w:pPr>
        <w:pStyle w:val="Heading"/>
        <w:rPr>
          <w:b w:val="0"/>
          <w:bCs w:val="0"/>
        </w:rPr>
      </w:pPr>
      <w:r>
        <w:rPr>
          <w:b w:val="0"/>
          <w:bCs w:val="0"/>
          <w:sz w:val="18"/>
          <w:szCs w:val="18"/>
          <w:rtl w:val="0"/>
          <w:lang w:val="en-US"/>
        </w:rPr>
        <w:t>Lloyd, R.R., Provis, J.L., &amp; van Deventer, J.S.J. (2009). Microscopy and microanalysis of inorganic polymer binders. Journal of Materials Science, 44(2), 608</w:t>
      </w:r>
      <w:r>
        <w:rPr>
          <w:b w:val="0"/>
          <w:bCs w:val="0"/>
          <w:sz w:val="18"/>
          <w:szCs w:val="18"/>
          <w:rtl w:val="0"/>
        </w:rPr>
        <w:t>–</w:t>
      </w:r>
      <w:r>
        <w:rPr>
          <w:b w:val="0"/>
          <w:bCs w:val="0"/>
          <w:sz w:val="18"/>
          <w:szCs w:val="18"/>
          <w:rtl w:val="0"/>
          <w:lang w:val="en-US"/>
        </w:rPr>
        <w:t>619. https://doi.org/10.1007/s10853-008-3078-z</w:t>
      </w:r>
    </w:p>
    <w:p>
      <w:pPr>
        <w:pStyle w:val="Heading"/>
        <w:rPr>
          <w:b w:val="0"/>
          <w:bCs w:val="0"/>
        </w:rPr>
      </w:pPr>
      <w:r>
        <w:rPr>
          <w:b w:val="0"/>
          <w:bCs w:val="0"/>
          <w:sz w:val="18"/>
          <w:szCs w:val="18"/>
          <w:rtl w:val="0"/>
          <w:lang w:val="en-US"/>
        </w:rPr>
        <w:t>McLennan, S.M., Taylor, S.R., McCulloch, M.T., &amp; Maynard, J.B. (1990). Geochemical and Nd-Sr isotopic composition of deep-sea turbidites. Geochimica et Cosmochimica Acta, 54(7), 2015</w:t>
      </w:r>
      <w:r>
        <w:rPr>
          <w:b w:val="0"/>
          <w:bCs w:val="0"/>
          <w:sz w:val="18"/>
          <w:szCs w:val="18"/>
          <w:rtl w:val="0"/>
        </w:rPr>
        <w:t>–</w:t>
      </w:r>
      <w:r>
        <w:rPr>
          <w:b w:val="0"/>
          <w:bCs w:val="0"/>
          <w:sz w:val="18"/>
          <w:szCs w:val="18"/>
          <w:rtl w:val="0"/>
          <w:lang w:val="de-DE"/>
        </w:rPr>
        <w:t>2050. https://doi.org/10.1016/0016-7037(90)90032-B</w:t>
      </w:r>
    </w:p>
    <w:p>
      <w:pPr>
        <w:pStyle w:val="Heading"/>
        <w:rPr>
          <w:b w:val="0"/>
          <w:bCs w:val="0"/>
        </w:rPr>
      </w:pPr>
      <w:r>
        <w:rPr>
          <w:b w:val="0"/>
          <w:bCs w:val="0"/>
          <w:sz w:val="18"/>
          <w:szCs w:val="18"/>
          <w:rtl w:val="0"/>
          <w:lang w:val="es-ES_tradnl"/>
        </w:rPr>
        <w:t>Ortega-Rosas, C.I., Pe</w:t>
      </w:r>
      <w:r>
        <w:rPr>
          <w:b w:val="0"/>
          <w:bCs w:val="0"/>
          <w:sz w:val="18"/>
          <w:szCs w:val="18"/>
          <w:rtl w:val="0"/>
          <w:lang w:val="es-ES_tradnl"/>
        </w:rPr>
        <w:t>ñ</w:t>
      </w:r>
      <w:r>
        <w:rPr>
          <w:b w:val="0"/>
          <w:bCs w:val="0"/>
          <w:sz w:val="18"/>
          <w:szCs w:val="18"/>
          <w:rtl w:val="0"/>
          <w:lang w:val="en-US"/>
        </w:rPr>
        <w:t>alba, M.C., Guiot, J., &amp; Ortiz-Acosta, M.E. (2008). Holocene altitudinal shifts in vegetation belts and environmental changes in the Sierra Madre Occidental, Northwestern Mexico. Review of Palaeobotany and Palynology, 151(3</w:t>
      </w:r>
      <w:r>
        <w:rPr>
          <w:b w:val="0"/>
          <w:bCs w:val="0"/>
          <w:sz w:val="18"/>
          <w:szCs w:val="18"/>
          <w:rtl w:val="0"/>
        </w:rPr>
        <w:t>–</w:t>
      </w:r>
      <w:r>
        <w:rPr>
          <w:b w:val="0"/>
          <w:bCs w:val="0"/>
          <w:sz w:val="18"/>
          <w:szCs w:val="18"/>
          <w:rtl w:val="0"/>
        </w:rPr>
        <w:t>4), 216</w:t>
      </w:r>
      <w:r>
        <w:rPr>
          <w:b w:val="0"/>
          <w:bCs w:val="0"/>
          <w:sz w:val="18"/>
          <w:szCs w:val="18"/>
          <w:rtl w:val="0"/>
        </w:rPr>
        <w:t>–</w:t>
      </w:r>
      <w:r>
        <w:rPr>
          <w:b w:val="0"/>
          <w:bCs w:val="0"/>
          <w:sz w:val="18"/>
          <w:szCs w:val="18"/>
          <w:rtl w:val="0"/>
        </w:rPr>
        <w:t>232. https://doi.org/10.1016/j.revpalbo.2008.03.009</w:t>
      </w:r>
    </w:p>
    <w:p>
      <w:pPr>
        <w:pStyle w:val="Heading"/>
        <w:rPr>
          <w:b w:val="0"/>
          <w:bCs w:val="0"/>
        </w:rPr>
      </w:pPr>
      <w:r>
        <w:rPr>
          <w:b w:val="0"/>
          <w:bCs w:val="0"/>
          <w:sz w:val="18"/>
          <w:szCs w:val="18"/>
          <w:rtl w:val="0"/>
          <w:lang w:val="en-US"/>
        </w:rPr>
        <w:t>Piperno, D.R., &amp; Pearsall, D.M. (1998). The Origins of Agriculture in the Lowland Neotropics. Academic Press.</w:t>
      </w:r>
    </w:p>
    <w:p>
      <w:pPr>
        <w:pStyle w:val="Heading"/>
        <w:rPr>
          <w:b w:val="0"/>
          <w:bCs w:val="0"/>
        </w:rPr>
      </w:pPr>
      <w:r>
        <w:rPr>
          <w:b w:val="0"/>
          <w:bCs w:val="0"/>
          <w:sz w:val="18"/>
          <w:szCs w:val="18"/>
          <w:rtl w:val="0"/>
          <w:lang w:val="en-US"/>
        </w:rPr>
        <w:t>Provis, J.L., &amp; van Deventer, J.S.J. (Eds.) (2014). Alkali Activated Materials: State-of-the-Art Report, RILEM TC 224-AAM. Springer/RILEM. https://doi.org/10.1007/978-94-007-7672-2</w:t>
      </w:r>
    </w:p>
    <w:p>
      <w:pPr>
        <w:pStyle w:val="Heading"/>
        <w:rPr>
          <w:b w:val="0"/>
          <w:bCs w:val="0"/>
        </w:rPr>
      </w:pPr>
      <w:r>
        <w:rPr>
          <w:b w:val="0"/>
          <w:bCs w:val="0"/>
          <w:sz w:val="18"/>
          <w:szCs w:val="18"/>
          <w:rtl w:val="0"/>
          <w:lang w:val="en-US"/>
        </w:rPr>
        <w:t>Rice, P.M. (1987). Pottery Analysis: A Sourcebook. University of Chicago Press.</w:t>
      </w:r>
    </w:p>
    <w:p>
      <w:pPr>
        <w:pStyle w:val="Heading"/>
        <w:rPr>
          <w:b w:val="0"/>
          <w:bCs w:val="0"/>
        </w:rPr>
      </w:pPr>
      <w:r>
        <w:rPr>
          <w:b w:val="0"/>
          <w:bCs w:val="0"/>
          <w:sz w:val="18"/>
          <w:szCs w:val="18"/>
          <w:rtl w:val="0"/>
          <w:lang w:val="en-US"/>
        </w:rPr>
        <w:t>Rikkinen, J., Schmidt, A.R., Perdomo-Sanchez, J., Vikkula, K., Meinke, H., von Knorre, A., &amp; Heinrichs, J. (2020). A revised definition for copal and its significance for palaeontological and Anthropocene biodiversity-loss studies. Scientific Reports, 10, 19736. https://doi.org/10.1038/s41598-020-76808-6</w:t>
      </w:r>
    </w:p>
    <w:p>
      <w:pPr>
        <w:pStyle w:val="Heading"/>
        <w:rPr>
          <w:b w:val="0"/>
          <w:bCs w:val="0"/>
        </w:rPr>
      </w:pPr>
      <w:r>
        <w:rPr>
          <w:b w:val="0"/>
          <w:bCs w:val="0"/>
          <w:sz w:val="18"/>
          <w:szCs w:val="18"/>
          <w:rtl w:val="0"/>
          <w:lang w:val="en-US"/>
        </w:rPr>
        <w:t>Smith, M.E., &amp; Berdan, F.F. (Eds.) (2003). The Postclassic Mesoamerican World. University of Utah Press.</w:t>
      </w:r>
    </w:p>
    <w:p>
      <w:pPr>
        <w:pStyle w:val="Heading"/>
        <w:rPr>
          <w:b w:val="0"/>
          <w:bCs w:val="0"/>
        </w:rPr>
      </w:pPr>
      <w:r>
        <w:rPr>
          <w:b w:val="0"/>
          <w:bCs w:val="0"/>
          <w:sz w:val="18"/>
          <w:szCs w:val="18"/>
          <w:rtl w:val="0"/>
          <w:lang w:val="en-US"/>
        </w:rPr>
        <w:t>Stiebing, W.H. (1984). Ancient Astronauts, Cosmic Collisions and Other Popular Theories about Man's Past. Prometheus Books.</w:t>
      </w:r>
    </w:p>
    <w:p>
      <w:pPr>
        <w:pStyle w:val="Heading"/>
        <w:rPr>
          <w:b w:val="0"/>
          <w:bCs w:val="0"/>
        </w:rPr>
      </w:pPr>
      <w:r>
        <w:rPr>
          <w:b w:val="0"/>
          <w:bCs w:val="0"/>
          <w:sz w:val="18"/>
          <w:szCs w:val="18"/>
          <w:rtl w:val="0"/>
          <w:lang w:val="en-US"/>
        </w:rPr>
        <w:t>Taylor, R.E., &amp; Bar-Yosef, O. (2014). Radiocarbon Dating: An Archaeological Perspective (2nd ed.). Left Coast Press. https://doi.org/10.4324/9781315421216</w:t>
      </w:r>
    </w:p>
    <w:p>
      <w:pPr>
        <w:pStyle w:val="Heading"/>
        <w:rPr>
          <w:b w:val="0"/>
          <w:bCs w:val="0"/>
        </w:rPr>
      </w:pPr>
    </w:p>
    <w:p>
      <w:pPr>
        <w:pStyle w:val="Heading"/>
        <w:jc w:val="center"/>
      </w:pPr>
      <w:r>
        <w:rPr>
          <w:b w:val="0"/>
          <w:bCs w:val="0"/>
          <w:i w:val="1"/>
          <w:iCs w:val="1"/>
          <w:outline w:val="0"/>
          <w:color w:val="888888"/>
          <w:sz w:val="18"/>
          <w:szCs w:val="18"/>
          <w:u w:color="888888"/>
          <w:rtl w:val="0"/>
          <w:lang w:val="en-US"/>
          <w14:textFill>
            <w14:solidFill>
              <w14:srgbClr w14:val="888888"/>
            </w14:solidFill>
          </w14:textFill>
        </w:rPr>
        <w:t xml:space="preserve">— </w:t>
      </w:r>
      <w:r>
        <w:rPr>
          <w:b w:val="0"/>
          <w:bCs w:val="0"/>
          <w:i w:val="1"/>
          <w:iCs w:val="1"/>
          <w:outline w:val="0"/>
          <w:color w:val="888888"/>
          <w:sz w:val="18"/>
          <w:szCs w:val="18"/>
          <w:u w:color="888888"/>
          <w:rtl w:val="0"/>
          <w:lang w:val="en-US"/>
          <w14:textFill>
            <w14:solidFill>
              <w14:srgbClr w14:val="888888"/>
            </w14:solidFill>
          </w14:textFill>
        </w:rPr>
        <w:t xml:space="preserve">Revised manuscript </w:t>
      </w:r>
      <w:r>
        <w:rPr>
          <w:b w:val="0"/>
          <w:bCs w:val="0"/>
          <w:i w:val="1"/>
          <w:iCs w:val="1"/>
          <w:outline w:val="0"/>
          <w:color w:val="888888"/>
          <w:sz w:val="18"/>
          <w:szCs w:val="18"/>
          <w:u w:color="888888"/>
          <w:rtl w:val="0"/>
          <w:lang w:val="en-US"/>
          <w14:textFill>
            <w14:solidFill>
              <w14:srgbClr w14:val="888888"/>
            </w14:solidFill>
          </w14:textFill>
        </w:rPr>
        <w:t>—</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40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80" w:after="10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