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46"/>
          <w:szCs w:val="46"/>
        </w:rPr>
      </w:pPr>
      <w:r>
        <w:rPr>
          <w:rFonts w:ascii="Verdana" w:hAnsi="Verdana"/>
          <w:sz w:val="46"/>
          <w:szCs w:val="46"/>
          <w:u w:color="000000"/>
          <w:rtl w:val="0"/>
          <w:lang w:val="de-DE"/>
        </w:rPr>
        <w:t>WHEN SACRED NUMBERS CONVERGE:</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lang w:val="en-US"/>
        </w:rPr>
      </w:pPr>
      <w:r>
        <w:rPr>
          <w:rFonts w:ascii="Verdana" w:hAnsi="Verdana"/>
          <w:sz w:val="26"/>
          <w:szCs w:val="26"/>
          <w:u w:color="000000"/>
          <w:rtl w:val="0"/>
          <w:lang w:val="en-US"/>
        </w:rPr>
        <w:t>A Multi-Calendar Analysis of Sumerian Kings List Pre-Flood Reign Lengths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lang w:val="en-US"/>
        </w:rPr>
      </w:pPr>
      <w:r>
        <w:rPr>
          <w:rFonts w:ascii="Verdana" w:hAnsi="Verdana"/>
          <w:i w:val="1"/>
          <w:iCs w:val="1"/>
          <w:sz w:val="23"/>
          <w:szCs w:val="23"/>
          <w:u w:color="000000"/>
          <w:rtl w:val="0"/>
          <w:lang w:val="en-US"/>
        </w:rPr>
        <w:t>Chinese, Hebrew, Hindu, and Astronomical Recalculations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lang w:val="en-US"/>
        </w:rPr>
      </w:pPr>
      <w:r>
        <w:rPr>
          <w:rFonts w:ascii="Verdana" w:hAnsi="Verdana"/>
          <w:i w:val="1"/>
          <w:iCs w:val="1"/>
          <w:sz w:val="21"/>
          <w:szCs w:val="21"/>
          <w:u w:color="000000"/>
          <w:rtl w:val="0"/>
          <w:lang w:val="en-US"/>
        </w:rPr>
        <w:t>A Deep Symbolic Systems Model (DSSM) Analysis</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rtl w:val="0"/>
          <w:lang w:val="it-IT"/>
        </w:rPr>
        <w:t xml:space="preserve"> ResearchGate </w:t>
      </w: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"https://doi.org/10.13140/RG.2.2.25537.52322"</w:instrText>
      </w:r>
      <w:r>
        <w:rPr>
          <w:rStyle w:val="Hyperlink.0"/>
          <w:rFonts w:ascii="Verdana" w:cs="Verdana" w:hAnsi="Verdana" w:eastAsia="Verdana"/>
        </w:rPr>
        <w:fldChar w:fldCharType="separate" w:fldLock="0"/>
      </w:r>
      <w:r>
        <w:rPr>
          <w:rStyle w:val="Hyperlink.0"/>
          <w:rFonts w:ascii="Verdana" w:hAnsi="Verdana"/>
          <w:rtl w:val="0"/>
          <w:lang w:val="de-DE"/>
        </w:rPr>
        <w:t>https://doi.org/10.13140/RG.2.2.25537.52322</w:t>
      </w:r>
      <w:r>
        <w:rPr>
          <w:rFonts w:ascii="Verdana" w:cs="Verdana" w:hAnsi="Verdana" w:eastAsia="Verdana"/>
        </w:rPr>
        <w:fldChar w:fldCharType="end" w:fldLock="0"/>
      </w:r>
      <w:r>
        <w:rPr>
          <w:rFonts w:ascii="Verdana" w:hAnsi="Verdana"/>
          <w:rtl w:val="0"/>
          <w:lang w:val="it-IT"/>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lang w:val="en-US"/>
        </w:rPr>
      </w:pPr>
      <w:r>
        <w:rPr>
          <w:rFonts w:ascii="Verdana" w:hAnsi="Verdana"/>
          <w:sz w:val="24"/>
          <w:szCs w:val="24"/>
          <w:u w:color="000000"/>
          <w:rtl w:val="0"/>
          <w:lang w:val="en-US"/>
        </w:rPr>
        <w:t>Anthony Vondoom</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lang w:val="en-US"/>
        </w:rPr>
      </w:pPr>
      <w:r>
        <w:rPr>
          <w:rFonts w:ascii="Verdana" w:hAnsi="Verdana"/>
          <w:u w:color="000000"/>
          <w:rtl w:val="0"/>
          <w:lang w:val="en-US"/>
        </w:rPr>
        <w:t>Independent Researcher, Cognitive Archaeology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lang w:val="en-US"/>
        </w:rPr>
      </w:pPr>
      <w:r>
        <w:rPr>
          <w:rFonts w:ascii="Verdana" w:hAnsi="Verdana"/>
          <w:u w:color="000000"/>
          <w:rtl w:val="0"/>
          <w:lang w:val="en-US"/>
        </w:rPr>
        <w:t>June 2026</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7655" w:hRule="atLeast"/>
        </w:trPr>
        <w:tc>
          <w:tcPr>
            <w:tcW w:type="dxa" w:w="93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5f5f5"/>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cs="Times New Roman" w:hAnsi="Times New Roman" w:eastAsia="Times New Roman"/>
                <w:sz w:val="20"/>
                <w:szCs w:val="20"/>
                <w:shd w:val="nil" w:color="auto" w:fill="auto"/>
              </w:rPr>
            </w:pPr>
            <w:r>
              <w:rPr>
                <w:rFonts w:ascii="Arial" w:hAnsi="Arial"/>
                <w:b w:val="1"/>
                <w:bCs w:val="1"/>
                <w:sz w:val="22"/>
                <w:szCs w:val="22"/>
                <w:shd w:val="nil" w:color="auto" w:fill="auto"/>
                <w:rtl w:val="0"/>
                <w:lang w:val="de-DE"/>
              </w:rPr>
              <w:t>Abstract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Fonts w:ascii="Times New Roman" w:cs="Times New Roman" w:hAnsi="Times New Roman" w:eastAsia="Times New Roman"/>
                <w:sz w:val="20"/>
                <w:szCs w:val="20"/>
                <w:shd w:val="nil" w:color="auto" w:fill="auto"/>
                <w:rtl w:val="0"/>
              </w:rPr>
            </w:pPr>
            <w:r>
              <w:rPr>
                <w:rFonts w:ascii="Arial" w:hAnsi="Arial"/>
                <w:sz w:val="20"/>
                <w:szCs w:val="20"/>
                <w:shd w:val="nil" w:color="auto" w:fill="auto"/>
                <w:rtl w:val="0"/>
                <w:lang w:val="en-US"/>
              </w:rPr>
              <w:t xml:space="preserve">The Sumerian Kings List (SKL) pre-flood section assigns eight kings combined reigns totalling 241,200 years across five cities. Prior scholarship (Vondoom, 2026) demonstrated that dividing these figures by one Sumerian sar (3,600)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 xml:space="preserve">the unit identified by Jacobsen (1939) as the encoding base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yields historically plausible individual reign lengths of 5</w:t>
            </w:r>
            <w:r>
              <w:rPr>
                <w:rFonts w:ascii="Arial" w:hAnsi="Arial" w:hint="default"/>
                <w:sz w:val="20"/>
                <w:szCs w:val="20"/>
                <w:shd w:val="nil" w:color="auto" w:fill="auto"/>
                <w:rtl w:val="0"/>
                <w:lang w:val="de-DE"/>
              </w:rPr>
              <w:t>–</w:t>
            </w:r>
            <w:r>
              <w:rPr>
                <w:rFonts w:ascii="Arial" w:hAnsi="Arial"/>
                <w:sz w:val="20"/>
                <w:szCs w:val="20"/>
                <w:shd w:val="nil" w:color="auto" w:fill="auto"/>
                <w:rtl w:val="0"/>
                <w:lang w:val="en-US"/>
              </w:rPr>
              <w:t xml:space="preserve">12 years. The present paper extends that analysis by applying five additional calendar and astronomical divisors drawn from Chinese, Hebrew, Hindu, and precession-based frameworks, and evaluating the results against three criteria: mathematical plausibility, biological plausibility of individual reign lengths, and archaeological plausibility of the implied pre-flood start date. Three findings are new. First, a </w:t>
            </w:r>
            <w:r>
              <w:rPr>
                <w:rFonts w:ascii="Arial" w:hAnsi="Arial" w:hint="default"/>
                <w:sz w:val="20"/>
                <w:szCs w:val="20"/>
                <w:shd w:val="nil" w:color="auto" w:fill="auto"/>
                <w:rtl w:val="0"/>
                <w:lang w:val="de-DE"/>
              </w:rPr>
              <w:t>÷</w:t>
            </w:r>
            <w:r>
              <w:rPr>
                <w:rFonts w:ascii="Arial" w:hAnsi="Arial"/>
                <w:sz w:val="20"/>
                <w:szCs w:val="20"/>
                <w:shd w:val="nil" w:color="auto" w:fill="auto"/>
                <w:rtl w:val="0"/>
                <w:lang w:val="fr-FR"/>
              </w:rPr>
              <w:t xml:space="preserve">360 correction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 xml:space="preserve">grounded independently in the Hebrew prophetic year, the Hindu divine-year conversion factor, and Babylonian degree-circle mathematics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 xml:space="preserve">yields 670 corrected years and a pre-flood start of approximately 3,570 BCE, placing the earliest named kings in the Late Uruk / Uruk Expansion period. Second, a </w:t>
            </w:r>
            <w:r>
              <w:rPr>
                <w:rFonts w:ascii="Arial" w:hAnsi="Arial" w:hint="default"/>
                <w:sz w:val="20"/>
                <w:szCs w:val="20"/>
                <w:shd w:val="nil" w:color="auto" w:fill="auto"/>
                <w:rtl w:val="0"/>
                <w:lang w:val="de-DE"/>
              </w:rPr>
              <w:t>÷</w:t>
            </w:r>
            <w:r>
              <w:rPr>
                <w:rFonts w:ascii="Arial" w:hAnsi="Arial"/>
                <w:sz w:val="20"/>
                <w:szCs w:val="20"/>
                <w:shd w:val="nil" w:color="auto" w:fill="auto"/>
                <w:rtl w:val="0"/>
                <w:lang w:val="en-US"/>
              </w:rPr>
              <w:t>720 correction (12 Chinese Jiazi cycles) yields 335 years and a start of approximately 3,235 BCE (Late Uruk / Jemdet Nasr), with individual corrected reigns of 26</w:t>
            </w:r>
            <w:r>
              <w:rPr>
                <w:rFonts w:ascii="Arial" w:hAnsi="Arial" w:hint="default"/>
                <w:sz w:val="20"/>
                <w:szCs w:val="20"/>
                <w:shd w:val="nil" w:color="auto" w:fill="auto"/>
                <w:rtl w:val="0"/>
                <w:lang w:val="de-DE"/>
              </w:rPr>
              <w:t>–</w:t>
            </w:r>
            <w:r>
              <w:rPr>
                <w:rFonts w:ascii="Arial" w:hAnsi="Arial"/>
                <w:sz w:val="20"/>
                <w:szCs w:val="20"/>
                <w:shd w:val="nil" w:color="auto" w:fill="auto"/>
                <w:rtl w:val="0"/>
                <w:lang w:val="en-US"/>
              </w:rPr>
              <w:t xml:space="preserve">60 years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plausible for early kingship. Third, the precession-degree test (</w:t>
            </w:r>
            <w:r>
              <w:rPr>
                <w:rFonts w:ascii="Arial" w:hAnsi="Arial" w:hint="default"/>
                <w:sz w:val="20"/>
                <w:szCs w:val="20"/>
                <w:shd w:val="nil" w:color="auto" w:fill="auto"/>
                <w:rtl w:val="0"/>
                <w:lang w:val="de-DE"/>
              </w:rPr>
              <w:t>÷</w:t>
            </w:r>
            <w:r>
              <w:rPr>
                <w:rFonts w:ascii="Arial" w:hAnsi="Arial"/>
                <w:sz w:val="20"/>
                <w:szCs w:val="20"/>
                <w:shd w:val="nil" w:color="auto" w:fill="auto"/>
                <w:rtl w:val="0"/>
                <w:lang w:val="en-US"/>
              </w:rPr>
              <w:t>72) identifies the same two kings as the sar analysis (En-men-dur-ana; Ubara-Tutu) as outliers, confirming their anomalous encoding status across two mathematically independent frameworks. These three results are integrated into a Three-Level Compression Model: Level 1 (</w:t>
            </w:r>
            <w:r>
              <w:rPr>
                <w:rFonts w:ascii="Arial" w:hAnsi="Arial" w:hint="default"/>
                <w:sz w:val="20"/>
                <w:szCs w:val="20"/>
                <w:shd w:val="nil" w:color="auto" w:fill="auto"/>
                <w:rtl w:val="0"/>
                <w:lang w:val="de-DE"/>
              </w:rPr>
              <w:t>÷</w:t>
            </w:r>
            <w:r>
              <w:rPr>
                <w:rFonts w:ascii="Arial" w:hAnsi="Arial"/>
                <w:sz w:val="20"/>
                <w:szCs w:val="20"/>
                <w:shd w:val="nil" w:color="auto" w:fill="auto"/>
                <w:rtl w:val="0"/>
                <w:lang w:val="en-US"/>
              </w:rPr>
              <w:t>3,600) recovers individual reign lengths; Level 2 (</w:t>
            </w:r>
            <w:r>
              <w:rPr>
                <w:rFonts w:ascii="Arial" w:hAnsi="Arial" w:hint="default"/>
                <w:sz w:val="20"/>
                <w:szCs w:val="20"/>
                <w:shd w:val="nil" w:color="auto" w:fill="auto"/>
                <w:rtl w:val="0"/>
                <w:lang w:val="de-DE"/>
              </w:rPr>
              <w:t>÷</w:t>
            </w:r>
            <w:r>
              <w:rPr>
                <w:rFonts w:ascii="Arial" w:hAnsi="Arial"/>
                <w:sz w:val="20"/>
                <w:szCs w:val="20"/>
                <w:shd w:val="nil" w:color="auto" w:fill="auto"/>
                <w:rtl w:val="0"/>
                <w:lang w:val="en-US"/>
              </w:rPr>
              <w:t>720) recovers plausible upper-range individual reigns; Level 3 (</w:t>
            </w:r>
            <w:r>
              <w:rPr>
                <w:rFonts w:ascii="Arial" w:hAnsi="Arial" w:hint="default"/>
                <w:sz w:val="20"/>
                <w:szCs w:val="20"/>
                <w:shd w:val="nil" w:color="auto" w:fill="auto"/>
                <w:rtl w:val="0"/>
                <w:lang w:val="de-DE"/>
              </w:rPr>
              <w:t>÷</w:t>
            </w:r>
            <w:r>
              <w:rPr>
                <w:rFonts w:ascii="Arial" w:hAnsi="Arial"/>
                <w:sz w:val="20"/>
                <w:szCs w:val="20"/>
                <w:shd w:val="nil" w:color="auto" w:fill="auto"/>
                <w:rtl w:val="0"/>
                <w:lang w:val="en-US"/>
              </w:rPr>
              <w:t xml:space="preserve">360) recovers dynasty spans consistent with the Egyptian name-compression parallel. Berossus's independent antediluvian total of 432,000 years </w:t>
            </w:r>
            <w:r>
              <w:rPr>
                <w:rFonts w:ascii="Arial" w:hAnsi="Arial" w:hint="default"/>
                <w:sz w:val="20"/>
                <w:szCs w:val="20"/>
                <w:shd w:val="nil" w:color="auto" w:fill="auto"/>
                <w:rtl w:val="0"/>
                <w:lang w:val="de-DE"/>
              </w:rPr>
              <w:t xml:space="preserve">÷ </w:t>
            </w:r>
            <w:r>
              <w:rPr>
                <w:rFonts w:ascii="Arial" w:hAnsi="Arial"/>
                <w:sz w:val="20"/>
                <w:szCs w:val="20"/>
                <w:shd w:val="nil" w:color="auto" w:fill="auto"/>
                <w:rtl w:val="0"/>
                <w:lang w:val="en-US"/>
              </w:rPr>
              <w:t xml:space="preserve">3,600 = 120 years for ten kings (~12 years average), cross-validating the sar correction and connecting it to the Hindu Kali Yuga figure (432,000 = 120 sars). A Genesis 5 parallel analysis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 xml:space="preserve">converting Masoretic text figures from lunar months to solar years </w:t>
            </w:r>
            <w:r>
              <w:rPr>
                <w:rFonts w:ascii="Arial" w:hAnsi="Arial" w:hint="default"/>
                <w:sz w:val="20"/>
                <w:szCs w:val="20"/>
                <w:shd w:val="nil" w:color="auto" w:fill="auto"/>
                <w:rtl w:val="0"/>
                <w:lang w:val="en-US"/>
              </w:rPr>
              <w:t xml:space="preserve">— </w:t>
            </w:r>
            <w:r>
              <w:rPr>
                <w:rFonts w:ascii="Arial" w:hAnsi="Arial"/>
                <w:sz w:val="20"/>
                <w:szCs w:val="20"/>
                <w:shd w:val="nil" w:color="auto" w:fill="auto"/>
                <w:rtl w:val="0"/>
                <w:lang w:val="en-US"/>
              </w:rPr>
              <w:t>produces biologically plausible lifespans of 30</w:t>
            </w:r>
            <w:r>
              <w:rPr>
                <w:rFonts w:ascii="Arial" w:hAnsi="Arial" w:hint="default"/>
                <w:sz w:val="20"/>
                <w:szCs w:val="20"/>
                <w:shd w:val="nil" w:color="auto" w:fill="auto"/>
                <w:rtl w:val="0"/>
                <w:lang w:val="de-DE"/>
              </w:rPr>
              <w:t>–</w:t>
            </w:r>
            <w:r>
              <w:rPr>
                <w:rFonts w:ascii="Arial" w:hAnsi="Arial"/>
                <w:sz w:val="20"/>
                <w:szCs w:val="20"/>
                <w:shd w:val="nil" w:color="auto" w:fill="auto"/>
                <w:rtl w:val="0"/>
                <w:lang w:val="en-US"/>
              </w:rPr>
              <w:t>81 years, confirming the same compression mechanism in a cognate Hebrew literary tradition. All three new corrections are proposed as analytical hypotheses, not demonstrated facts; their evidential weight is assessed and limitations are explicitly stated.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tl w:val="0"/>
              </w:rPr>
            </w:pPr>
            <w:r>
              <w:rPr>
                <w:rFonts w:ascii="Arial" w:hAnsi="Arial"/>
                <w:i w:val="1"/>
                <w:iCs w:val="1"/>
                <w:sz w:val="19"/>
                <w:szCs w:val="19"/>
                <w:shd w:val="nil" w:color="auto" w:fill="auto"/>
                <w:rtl w:val="0"/>
                <w:lang w:val="en-US"/>
              </w:rPr>
              <w:t>Keywords: Sumerian Kings List, multi-calendar analysis, sexagesimal mathematics, Chinese Jiazi cycle, Hebrew prophetic year, Hindu Yuga system, precession of the equinoxes, Berossus, Genesis 5, dynasty compression, Deep Symbolic Systems Model</w:t>
            </w: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hanging="108"/>
        <w:rPr>
          <w:rFonts w:ascii="Verdana" w:cs="Verdana" w:hAnsi="Verdana" w:eastAsia="Verdana"/>
        </w:rPr>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rFonts w:ascii="Verdana" w:cs="Verdana" w:hAnsi="Verdana" w:eastAsia="Verdana"/>
          <w:i w:val="1"/>
          <w:iCs w:val="1"/>
        </w:rPr>
      </w:pPr>
      <w:r>
        <w:rPr>
          <w:rFonts w:ascii="Verdana" w:hAnsi="Verdana"/>
          <w:i w:val="1"/>
          <w:iCs w:val="1"/>
          <w:sz w:val="20"/>
          <w:szCs w:val="20"/>
          <w:u w:color="000000"/>
          <w:rtl w:val="0"/>
          <w:lang w:val="en-US"/>
        </w:rPr>
        <w:t>Scope note: This paper proposes and evaluates new analytical hypotheses regarding the encoding of SKL pre-flood reign lengths. It builds on, but does not duplicate, the textual and three-layer structural argument in Vondoom (2026)</w:t>
      </w:r>
      <w:r>
        <w:rPr>
          <w:rFonts w:ascii="Verdana" w:hAnsi="Verdana"/>
          <w:i w:val="1"/>
          <w:iCs w:val="1"/>
          <w:rtl w:val="0"/>
          <w:lang w:val="de-DE"/>
        </w:rPr>
        <w:t xml:space="preserve"> </w:t>
      </w:r>
      <w:r>
        <w:rPr>
          <w:rStyle w:val="Hyperlink.1"/>
          <w:rFonts w:ascii="Verdana" w:cs="Verdana" w:hAnsi="Verdana" w:eastAsia="Verdana"/>
          <w:i w:val="1"/>
          <w:iCs w:val="1"/>
          <w:outline w:val="0"/>
          <w:color w:val="0563c1"/>
          <w:u w:val="none" w:color="0563c1"/>
          <w:lang w:val="en-US"/>
          <w14:textFill>
            <w14:solidFill>
              <w14:srgbClr w14:val="0563C1"/>
            </w14:solidFill>
          </w14:textFill>
        </w:rPr>
        <w:fldChar w:fldCharType="begin" w:fldLock="0"/>
      </w:r>
      <w:r>
        <w:rPr>
          <w:rStyle w:val="Hyperlink.1"/>
          <w:rFonts w:ascii="Verdana" w:cs="Verdana" w:hAnsi="Verdana" w:eastAsia="Verdana"/>
          <w:i w:val="1"/>
          <w:iCs w:val="1"/>
          <w:outline w:val="0"/>
          <w:color w:val="0563c1"/>
          <w:u w:val="none" w:color="0563c1"/>
          <w:lang w:val="en-US"/>
          <w14:textFill>
            <w14:solidFill>
              <w14:srgbClr w14:val="0563C1"/>
            </w14:solidFill>
          </w14:textFill>
        </w:rPr>
        <w:instrText xml:space="preserve"> HYPERLINK "https://doi.org/10.6084/m9.figshare.32415420"</w:instrText>
      </w:r>
      <w:r>
        <w:rPr>
          <w:rStyle w:val="Hyperlink.1"/>
          <w:rFonts w:ascii="Verdana" w:cs="Verdana" w:hAnsi="Verdana" w:eastAsia="Verdana"/>
          <w:i w:val="1"/>
          <w:iCs w:val="1"/>
          <w:outline w:val="0"/>
          <w:color w:val="0563c1"/>
          <w:u w:val="none" w:color="0563c1"/>
          <w:lang w:val="en-US"/>
          <w14:textFill>
            <w14:solidFill>
              <w14:srgbClr w14:val="0563C1"/>
            </w14:solidFill>
          </w14:textFill>
        </w:rPr>
        <w:fldChar w:fldCharType="separate" w:fldLock="0"/>
      </w:r>
      <w:r>
        <w:rPr>
          <w:rStyle w:val="Hyperlink.1"/>
          <w:rFonts w:ascii="Verdana" w:hAnsi="Verdana"/>
          <w:i w:val="1"/>
          <w:iCs w:val="1"/>
          <w:outline w:val="0"/>
          <w:color w:val="0563c1"/>
          <w:u w:val="none" w:color="0563c1"/>
          <w:rtl w:val="0"/>
          <w:lang w:val="en-US"/>
          <w14:textFill>
            <w14:solidFill>
              <w14:srgbClr w14:val="0563C1"/>
            </w14:solidFill>
          </w14:textFill>
        </w:rPr>
        <w:t>https://doi.org/10.6084/m9.figshare.32415420</w:t>
      </w:r>
      <w:r>
        <w:rPr/>
        <w:fldChar w:fldCharType="end" w:fldLock="0"/>
      </w:r>
      <w:r>
        <w:rPr>
          <w:rStyle w:val="None"/>
          <w:rFonts w:ascii="Verdana" w:hAnsi="Verdana"/>
          <w:i w:val="1"/>
          <w:iCs w:val="1"/>
          <w:rtl w:val="0"/>
          <w:lang w:val="it-IT"/>
        </w:rPr>
        <w:t xml:space="preserve"> </w:t>
      </w:r>
      <w:r>
        <w:rPr>
          <w:rStyle w:val="None"/>
          <w:rFonts w:ascii="Verdana" w:hAnsi="Verdana"/>
          <w:i w:val="1"/>
          <w:iCs w:val="1"/>
          <w:sz w:val="20"/>
          <w:szCs w:val="20"/>
          <w:u w:color="000000"/>
          <w:rtl w:val="0"/>
          <w:lang w:val="en-US"/>
        </w:rPr>
        <w:t>. A reader new to the SKL debate will find sufficient context in Sections 1</w:t>
      </w:r>
      <w:r>
        <w:rPr>
          <w:rStyle w:val="None"/>
          <w:rFonts w:ascii="Verdana" w:hAnsi="Verdana" w:hint="default"/>
          <w:i w:val="1"/>
          <w:iCs w:val="1"/>
          <w:sz w:val="20"/>
          <w:szCs w:val="20"/>
          <w:u w:color="000000"/>
          <w:rtl w:val="0"/>
          <w:lang w:val="de-DE"/>
        </w:rPr>
        <w:t>–</w:t>
      </w:r>
      <w:r>
        <w:rPr>
          <w:rStyle w:val="None"/>
          <w:rFonts w:ascii="Verdana" w:hAnsi="Verdana"/>
          <w:i w:val="1"/>
          <w:iCs w:val="1"/>
          <w:sz w:val="20"/>
          <w:szCs w:val="20"/>
          <w:u w:color="000000"/>
          <w:rtl w:val="0"/>
          <w:lang w:val="en-US"/>
        </w:rPr>
        <w:t>2 to evaluate the mathematical arguments independently; the full textual and DSSM framing is developed in Vondoom (2026), cited throughout. The Three-Level Compression Model developed in Section 7 is the primary theoretical contribution of the present paper.</w:t>
      </w: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r>
        <w:rPr>
          <w:rStyle w:val="None"/>
          <w:rFonts w:ascii="Verdana" w:hAnsi="Verdana"/>
          <w:b w:val="0"/>
          <w:bCs w:val="0"/>
          <w:rtl w:val="0"/>
          <w:lang w:val="fr-FR"/>
        </w:rPr>
        <w:t>1. Introduction</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The Sumerian Kings List (SKL) is among the most analytically contested documents in ancient history. Its pre-flood section records eight kings ruling for a combined 241,200 years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figures that have provoked two dominant and equally unsatisfying responses in scholarship: dismissal as mythology (Van De Mieroop, 2007; Oppenheim, 1977) and literalist acceptance (Sitchin, 1976). A third approach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treating the numbers as a solvable encoding problem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has attracted less sustained attention, though its foundations are available in Jacobsen's (1939) critical edition and Friberg's (1984) mathematical analysis.</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Vondoom (2026) formalised this third approach, arguing that three converging lines of evidence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Jacobsen's (1939) textual finding that the antediluvian section is a later scribal addition, the mathematical signature that all but two reigns are exact multiples of 3,600 (one Sumerian sar), and a dynasty-compression hypothesis modelled on Egyptian parallel cases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recover individual reign lengths of 5</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12 years from the pre-flood data. That argument established the sar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3,600) as the primary corrective unit and provided archaeological anchoring for the corrected 67-year pre-flood window.</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The present paper asks a different question: what happens when the same pre-flood reign-length data is subjected to calendar-system divisors drawn from traditions entirely independent of the Sumerian scribal context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Chinese, Hebrew, Hindu, and astronomical? Does multi-calendar analysis validate, challenge, or extend the sar-correction result? And does the convergence or divergence of results across traditions tell us anything new about how the encoding was structured?</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The answer is that multi-calendar analysis extends the result in three concrete ways. First, two new divisors </w:t>
      </w:r>
      <w:r>
        <w:rPr>
          <w:rStyle w:val="None"/>
          <w:rFonts w:ascii="Verdana" w:hAnsi="Verdana" w:hint="default"/>
          <w:b w:val="0"/>
          <w:bCs w:val="0"/>
          <w:sz w:val="22"/>
          <w:szCs w:val="22"/>
          <w:rtl w:val="0"/>
          <w:lang w:val="en-US"/>
        </w:rPr>
        <w:t>— ÷</w:t>
      </w:r>
      <w:r>
        <w:rPr>
          <w:rStyle w:val="None"/>
          <w:rFonts w:ascii="Verdana" w:hAnsi="Verdana"/>
          <w:b w:val="0"/>
          <w:bCs w:val="0"/>
          <w:sz w:val="22"/>
          <w:szCs w:val="22"/>
          <w:rtl w:val="0"/>
          <w:lang w:val="en-US"/>
        </w:rPr>
        <w:t xml:space="preserve">360 and </w:t>
      </w:r>
      <w:r>
        <w:rPr>
          <w:rStyle w:val="None"/>
          <w:rFonts w:ascii="Verdana" w:hAnsi="Verdana" w:hint="default"/>
          <w:b w:val="0"/>
          <w:bCs w:val="0"/>
          <w:sz w:val="22"/>
          <w:szCs w:val="22"/>
          <w:rtl w:val="0"/>
        </w:rPr>
        <w:t>÷</w:t>
      </w:r>
      <w:r>
        <w:rPr>
          <w:rStyle w:val="None"/>
          <w:rFonts w:ascii="Verdana" w:hAnsi="Verdana"/>
          <w:b w:val="0"/>
          <w:bCs w:val="0"/>
          <w:sz w:val="22"/>
          <w:szCs w:val="22"/>
          <w:rtl w:val="0"/>
        </w:rPr>
        <w:t xml:space="preserve">720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produce results that are neither implausible (like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12 or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60) nor identical to the sar correction, but occupy an intermediate analytical space consistent with a previously unarticulated dynasty-compression model. Second, an astronomical precession test independently identifies the same two outlier kings as the sar analysis, strengthening the case for heterogeneous encoding within the antediluvian section. Third, the Berossus antediluvian total (432,000 years) </w:t>
      </w:r>
      <w:r>
        <w:rPr>
          <w:rStyle w:val="None"/>
          <w:rFonts w:ascii="Verdana" w:hAnsi="Verdana" w:hint="default"/>
          <w:b w:val="0"/>
          <w:bCs w:val="0"/>
          <w:sz w:val="22"/>
          <w:szCs w:val="22"/>
          <w:rtl w:val="0"/>
        </w:rPr>
        <w:t xml:space="preserve">÷ </w:t>
      </w:r>
      <w:r>
        <w:rPr>
          <w:rStyle w:val="None"/>
          <w:rFonts w:ascii="Verdana" w:hAnsi="Verdana"/>
          <w:b w:val="0"/>
          <w:bCs w:val="0"/>
          <w:sz w:val="22"/>
          <w:szCs w:val="22"/>
          <w:rtl w:val="0"/>
          <w:lang w:val="en-US"/>
        </w:rPr>
        <w:t xml:space="preserve">3,600 produces an average of 12 years per king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consistent with the SKL sar result and simultaneously equal to the Hindu Kali Yuga, establishing a cross-cultural numerical signature that warrants further investigation.</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The paper proceeds as follows. Section 2 summarises the SKL problem and prior work. Sections 3</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6 develop the five analytical frameworks applied. Section 7 presents the master calculation table. Section 8 proposes the Three-Level Compression Model. Section 9 provides archaeological anchoring. Section 10 covers the Berossus cross-validation. Section 11 presents the Genesis 5 Hebrew parallel. Section 12 states explicit limitations. Section 13 discusses implications.</w:t>
      </w: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r>
        <w:rPr>
          <w:rStyle w:val="None"/>
          <w:rFonts w:ascii="Verdana" w:hAnsi="Verdana"/>
          <w:b w:val="0"/>
          <w:bCs w:val="0"/>
          <w:rtl w:val="0"/>
          <w:lang w:val="en-US"/>
        </w:rPr>
        <w:t>2. The Sumerian Kings List: Problem Statement and Prior Work</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The SKL survives in multiple copies, the most complete being the Weld-Blundell Prism (WB 444, ca. 1800 BCE, Ashmolean Museum), and was most likely first compiled during the Third Dynasty of Ur (ca. 2112</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2004 BCE). Its eight pre-flood kings rule for between 18,600 and 43,200 years each, with a combined total of 241,200 years across five named cities: Eridu, Bad-tibira, Larak, Sippar, and Shuruppak (Jacobsen, 1939; Glassner, 2004).</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Jacobsen's (1939) critical edition established two findings that are foundational to all subsequent mathematical analysis. First, the antediluvian section was composed by a different scribe from different source material and grafted onto an older postdiluvian document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it is a later addition, not an original component of the SKL. Second, all but two of the eight pre-flood reigns are exact multiples of 3,600 (one sar), a mathematical signature identified independently by Friberg (1984) as evidence of scribal encoding conventions rather than historical measurement. Vondoom (2026) synthesised these findings with a dynasty-compression hypothesis and a DSSM symbolic-legitimacy analysis to produce the first three-layer account of the SKL's pre-flood data as distorted but recoverable historical record.</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One earlier corrective attempt merits acknowledgement: L</w:t>
      </w:r>
      <w:r>
        <w:rPr>
          <w:rStyle w:val="None"/>
          <w:rFonts w:ascii="Verdana" w:hAnsi="Verdana" w:hint="default"/>
          <w:b w:val="0"/>
          <w:bCs w:val="0"/>
          <w:sz w:val="22"/>
          <w:szCs w:val="22"/>
          <w:rtl w:val="0"/>
          <w:lang w:val="es-ES_tradnl"/>
        </w:rPr>
        <w:t>ó</w:t>
      </w:r>
      <w:r>
        <w:rPr>
          <w:rStyle w:val="None"/>
          <w:rFonts w:ascii="Verdana" w:hAnsi="Verdana"/>
          <w:b w:val="0"/>
          <w:bCs w:val="0"/>
          <w:sz w:val="22"/>
          <w:szCs w:val="22"/>
          <w:rtl w:val="0"/>
          <w:lang w:val="en-US"/>
        </w:rPr>
        <w:t>pez (1998) applied the sar divisor systematically to all eight entries and arrived at the same 67-sar total as Vondoom (2026). The present paper takes the sar correction as the established analytical baseline and focuses on what multi-calendar analysis adds to, or reveals about, that baseline.</w:t>
      </w:r>
    </w:p>
    <w:p>
      <w:pPr>
        <w:pStyle w:val="Heading"/>
        <w:rPr>
          <w:rStyle w:val="None"/>
          <w:rFonts w:ascii="Verdana" w:cs="Verdana" w:hAnsi="Verdana" w:eastAsia="Verdana"/>
          <w:b w:val="0"/>
          <w:bCs w:val="0"/>
        </w:rPr>
      </w:pPr>
      <w:r>
        <w:rPr>
          <w:rStyle w:val="None"/>
          <w:rFonts w:ascii="Verdana" w:hAnsi="Verdana"/>
          <w:b w:val="0"/>
          <w:bCs w:val="0"/>
          <w:rtl w:val="0"/>
          <w:lang w:val="en-US"/>
        </w:rPr>
        <w:t>3. Analytical Framework and Evaluation Criteria</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Five calendar and mathematical frameworks are applied to the SKL pre-flood data in this paper. For each, a divisor is identified, applied to all eight reigns, and evaluated against three criteria:</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(1) Mathematical plausibility: does the divisor follow from the calendar system's internal logic, and does it produce clean or near-clean results for the majority of entries?</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(2) Biological plausibility: are the corrected figures consistent with attested human governance durations (individual reigns typically 8</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30 years for city-state rulers in the Early Dynastic period; exceptionally long reigns up to 40</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60 years)?</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(3) Archaeological plausibility: does the total corrected pre-flood period, when anchored to the Shuruppak flood stratum (~2,900</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2,800 BCE; Nissen, 1988), imply a start date consistent with the known emergence of city-state governance in Mesopotamia?</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Only the sar correction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3,600) passes all three criteria simultaneously. The new corrections at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360 and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720 pass criteria (1) and (3), and pass criterion (2) at the level of dynasty spans rather than individual reigns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a distinction developed in the Three-Level Compression Model (Section 8). Corrections at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12 and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60 fail criteria (2) and (3) and are included in the master table for completeness but not developed analytically.</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A significant analytical caveat applies throughout: the paper works with the established textual data and the Sumerian mathematical tradition as described by Jacobsen (1939) and Friberg (1984). The multi-calendar divisors are applied as an analytical exercise to test cross-cultural convergence; they do not imply that Sumerian scribes used Chinese, Hebrew, or Hindu calendars. Where convergence occurs, it reflects shared mathematical properties of the sexagesimal system and the astronomical cycles underlying multiple ancient calendar traditions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not direct cultural transmission.</w:t>
      </w:r>
    </w:p>
    <w:p>
      <w:pPr>
        <w:pStyle w:val="Heading"/>
        <w:rPr>
          <w:rStyle w:val="None"/>
          <w:rFonts w:ascii="Verdana" w:cs="Verdana" w:hAnsi="Verdana" w:eastAsia="Verdana"/>
          <w:b w:val="0"/>
          <w:bCs w:val="0"/>
        </w:rPr>
      </w:pPr>
      <w:r>
        <w:rPr>
          <w:rStyle w:val="None"/>
          <w:rFonts w:ascii="Verdana" w:hAnsi="Verdana"/>
          <w:b w:val="0"/>
          <w:bCs w:val="0"/>
          <w:rtl w:val="0"/>
          <w:lang w:val="en-US"/>
        </w:rPr>
        <w:t>4. The Sumerian Sar: Reference Baseline</w:t>
      </w:r>
    </w:p>
    <w:p>
      <w:pPr>
        <w:pStyle w:val="Heading"/>
        <w:rPr>
          <w:rStyle w:val="None"/>
          <w:rFonts w:ascii="Verdana" w:cs="Verdana" w:hAnsi="Verdana" w:eastAsia="Verdana"/>
          <w:b w:val="0"/>
          <w:bCs w:val="0"/>
        </w:rPr>
      </w:pPr>
      <w:r>
        <w:rPr>
          <w:rStyle w:val="None"/>
          <w:rFonts w:ascii="Verdana" w:hAnsi="Verdana"/>
          <w:b w:val="0"/>
          <w:bCs w:val="0"/>
          <w:sz w:val="22"/>
          <w:szCs w:val="22"/>
          <w:rtl w:val="0"/>
          <w:lang w:val="it-IT"/>
        </w:rPr>
        <w:t>The Sumerian sar (</w:t>
      </w:r>
      <w:r>
        <w:rPr>
          <w:rStyle w:val="None"/>
          <w:rFonts w:ascii="Arial Unicode MS" w:cs="Arial Unicode MS" w:hAnsi="Arial Unicode MS" w:eastAsia="Arial Unicode MS" w:hint="eastAsia"/>
          <w:b w:val="0"/>
          <w:bCs w:val="0"/>
          <w:i w:val="0"/>
          <w:iCs w:val="0"/>
          <w:sz w:val="22"/>
          <w:szCs w:val="22"/>
          <w:rtl w:val="0"/>
        </w:rPr>
        <w:t>𒊓</w:t>
      </w:r>
      <w:r>
        <w:rPr>
          <w:rStyle w:val="None"/>
          <w:rFonts w:ascii="Verdana" w:hAnsi="Verdana"/>
          <w:b w:val="0"/>
          <w:bCs w:val="0"/>
          <w:sz w:val="22"/>
          <w:szCs w:val="22"/>
          <w:rtl w:val="0"/>
          <w:lang w:val="en-US"/>
        </w:rPr>
        <w:t xml:space="preserve">) = 3,600 is the standard large-number unit of the sexagesimal administrative system: 1 sosse (60) </w:t>
      </w:r>
      <w:r>
        <w:rPr>
          <w:rStyle w:val="None"/>
          <w:rFonts w:ascii="Verdana" w:hAnsi="Verdana" w:hint="default"/>
          <w:b w:val="0"/>
          <w:bCs w:val="0"/>
          <w:sz w:val="22"/>
          <w:szCs w:val="22"/>
          <w:rtl w:val="0"/>
        </w:rPr>
        <w:t xml:space="preserve">× </w:t>
      </w:r>
      <w:r>
        <w:rPr>
          <w:rStyle w:val="None"/>
          <w:rFonts w:ascii="Verdana" w:hAnsi="Verdana"/>
          <w:b w:val="0"/>
          <w:bCs w:val="0"/>
          <w:sz w:val="22"/>
          <w:szCs w:val="22"/>
          <w:rtl w:val="0"/>
          <w:lang w:val="en-US"/>
        </w:rPr>
        <w:t xml:space="preserve">1 ner (60) = 1 sar (3,600). Friberg (1984) confirmed that numbers systematically constructed from a single large unit are a scribal convention encoding the number of units, not a direct measurement. Applied to the SKL data,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3,600 yields reign lengths of 5.2</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12 years and a total of 67 years. Six of eight reigns are exact sar multiples; the two exceptions (En-men-dur-ana, 21,000; Ubara-Tutu, 18,600) cluster around 5</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6 sars, consistent with the same unit applied less precisely or drawn from a different source (Vondoom, 2026).</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This baseline is treated as established in the present paper. All new calculations in Sections 5</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6 are evaluated relative to it.</w:t>
      </w:r>
    </w:p>
    <w:p>
      <w:pPr>
        <w:pStyle w:val="Heading"/>
        <w:rPr>
          <w:rStyle w:val="None"/>
          <w:rFonts w:ascii="Verdana" w:cs="Verdana" w:hAnsi="Verdana" w:eastAsia="Verdana"/>
          <w:b w:val="0"/>
          <w:bCs w:val="0"/>
        </w:rPr>
      </w:pPr>
      <w:r>
        <w:rPr>
          <w:rStyle w:val="None"/>
          <w:rFonts w:ascii="Verdana" w:hAnsi="Verdana"/>
          <w:b w:val="0"/>
          <w:bCs w:val="0"/>
          <w:rtl w:val="0"/>
          <w:lang w:val="en-US"/>
        </w:rPr>
        <w:t>5. The Chinese Sexagenary System</w:t>
      </w:r>
    </w:p>
    <w:p>
      <w:pPr>
        <w:pStyle w:val="Heading 2"/>
        <w:rPr>
          <w:rStyle w:val="None"/>
          <w:rFonts w:ascii="Verdana" w:cs="Verdana" w:hAnsi="Verdana" w:eastAsia="Verdana"/>
          <w:b w:val="0"/>
          <w:bCs w:val="0"/>
        </w:rPr>
      </w:pPr>
      <w:r>
        <w:rPr>
          <w:rStyle w:val="None"/>
          <w:rFonts w:ascii="Verdana" w:hAnsi="Verdana"/>
          <w:b w:val="0"/>
          <w:bCs w:val="0"/>
          <w:rtl w:val="0"/>
          <w:lang w:val="it-IT"/>
        </w:rPr>
        <w:t>5.1 The Jiazi Cycle (</w:t>
      </w:r>
      <w:r>
        <w:rPr>
          <w:rStyle w:val="None"/>
          <w:rFonts w:ascii="Verdana" w:hAnsi="Verdana" w:hint="default"/>
          <w:b w:val="0"/>
          <w:bCs w:val="0"/>
          <w:rtl w:val="0"/>
          <w:lang w:val="it-IT"/>
        </w:rPr>
        <w:t>÷</w:t>
      </w:r>
      <w:r>
        <w:rPr>
          <w:rStyle w:val="None"/>
          <w:rFonts w:ascii="Verdana" w:hAnsi="Verdana"/>
          <w:b w:val="0"/>
          <w:bCs w:val="0"/>
          <w:rtl w:val="0"/>
          <w:lang w:val="it-IT"/>
        </w:rPr>
        <w:t>60)</w:t>
      </w:r>
    </w:p>
    <w:p>
      <w:pPr>
        <w:pStyle w:val="Heading 2"/>
        <w:rPr>
          <w:rStyle w:val="None"/>
          <w:rFonts w:ascii="Verdana" w:cs="Verdana" w:hAnsi="Verdana" w:eastAsia="Verdana"/>
          <w:b w:val="0"/>
          <w:bCs w:val="0"/>
        </w:rPr>
      </w:pPr>
      <w:r>
        <w:rPr>
          <w:rStyle w:val="None"/>
          <w:rFonts w:ascii="Verdana" w:hAnsi="Verdana"/>
          <w:b w:val="0"/>
          <w:bCs w:val="0"/>
          <w:sz w:val="22"/>
          <w:szCs w:val="22"/>
          <w:rtl w:val="0"/>
          <w:lang w:val="en-US"/>
        </w:rPr>
        <w:t>The Chinese calendar organises years in a sixty-year cycle (</w:t>
      </w:r>
      <w:r>
        <w:rPr>
          <w:rStyle w:val="None"/>
          <w:rFonts w:eastAsia="Arial Unicode MS" w:hint="eastAsia"/>
          <w:b w:val="0"/>
          <w:bCs w:val="0"/>
          <w:sz w:val="22"/>
          <w:szCs w:val="22"/>
          <w:rtl w:val="0"/>
          <w:lang w:val="ja-JP" w:eastAsia="ja-JP"/>
        </w:rPr>
        <w:t>甲子</w:t>
      </w:r>
      <w:r>
        <w:rPr>
          <w:rStyle w:val="None"/>
          <w:rFonts w:ascii="Verdana" w:hAnsi="Verdana"/>
          <w:b w:val="0"/>
          <w:bCs w:val="0"/>
          <w:sz w:val="22"/>
          <w:szCs w:val="22"/>
          <w:rtl w:val="0"/>
          <w:lang w:val="en-US"/>
        </w:rPr>
        <w:t xml:space="preserve">, Jiazi) combining the Ten Heavenly Stems and Twelve Earthly Branches. The number 60 is the Chinese sexagesimal base. Applied to the SKL pre-flood data, </w:t>
      </w:r>
      <w:r>
        <w:rPr>
          <w:rStyle w:val="None"/>
          <w:rFonts w:ascii="Verdana" w:hAnsi="Verdana" w:hint="default"/>
          <w:b w:val="0"/>
          <w:bCs w:val="0"/>
          <w:sz w:val="22"/>
          <w:szCs w:val="22"/>
          <w:rtl w:val="0"/>
          <w:lang w:val="it-IT"/>
        </w:rPr>
        <w:t>÷</w:t>
      </w:r>
      <w:r>
        <w:rPr>
          <w:rStyle w:val="None"/>
          <w:rFonts w:ascii="Verdana" w:hAnsi="Verdana"/>
          <w:b w:val="0"/>
          <w:bCs w:val="0"/>
          <w:sz w:val="22"/>
          <w:szCs w:val="22"/>
          <w:rtl w:val="0"/>
          <w:lang w:val="en-US"/>
        </w:rPr>
        <w:t>60 yields 310</w:t>
      </w:r>
      <w:r>
        <w:rPr>
          <w:rStyle w:val="None"/>
          <w:rFonts w:ascii="Verdana" w:hAnsi="Verdana" w:hint="default"/>
          <w:b w:val="0"/>
          <w:bCs w:val="0"/>
          <w:sz w:val="22"/>
          <w:szCs w:val="22"/>
          <w:rtl w:val="0"/>
          <w:lang w:val="it-IT"/>
        </w:rPr>
        <w:t>–</w:t>
      </w:r>
      <w:r>
        <w:rPr>
          <w:rStyle w:val="None"/>
          <w:rFonts w:ascii="Verdana" w:hAnsi="Verdana"/>
          <w:b w:val="0"/>
          <w:bCs w:val="0"/>
          <w:sz w:val="22"/>
          <w:szCs w:val="22"/>
          <w:rtl w:val="0"/>
          <w:lang w:val="en-US"/>
        </w:rPr>
        <w:t xml:space="preserve">720 years per reign and 4,020 years total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implausible for individual reigns but not for compressed dynastic lineages. The key analytical value of the Jiazi here is not as a direct correction but as structural validation: the post-flood First Dynasty of Kish has been verified against the ETCSL translation (Electronic Text Corpus of Sumerian Literature, Oxford; Jacobsen, 1939). The 23 Kish I kings total 24,510 years. The opening kings are: Jucur (1,200 years), Kullassina-bel (960 years), Nanjiclicma (670 years), and En-tarah-ana (420 years). Division by 60 yields 20, 16, 11.2, and 7 years respectively. Of 23 Kish I kings, 18 are exact </w:t>
      </w:r>
      <w:r>
        <w:rPr>
          <w:rStyle w:val="None"/>
          <w:rFonts w:ascii="Verdana" w:hAnsi="Verdana" w:hint="default"/>
          <w:b w:val="0"/>
          <w:bCs w:val="0"/>
          <w:sz w:val="22"/>
          <w:szCs w:val="22"/>
          <w:rtl w:val="0"/>
          <w:lang w:val="it-IT"/>
        </w:rPr>
        <w:t>÷</w:t>
      </w:r>
      <w:r>
        <w:rPr>
          <w:rStyle w:val="None"/>
          <w:rFonts w:ascii="Verdana" w:hAnsi="Verdana"/>
          <w:b w:val="0"/>
          <w:bCs w:val="0"/>
          <w:sz w:val="22"/>
          <w:szCs w:val="22"/>
          <w:rtl w:val="0"/>
          <w:lang w:val="en-US"/>
        </w:rPr>
        <w:t xml:space="preserve">60 multiples; five are not (Nanjiclicma 670, Balih 400, Zamug 140, Tizqar 305, Aga 625). The </w:t>
      </w:r>
      <w:r>
        <w:rPr>
          <w:rStyle w:val="None"/>
          <w:rFonts w:ascii="Verdana" w:hAnsi="Verdana" w:hint="default"/>
          <w:b w:val="0"/>
          <w:bCs w:val="0"/>
          <w:sz w:val="22"/>
          <w:szCs w:val="22"/>
          <w:rtl w:val="0"/>
          <w:lang w:val="it-IT"/>
        </w:rPr>
        <w:t>÷</w:t>
      </w:r>
      <w:r>
        <w:rPr>
          <w:rStyle w:val="None"/>
          <w:rFonts w:ascii="Verdana" w:hAnsi="Verdana"/>
          <w:b w:val="0"/>
          <w:bCs w:val="0"/>
          <w:sz w:val="22"/>
          <w:szCs w:val="22"/>
          <w:rtl w:val="0"/>
          <w:lang w:val="en-US"/>
        </w:rPr>
        <w:t>60 post-flood pattern is therefore less uniform than the pre-flood sar pattern (6/8 exact multiples), a fact acknowledged in the Limitations section. The directional asymmetry stands: the post-flood section encodes in single Jiazi cycles (60), the pre-flood in double Jiazi cycles (3,600 = 60</w:t>
      </w:r>
      <w:r>
        <w:rPr>
          <w:rStyle w:val="None"/>
          <w:rFonts w:ascii="Verdana" w:hAnsi="Verdana" w:hint="default"/>
          <w:b w:val="0"/>
          <w:bCs w:val="0"/>
          <w:sz w:val="22"/>
          <w:szCs w:val="22"/>
          <w:rtl w:val="0"/>
          <w:lang w:val="it-IT"/>
        </w:rPr>
        <w:t>²</w:t>
      </w:r>
      <w:r>
        <w:rPr>
          <w:rStyle w:val="None"/>
          <w:rFonts w:ascii="Verdana" w:hAnsi="Verdana"/>
          <w:b w:val="0"/>
          <w:bCs w:val="0"/>
          <w:sz w:val="22"/>
          <w:szCs w:val="22"/>
          <w:rtl w:val="0"/>
          <w:lang w:val="en-US"/>
        </w:rPr>
        <w:t>), but the post-flood section contains its own outliers analogous to the two pre-flood exceptions.</w:t>
      </w:r>
    </w:p>
    <w:p>
      <w:pPr>
        <w:pStyle w:val="Heading 2"/>
        <w:rPr>
          <w:rStyle w:val="None"/>
          <w:rFonts w:ascii="Verdana" w:cs="Verdana" w:hAnsi="Verdana" w:eastAsia="Verdana"/>
          <w:b w:val="0"/>
          <w:bCs w:val="0"/>
        </w:rPr>
      </w:pPr>
      <w:r>
        <w:rPr>
          <w:rStyle w:val="None"/>
          <w:rFonts w:ascii="Verdana" w:hAnsi="Verdana"/>
          <w:b w:val="0"/>
          <w:bCs w:val="0"/>
          <w:rtl w:val="0"/>
          <w:lang w:val="en-US"/>
        </w:rPr>
        <w:t>5.2 The 12-Jiazi Correction (</w:t>
      </w:r>
      <w:r>
        <w:rPr>
          <w:rStyle w:val="None"/>
          <w:rFonts w:ascii="Verdana" w:hAnsi="Verdana" w:hint="default"/>
          <w:b w:val="0"/>
          <w:bCs w:val="0"/>
          <w:rtl w:val="0"/>
          <w:lang w:val="it-IT"/>
        </w:rPr>
        <w:t>÷</w:t>
      </w:r>
      <w:r>
        <w:rPr>
          <w:rStyle w:val="None"/>
          <w:rFonts w:ascii="Verdana" w:hAnsi="Verdana"/>
          <w:b w:val="0"/>
          <w:bCs w:val="0"/>
          <w:rtl w:val="0"/>
          <w:lang w:val="it-IT"/>
        </w:rPr>
        <w:t>720)</w:t>
      </w:r>
    </w:p>
    <w:p>
      <w:pPr>
        <w:pStyle w:val="Heading 2"/>
        <w:rPr>
          <w:rStyle w:val="None"/>
          <w:rFonts w:ascii="Verdana" w:cs="Verdana" w:hAnsi="Verdana" w:eastAsia="Verdana"/>
          <w:b w:val="0"/>
          <w:bCs w:val="0"/>
        </w:rPr>
      </w:pPr>
      <w:r>
        <w:rPr>
          <w:rStyle w:val="None"/>
          <w:rFonts w:ascii="Verdana" w:hAnsi="Verdana"/>
          <w:b w:val="0"/>
          <w:bCs w:val="0"/>
          <w:sz w:val="22"/>
          <w:szCs w:val="22"/>
          <w:rtl w:val="0"/>
          <w:lang w:val="en-US"/>
        </w:rPr>
        <w:t xml:space="preserve">Twelve Jiazi cycles = 720 years (12 </w:t>
      </w:r>
      <w:r>
        <w:rPr>
          <w:rStyle w:val="None"/>
          <w:rFonts w:ascii="Verdana" w:hAnsi="Verdana" w:hint="default"/>
          <w:b w:val="0"/>
          <w:bCs w:val="0"/>
          <w:sz w:val="22"/>
          <w:szCs w:val="22"/>
          <w:rtl w:val="0"/>
          <w:lang w:val="it-IT"/>
        </w:rPr>
        <w:t xml:space="preserve">× </w:t>
      </w:r>
      <w:r>
        <w:rPr>
          <w:rStyle w:val="None"/>
          <w:rFonts w:ascii="Verdana" w:hAnsi="Verdana"/>
          <w:b w:val="0"/>
          <w:bCs w:val="0"/>
          <w:sz w:val="22"/>
          <w:szCs w:val="22"/>
          <w:rtl w:val="0"/>
          <w:lang w:val="en-US"/>
        </w:rPr>
        <w:t xml:space="preserve">60). The number 12 appears independently in the Babylonian zodiac (12 signs), the Sumerian calendar (12 months), and the Chinese system (12 Earthly Branches). A 12-Jiazi cycle represents a cosmologically complete unit across both traditions. Applied to the SKL data, </w:t>
      </w:r>
      <w:r>
        <w:rPr>
          <w:rStyle w:val="None"/>
          <w:rFonts w:ascii="Verdana" w:hAnsi="Verdana" w:hint="default"/>
          <w:b w:val="0"/>
          <w:bCs w:val="0"/>
          <w:sz w:val="22"/>
          <w:szCs w:val="22"/>
          <w:rtl w:val="0"/>
          <w:lang w:val="it-IT"/>
        </w:rPr>
        <w:t>÷</w:t>
      </w:r>
      <w:r>
        <w:rPr>
          <w:rStyle w:val="None"/>
          <w:rFonts w:ascii="Verdana" w:hAnsi="Verdana"/>
          <w:b w:val="0"/>
          <w:bCs w:val="0"/>
          <w:sz w:val="22"/>
          <w:szCs w:val="22"/>
          <w:rtl w:val="0"/>
          <w:lang w:val="pt-PT"/>
        </w:rPr>
        <w:t>720 produces:</w:t>
      </w:r>
    </w:p>
    <w:p>
      <w:pPr>
        <w:pStyle w:val="Heading 2"/>
        <w:rPr>
          <w:rStyle w:val="None"/>
          <w:rFonts w:ascii="Verdana" w:cs="Verdana" w:hAnsi="Verdana" w:eastAsia="Verdana"/>
          <w:b w:val="0"/>
          <w:bCs w:val="0"/>
        </w:rPr>
      </w:pPr>
      <w:r>
        <w:rPr>
          <w:rStyle w:val="None"/>
          <w:rFonts w:ascii="Verdana" w:hAnsi="Verdana"/>
          <w:b w:val="0"/>
          <w:bCs w:val="0"/>
          <w:sz w:val="22"/>
          <w:szCs w:val="22"/>
          <w:rtl w:val="0"/>
          <w:lang w:val="it-IT"/>
        </w:rPr>
        <w:t>26</w:t>
      </w:r>
      <w:r>
        <w:rPr>
          <w:rStyle w:val="None"/>
          <w:rFonts w:ascii="Verdana" w:hAnsi="Verdana" w:hint="default"/>
          <w:b w:val="0"/>
          <w:bCs w:val="0"/>
          <w:sz w:val="22"/>
          <w:szCs w:val="22"/>
          <w:rtl w:val="0"/>
          <w:lang w:val="it-IT"/>
        </w:rPr>
        <w:t>–</w:t>
      </w:r>
      <w:r>
        <w:rPr>
          <w:rStyle w:val="None"/>
          <w:rFonts w:ascii="Verdana" w:hAnsi="Verdana"/>
          <w:b w:val="0"/>
          <w:bCs w:val="0"/>
          <w:sz w:val="22"/>
          <w:szCs w:val="22"/>
          <w:rtl w:val="0"/>
          <w:lang w:val="en-US"/>
        </w:rPr>
        <w:t>60 years per reign (range: 25.8</w:t>
      </w:r>
      <w:r>
        <w:rPr>
          <w:rStyle w:val="None"/>
          <w:rFonts w:ascii="Verdana" w:hAnsi="Verdana" w:hint="default"/>
          <w:b w:val="0"/>
          <w:bCs w:val="0"/>
          <w:sz w:val="22"/>
          <w:szCs w:val="22"/>
          <w:rtl w:val="0"/>
          <w:lang w:val="it-IT"/>
        </w:rPr>
        <w:t>–</w:t>
      </w:r>
      <w:r>
        <w:rPr>
          <w:rStyle w:val="None"/>
          <w:rFonts w:ascii="Verdana" w:hAnsi="Verdana"/>
          <w:b w:val="0"/>
          <w:bCs w:val="0"/>
          <w:sz w:val="22"/>
          <w:szCs w:val="22"/>
          <w:rtl w:val="0"/>
          <w:lang w:val="en-US"/>
        </w:rPr>
        <w:t>60 years); 335 years total.</w:t>
      </w:r>
    </w:p>
    <w:p>
      <w:pPr>
        <w:pStyle w:val="Heading 2"/>
        <w:rPr>
          <w:rStyle w:val="None"/>
          <w:rFonts w:ascii="Verdana" w:cs="Verdana" w:hAnsi="Verdana" w:eastAsia="Verdana"/>
          <w:b w:val="0"/>
          <w:bCs w:val="0"/>
        </w:rPr>
      </w:pPr>
      <w:r>
        <w:rPr>
          <w:rStyle w:val="None"/>
          <w:rFonts w:ascii="Verdana" w:hAnsi="Verdana"/>
          <w:b w:val="0"/>
          <w:bCs w:val="0"/>
          <w:sz w:val="22"/>
          <w:szCs w:val="22"/>
          <w:rtl w:val="0"/>
          <w:lang w:val="en-US"/>
        </w:rPr>
        <w:t>These figures are plausible for individual rulers: 26</w:t>
      </w:r>
      <w:r>
        <w:rPr>
          <w:rStyle w:val="None"/>
          <w:rFonts w:ascii="Verdana" w:hAnsi="Verdana" w:hint="default"/>
          <w:b w:val="0"/>
          <w:bCs w:val="0"/>
          <w:sz w:val="22"/>
          <w:szCs w:val="22"/>
          <w:rtl w:val="0"/>
          <w:lang w:val="it-IT"/>
        </w:rPr>
        <w:t>–</w:t>
      </w:r>
      <w:r>
        <w:rPr>
          <w:rStyle w:val="None"/>
          <w:rFonts w:ascii="Verdana" w:hAnsi="Verdana"/>
          <w:b w:val="0"/>
          <w:bCs w:val="0"/>
          <w:sz w:val="22"/>
          <w:szCs w:val="22"/>
          <w:rtl w:val="0"/>
          <w:lang w:val="en-US"/>
        </w:rPr>
        <w:t xml:space="preserve">60 years falls within the range of well-attested early kingship durations, and En-men-lu-ana's corrected reign under </w:t>
      </w:r>
      <w:r>
        <w:rPr>
          <w:rStyle w:val="None"/>
          <w:rFonts w:ascii="Verdana" w:hAnsi="Verdana" w:hint="default"/>
          <w:b w:val="0"/>
          <w:bCs w:val="0"/>
          <w:sz w:val="22"/>
          <w:szCs w:val="22"/>
          <w:rtl w:val="0"/>
          <w:lang w:val="it-IT"/>
        </w:rPr>
        <w:t>÷</w:t>
      </w:r>
      <w:r>
        <w:rPr>
          <w:rStyle w:val="None"/>
          <w:rFonts w:ascii="Verdana" w:hAnsi="Verdana"/>
          <w:b w:val="0"/>
          <w:bCs w:val="0"/>
          <w:sz w:val="22"/>
          <w:szCs w:val="22"/>
          <w:rtl w:val="0"/>
          <w:lang w:val="en-US"/>
        </w:rPr>
        <w:t xml:space="preserve">720 is exactly 60 years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it-IT"/>
        </w:rPr>
        <w:t xml:space="preserve">one complete Jiazi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a result that is cosmologically resonant regardless of whether the scribal encoding was intentional. The total of 335 years, anchored to the flood at ~2,900 BCE, places the pre-flood start at approximately 3,235 BCE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the Late Uruk / Jemdet Nasr transition, the period in which cuneiform writing first appears as an administrative technology. This is an archaeologically coherent context for the earliest recorded city-state governance.</w:t>
      </w:r>
    </w:p>
    <w:p>
      <w:pPr>
        <w:pStyle w:val="Heading 2"/>
        <w:rPr>
          <w:rStyle w:val="None"/>
          <w:rFonts w:ascii="Verdana" w:cs="Verdana" w:hAnsi="Verdana" w:eastAsia="Verdana"/>
          <w:b w:val="0"/>
          <w:bCs w:val="0"/>
        </w:rPr>
      </w:pPr>
      <w:r>
        <w:rPr>
          <w:rStyle w:val="None"/>
          <w:rFonts w:ascii="Verdana" w:hAnsi="Verdana"/>
          <w:b w:val="0"/>
          <w:bCs w:val="0"/>
          <w:sz w:val="22"/>
          <w:szCs w:val="22"/>
          <w:rtl w:val="0"/>
          <w:lang w:val="en-US"/>
        </w:rPr>
        <w:t xml:space="preserve">The </w:t>
      </w:r>
      <w:r>
        <w:rPr>
          <w:rStyle w:val="None"/>
          <w:rFonts w:ascii="Verdana" w:hAnsi="Verdana" w:hint="default"/>
          <w:b w:val="0"/>
          <w:bCs w:val="0"/>
          <w:sz w:val="22"/>
          <w:szCs w:val="22"/>
          <w:rtl w:val="0"/>
          <w:lang w:val="it-IT"/>
        </w:rPr>
        <w:t>÷</w:t>
      </w:r>
      <w:r>
        <w:rPr>
          <w:rStyle w:val="None"/>
          <w:rFonts w:ascii="Verdana" w:hAnsi="Verdana"/>
          <w:b w:val="0"/>
          <w:bCs w:val="0"/>
          <w:sz w:val="22"/>
          <w:szCs w:val="22"/>
          <w:rtl w:val="0"/>
          <w:lang w:val="en-US"/>
        </w:rPr>
        <w:t>720 result is the most analytically interesting of the new corrections because it passes all three evaluation criteria at the dynasty-span level: it produces biologically defensible individual-reign figures, it is grounded in a real calendar unit with independent cross-cultural support, and its implied start date is archaeologically appropriate. It is advanced here as a hypothesis warranting further investigation, not as a replacement for the sar correction.</w:t>
      </w:r>
    </w:p>
    <w:p>
      <w:pPr>
        <w:pStyle w:val="Heading"/>
        <w:rPr>
          <w:rStyle w:val="None"/>
          <w:rFonts w:ascii="Verdana" w:cs="Verdana" w:hAnsi="Verdana" w:eastAsia="Verdana"/>
          <w:b w:val="0"/>
          <w:bCs w:val="0"/>
        </w:rPr>
      </w:pPr>
      <w:r>
        <w:rPr>
          <w:rStyle w:val="None"/>
          <w:rFonts w:ascii="Verdana" w:hAnsi="Verdana"/>
          <w:b w:val="0"/>
          <w:bCs w:val="0"/>
          <w:rtl w:val="0"/>
          <w:lang w:val="en-US"/>
        </w:rPr>
        <w:t xml:space="preserve">6. Three Converging Corrections at </w:t>
      </w:r>
      <w:r>
        <w:rPr>
          <w:rStyle w:val="None"/>
          <w:rFonts w:ascii="Verdana" w:hAnsi="Verdana" w:hint="default"/>
          <w:b w:val="0"/>
          <w:bCs w:val="0"/>
          <w:rtl w:val="0"/>
        </w:rPr>
        <w:t>÷</w:t>
      </w:r>
      <w:r>
        <w:rPr>
          <w:rStyle w:val="None"/>
          <w:rFonts w:ascii="Verdana" w:hAnsi="Verdana"/>
          <w:b w:val="0"/>
          <w:bCs w:val="0"/>
          <w:rtl w:val="0"/>
        </w:rPr>
        <w:t>360</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The number 360 has three independent calendar-system derivations relevant to the SKL:</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(1) Hebrew prophetic year: Biblical eschatological literature (Daniel 9:24</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27; Revelation 11:2, 12:6) uses a 360-day prophetic year, derived from the Babylonian administrative calendar (12 months </w:t>
      </w:r>
      <w:r>
        <w:rPr>
          <w:rStyle w:val="None"/>
          <w:rFonts w:ascii="Verdana" w:hAnsi="Verdana" w:hint="default"/>
          <w:b w:val="0"/>
          <w:bCs w:val="0"/>
          <w:sz w:val="22"/>
          <w:szCs w:val="22"/>
          <w:rtl w:val="0"/>
        </w:rPr>
        <w:t xml:space="preserve">× </w:t>
      </w:r>
      <w:r>
        <w:rPr>
          <w:rStyle w:val="None"/>
          <w:rFonts w:ascii="Verdana" w:hAnsi="Verdana"/>
          <w:b w:val="0"/>
          <w:bCs w:val="0"/>
          <w:sz w:val="22"/>
          <w:szCs w:val="22"/>
          <w:rtl w:val="0"/>
          <w:lang w:val="en-US"/>
        </w:rPr>
        <w:t>30 days). This is the unit used to compute the 70 Weeks and the 1,260-day/42-month/3.5-year period in prophetic literature.</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(2) Babylonian degree-circle: The standardisation of the full circle to 360 degrees is a Babylonian astronomical convention, retained in the Sumerian system and transmitted to Greek mathematics. One degree = 1/360 of a full celestial cycle.</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(3) Hindu divine year: The Yuga system converts between divine and human years using the factor 360: 1 divine year = 360 human years. A Kali Yuga = 1,200 divine years = 432,000 human years. The number 360 is the conversion hinge of the entire Yuga calendar system.</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Three independent traditions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Hebrew, Babylonian, and Hindu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converge on 360 as a cosmologically significant year-unit. Applied to the SKL data,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360 yields 51.7</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120 years per reign and 670 years total. Individual figures of 52</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120 years are too long for most historical individual rulers but consistent with compressed dynasty spans of 2</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4 rulers per named king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directly parallel to the Egyptian Ramesside compression case (11 rulers under the name Ramesses; Vondoom, 2026, Section 6). The implied pre-flood start of ~3,570 BCE falls within the Uruk Expansion period (~3,600</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3,100 BCE), the first horizon at which organised city-state governance is archaeologically documented.</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The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360 correction passes criteria (1) and (3) but fails criterion (2) for individual reigns. It passes criterion (2) if one accepts the dynasty-compression model at the level of 2</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4 rulers per named king. Whether that level of compression is historically plausible depends on the oral transmission timeframe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addressed in Section 8.</w:t>
      </w:r>
    </w:p>
    <w:p>
      <w:pPr>
        <w:pStyle w:val="Heading"/>
        <w:rPr>
          <w:rStyle w:val="None"/>
          <w:rFonts w:ascii="Verdana" w:cs="Verdana" w:hAnsi="Verdana" w:eastAsia="Verdana"/>
          <w:b w:val="0"/>
          <w:bCs w:val="0"/>
        </w:rPr>
      </w:pPr>
      <w:r>
        <w:rPr>
          <w:rStyle w:val="None"/>
          <w:rFonts w:ascii="Verdana" w:hAnsi="Verdana"/>
          <w:b w:val="0"/>
          <w:bCs w:val="0"/>
          <w:rtl w:val="0"/>
          <w:lang w:val="en-US"/>
        </w:rPr>
        <w:t>7. The Precession-Degree Test</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The precession of the equinoxes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the slow rotation of Earth's axial orientation through 360 degrees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completes one cycle in approximately 25,920 years, meaning one degree of precession takes approximately 72 years. The number 72 connects directly to the Sumerian sar: 3,600 / 72 = 50 precession-degrees per sar. De Santillana and von Dechend (1969) proposed that the numbers 72, 360, 2,160, 4,320, and 25,920 recur in ancient mythological numerical systems because they encode precessional astronomy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a hypothesis that has attracted both support (Ulansey, 1989) and scepticism (Evans, 1998) and is treated here as an investigative framework rather than an established finding.</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The precession test applied here is not a corrective calculation but a structural diagnostic: are the SKL figures divisible by 72, and if not, which kings are the outliers? Table 5 (Section 7 results below) shows the outcome.</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The result is analytically significant independent of the de Santillana/von Dechend hypothesis. Six of eight kings are divisible by 72; the two that are not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En-men-dur-ana (21,000) and Ubara-Tutu (18,600)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are the same two kings that are not exact sar multiples. Since sar-multiples are necessarily also 72-multiples (3,600 = 50 </w:t>
      </w:r>
      <w:r>
        <w:rPr>
          <w:rStyle w:val="None"/>
          <w:rFonts w:ascii="Verdana" w:hAnsi="Verdana" w:hint="default"/>
          <w:b w:val="0"/>
          <w:bCs w:val="0"/>
          <w:sz w:val="22"/>
          <w:szCs w:val="22"/>
          <w:rtl w:val="0"/>
        </w:rPr>
        <w:t xml:space="preserve">× </w:t>
      </w:r>
      <w:r>
        <w:rPr>
          <w:rStyle w:val="None"/>
          <w:rFonts w:ascii="Verdana" w:hAnsi="Verdana"/>
          <w:b w:val="0"/>
          <w:bCs w:val="0"/>
          <w:sz w:val="22"/>
          <w:szCs w:val="22"/>
          <w:rtl w:val="0"/>
          <w:lang w:val="en-US"/>
        </w:rPr>
        <w:t xml:space="preserve">72), the converse test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that non-sar-multiples are also non-72-multiples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confirms that the outlier status of these two kings is not an artefact of the sar correction specifically. It is a structural property that holds across two independent encoding frameworks. This is the strongest mathematical evidence yet presented for Jacobsen's (1939) composite-authorship thesis at the within-section level: the antediluvian section contains at least two encoding strata, one built on exact sar/precession multiples and one that is not.</w:t>
      </w:r>
    </w:p>
    <w:p>
      <w:pPr>
        <w:pStyle w:val="Heading"/>
        <w:rPr>
          <w:rStyle w:val="None"/>
          <w:rFonts w:ascii="Verdana" w:cs="Verdana" w:hAnsi="Verdana" w:eastAsia="Verdana"/>
          <w:b w:val="0"/>
          <w:bCs w:val="0"/>
        </w:rPr>
      </w:pPr>
      <w:r>
        <w:rPr>
          <w:rStyle w:val="None"/>
          <w:rFonts w:ascii="Verdana" w:hAnsi="Verdana"/>
          <w:b w:val="0"/>
          <w:bCs w:val="0"/>
          <w:rtl w:val="0"/>
          <w:lang w:val="en-US"/>
        </w:rPr>
        <w:t>8. Calculation Results</w:t>
      </w:r>
    </w:p>
    <w:p>
      <w:pPr>
        <w:pStyle w:val="Heading 2"/>
        <w:rPr>
          <w:rStyle w:val="None"/>
          <w:rFonts w:ascii="Verdana" w:cs="Verdana" w:hAnsi="Verdana" w:eastAsia="Verdana"/>
          <w:b w:val="0"/>
          <w:bCs w:val="0"/>
          <w:lang w:val="en-US"/>
        </w:rPr>
      </w:pPr>
      <w:r>
        <w:rPr>
          <w:rStyle w:val="None"/>
          <w:rFonts w:ascii="Verdana" w:hAnsi="Verdana"/>
          <w:b w:val="0"/>
          <w:bCs w:val="0"/>
          <w:rtl w:val="0"/>
          <w:lang w:val="en-US"/>
        </w:rPr>
        <w:t>8.1 Master Comparison Table</w:t>
      </w:r>
    </w:p>
    <w:p>
      <w:pPr>
        <w:pStyle w:val="Heading 2"/>
        <w:rPr>
          <w:rStyle w:val="None"/>
          <w:rFonts w:ascii="Verdana" w:cs="Verdana" w:hAnsi="Verdana" w:eastAsia="Verdana"/>
          <w:b w:val="0"/>
          <w:bCs w:val="0"/>
        </w:rPr>
      </w:pPr>
      <w:r>
        <w:rPr>
          <w:rStyle w:val="None"/>
          <w:rFonts w:ascii="Verdana" w:hAnsi="Verdana"/>
          <w:b w:val="0"/>
          <w:bCs w:val="0"/>
          <w:sz w:val="22"/>
          <w:szCs w:val="22"/>
          <w:rtl w:val="0"/>
          <w:lang w:val="en-US"/>
        </w:rPr>
        <w:t xml:space="preserve">Table 1 presents all four corrections applied to the eight pre-flood kings. The </w:t>
      </w:r>
      <w:r>
        <w:rPr>
          <w:rStyle w:val="None"/>
          <w:rFonts w:ascii="Verdana" w:hAnsi="Verdana" w:hint="default"/>
          <w:b w:val="0"/>
          <w:bCs w:val="0"/>
          <w:sz w:val="22"/>
          <w:szCs w:val="22"/>
          <w:rtl w:val="0"/>
          <w:lang w:val="it-IT"/>
        </w:rPr>
        <w:t>÷</w:t>
      </w:r>
      <w:r>
        <w:rPr>
          <w:rStyle w:val="None"/>
          <w:rFonts w:ascii="Verdana" w:hAnsi="Verdana"/>
          <w:b w:val="0"/>
          <w:bCs w:val="0"/>
          <w:sz w:val="22"/>
          <w:szCs w:val="22"/>
          <w:rtl w:val="0"/>
          <w:lang w:val="en-US"/>
        </w:rPr>
        <w:t xml:space="preserve">12 (lunar months) result is omitted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it-IT"/>
        </w:rPr>
        <w:t>at 1,550</w:t>
      </w:r>
      <w:r>
        <w:rPr>
          <w:rStyle w:val="None"/>
          <w:rFonts w:ascii="Verdana" w:hAnsi="Verdana" w:hint="default"/>
          <w:b w:val="0"/>
          <w:bCs w:val="0"/>
          <w:sz w:val="22"/>
          <w:szCs w:val="22"/>
          <w:rtl w:val="0"/>
          <w:lang w:val="it-IT"/>
        </w:rPr>
        <w:t>–</w:t>
      </w:r>
      <w:r>
        <w:rPr>
          <w:rStyle w:val="None"/>
          <w:rFonts w:ascii="Verdana" w:hAnsi="Verdana"/>
          <w:b w:val="0"/>
          <w:bCs w:val="0"/>
          <w:sz w:val="22"/>
          <w:szCs w:val="22"/>
          <w:rtl w:val="0"/>
          <w:lang w:val="en-US"/>
        </w:rPr>
        <w:t>3,600 years per reign and 20,100 years total, it is analytically excluded by all three criteria.</w:t>
      </w:r>
    </w:p>
    <w:p>
      <w:pPr>
        <w:pStyle w:val="Heading 2"/>
        <w:rPr>
          <w:rStyle w:val="None"/>
          <w:rFonts w:ascii="Verdana" w:cs="Verdana" w:hAnsi="Verdana" w:eastAsia="Verdana"/>
          <w:b w:val="0"/>
          <w:bCs w:val="0"/>
          <w:lang w:val="en-US"/>
        </w:rPr>
      </w:pPr>
      <w:r>
        <w:rPr>
          <w:rStyle w:val="None"/>
          <w:rFonts w:ascii="Verdana" w:hAnsi="Verdana"/>
          <w:b w:val="0"/>
          <w:bCs w:val="0"/>
          <w:i w:val="1"/>
          <w:iCs w:val="1"/>
          <w:sz w:val="20"/>
          <w:szCs w:val="20"/>
          <w:rtl w:val="0"/>
          <w:lang w:val="en-US"/>
        </w:rPr>
        <w:t>Table 1: Pre-Flood SKL Reign Lengths Under Four Calendar Corrections (Weld-Blundell Prism data; Jacobsen, 1939)</w:t>
      </w: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00"/>
        <w:gridCol w:w="1200"/>
        <w:gridCol w:w="1460"/>
        <w:gridCol w:w="1250"/>
        <w:gridCol w:w="1250"/>
        <w:gridCol w:w="1250"/>
        <w:gridCol w:w="1250"/>
      </w:tblGrid>
      <w:tr>
        <w:tblPrEx>
          <w:shd w:val="clear" w:color="auto" w:fill="ced7e7"/>
        </w:tblPrEx>
        <w:trPr>
          <w:trHeight w:val="677" w:hRule="atLeast"/>
        </w:trPr>
        <w:tc>
          <w:tcPr>
            <w:tcW w:type="dxa" w:w="17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b w:val="1"/>
                <w:bCs w:val="1"/>
                <w:sz w:val="18"/>
                <w:szCs w:val="18"/>
                <w:shd w:val="nil" w:color="auto" w:fill="auto"/>
                <w:rtl w:val="0"/>
                <w:lang w:val="en-US"/>
              </w:rPr>
              <w:t>King</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s>
              <w:jc w:val="center"/>
            </w:pPr>
            <w:r>
              <w:rPr>
                <w:rStyle w:val="None"/>
                <w:rFonts w:ascii="Arial" w:hAnsi="Arial"/>
                <w:b w:val="1"/>
                <w:bCs w:val="1"/>
                <w:sz w:val="18"/>
                <w:szCs w:val="18"/>
                <w:shd w:val="nil" w:color="auto" w:fill="auto"/>
                <w:rtl w:val="0"/>
                <w:lang w:val="en-US"/>
              </w:rPr>
              <w:t>City</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b w:val="1"/>
                <w:bCs w:val="1"/>
                <w:sz w:val="18"/>
                <w:szCs w:val="18"/>
                <w:shd w:val="nil" w:color="auto" w:fill="auto"/>
                <w:rtl w:val="0"/>
                <w:lang w:val="en-US"/>
              </w:rPr>
              <w:t>Raw (SKL years)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s>
              <w:jc w:val="center"/>
            </w:pPr>
            <w:r>
              <w:rPr>
                <w:rStyle w:val="None"/>
                <w:rFonts w:ascii="Arial" w:hAnsi="Arial" w:hint="default"/>
                <w:b w:val="1"/>
                <w:bCs w:val="1"/>
                <w:sz w:val="18"/>
                <w:szCs w:val="18"/>
                <w:shd w:val="nil" w:color="auto" w:fill="auto"/>
                <w:rtl w:val="0"/>
                <w:lang w:val="de-DE"/>
              </w:rPr>
              <w:t>÷</w:t>
            </w:r>
            <w:r>
              <w:rPr>
                <w:rStyle w:val="None"/>
                <w:rFonts w:ascii="Arial" w:hAnsi="Arial"/>
                <w:b w:val="1"/>
                <w:bCs w:val="1"/>
                <w:sz w:val="18"/>
                <w:szCs w:val="18"/>
                <w:shd w:val="nil" w:color="auto" w:fill="auto"/>
                <w:rtl w:val="0"/>
                <w:lang w:val="it-IT"/>
              </w:rPr>
              <w:t>60 (1 Jiazi)</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s>
              <w:jc w:val="center"/>
            </w:pPr>
            <w:r>
              <w:rPr>
                <w:rStyle w:val="None"/>
                <w:rFonts w:ascii="Arial" w:hAnsi="Arial" w:hint="default"/>
                <w:b w:val="1"/>
                <w:bCs w:val="1"/>
                <w:sz w:val="18"/>
                <w:szCs w:val="18"/>
                <w:shd w:val="nil" w:color="auto" w:fill="auto"/>
                <w:rtl w:val="0"/>
                <w:lang w:val="de-DE"/>
              </w:rPr>
              <w:t>÷</w:t>
            </w:r>
            <w:r>
              <w:rPr>
                <w:rStyle w:val="None"/>
                <w:rFonts w:ascii="Arial" w:hAnsi="Arial"/>
                <w:b w:val="1"/>
                <w:bCs w:val="1"/>
                <w:sz w:val="18"/>
                <w:szCs w:val="18"/>
                <w:shd w:val="nil" w:color="auto" w:fill="auto"/>
                <w:rtl w:val="0"/>
                <w:lang w:val="en-US"/>
              </w:rPr>
              <w:t>360 (Prophetic / Divine yr)</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s>
              <w:jc w:val="center"/>
            </w:pPr>
            <w:r>
              <w:rPr>
                <w:rStyle w:val="None"/>
                <w:rFonts w:ascii="Arial" w:hAnsi="Arial" w:hint="default"/>
                <w:b w:val="1"/>
                <w:bCs w:val="1"/>
                <w:sz w:val="18"/>
                <w:szCs w:val="18"/>
                <w:shd w:val="nil" w:color="auto" w:fill="auto"/>
                <w:rtl w:val="0"/>
                <w:lang w:val="de-DE"/>
              </w:rPr>
              <w:t>÷</w:t>
            </w:r>
            <w:r>
              <w:rPr>
                <w:rStyle w:val="None"/>
                <w:rFonts w:ascii="Arial" w:hAnsi="Arial"/>
                <w:b w:val="1"/>
                <w:bCs w:val="1"/>
                <w:sz w:val="18"/>
                <w:szCs w:val="18"/>
                <w:shd w:val="nil" w:color="auto" w:fill="auto"/>
                <w:rtl w:val="0"/>
                <w:lang w:val="it-IT"/>
              </w:rPr>
              <w:t>720 (12-Jiazi)</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s>
              <w:jc w:val="center"/>
            </w:pPr>
            <w:r>
              <w:rPr>
                <w:rStyle w:val="None"/>
                <w:rFonts w:ascii="Arial" w:hAnsi="Arial" w:hint="default"/>
                <w:b w:val="1"/>
                <w:bCs w:val="1"/>
                <w:sz w:val="18"/>
                <w:szCs w:val="18"/>
                <w:shd w:val="nil" w:color="auto" w:fill="auto"/>
                <w:rtl w:val="0"/>
                <w:lang w:val="de-DE"/>
              </w:rPr>
              <w:t>÷</w:t>
            </w:r>
            <w:r>
              <w:rPr>
                <w:rStyle w:val="None"/>
                <w:rFonts w:ascii="Arial" w:hAnsi="Arial"/>
                <w:b w:val="1"/>
                <w:bCs w:val="1"/>
                <w:sz w:val="18"/>
                <w:szCs w:val="18"/>
                <w:shd w:val="nil" w:color="auto" w:fill="auto"/>
                <w:rtl w:val="0"/>
                <w:lang w:val="de-DE"/>
              </w:rPr>
              <w:t xml:space="preserve">3,600 (1 Sar) </w:t>
            </w:r>
            <w:r>
              <w:rPr>
                <w:rStyle w:val="None"/>
                <w:rFonts w:ascii="Arial Unicode MS" w:hAnsi="Arial Unicode MS" w:hint="default"/>
                <w:sz w:val="18"/>
                <w:szCs w:val="18"/>
                <w:shd w:val="nil" w:color="auto" w:fill="auto"/>
                <w:rtl w:val="0"/>
                <w:lang w:val="de-DE"/>
              </w:rPr>
              <w:t>✓</w:t>
            </w:r>
          </w:p>
        </w:tc>
      </w:tr>
      <w:tr>
        <w:tblPrEx>
          <w:shd w:val="clear" w:color="auto" w:fill="ced7e7"/>
        </w:tblPrEx>
        <w:trPr>
          <w:trHeight w:val="218" w:hRule="atLeast"/>
        </w:trPr>
        <w:tc>
          <w:tcPr>
            <w:tcW w:type="dxa" w:w="17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Alulim</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it-IT"/>
              </w:rPr>
              <w:t>Eridu</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28,800</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480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80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40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en-US"/>
              </w:rPr>
              <w:t>8 yrs</w:t>
            </w:r>
          </w:p>
        </w:tc>
      </w:tr>
      <w:tr>
        <w:tblPrEx>
          <w:shd w:val="clear" w:color="auto" w:fill="ced7e7"/>
        </w:tblPrEx>
        <w:trPr>
          <w:trHeight w:val="218" w:hRule="atLeast"/>
        </w:trPr>
        <w:tc>
          <w:tcPr>
            <w:tcW w:type="dxa" w:w="17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Alalngar</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it-IT"/>
              </w:rPr>
              <w:t>Eridu</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en-US"/>
              </w:rPr>
              <w:t>36,000</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600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100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50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en-US"/>
              </w:rPr>
              <w:t>10 yrs</w:t>
            </w:r>
          </w:p>
        </w:tc>
      </w:tr>
      <w:tr>
        <w:tblPrEx>
          <w:shd w:val="clear" w:color="auto" w:fill="ced7e7"/>
        </w:tblPrEx>
        <w:trPr>
          <w:trHeight w:val="218" w:hRule="atLeast"/>
        </w:trPr>
        <w:tc>
          <w:tcPr>
            <w:tcW w:type="dxa" w:w="17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En-men-lu-ana</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Bad-tibira</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43,200</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720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120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60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12 yrs</w:t>
            </w:r>
          </w:p>
        </w:tc>
      </w:tr>
      <w:tr>
        <w:tblPrEx>
          <w:shd w:val="clear" w:color="auto" w:fill="ced7e7"/>
        </w:tblPrEx>
        <w:trPr>
          <w:trHeight w:val="218" w:hRule="atLeast"/>
        </w:trPr>
        <w:tc>
          <w:tcPr>
            <w:tcW w:type="dxa" w:w="17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En-men-gal-ana</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Bad-tibira</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28,800</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480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80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40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en-US"/>
              </w:rPr>
              <w:t>8 yrs</w:t>
            </w:r>
          </w:p>
        </w:tc>
      </w:tr>
      <w:tr>
        <w:tblPrEx>
          <w:shd w:val="clear" w:color="auto" w:fill="ced7e7"/>
        </w:tblPrEx>
        <w:trPr>
          <w:trHeight w:val="218" w:hRule="atLeast"/>
        </w:trPr>
        <w:tc>
          <w:tcPr>
            <w:tcW w:type="dxa" w:w="17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Dumuzid</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Bad-tibira</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en-US"/>
              </w:rPr>
              <w:t>36,000</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600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100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50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en-US"/>
              </w:rPr>
              <w:t>10 yrs</w:t>
            </w:r>
          </w:p>
        </w:tc>
      </w:tr>
      <w:tr>
        <w:tblPrEx>
          <w:shd w:val="clear" w:color="auto" w:fill="ced7e7"/>
        </w:tblPrEx>
        <w:trPr>
          <w:trHeight w:val="218" w:hRule="atLeast"/>
        </w:trPr>
        <w:tc>
          <w:tcPr>
            <w:tcW w:type="dxa" w:w="17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En-sipad-zid-ana</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Larak</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28,800</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480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80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40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en-US"/>
              </w:rPr>
              <w:t>8 yrs</w:t>
            </w:r>
          </w:p>
        </w:tc>
      </w:tr>
      <w:tr>
        <w:tblPrEx>
          <w:shd w:val="clear" w:color="auto" w:fill="ced7e7"/>
        </w:tblPrEx>
        <w:trPr>
          <w:trHeight w:val="218" w:hRule="atLeast"/>
        </w:trPr>
        <w:tc>
          <w:tcPr>
            <w:tcW w:type="dxa" w:w="17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En-men-dur-ana</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Sippar</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en-US"/>
              </w:rPr>
              <w:t>21,000</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350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58.3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29.2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5.8 yrs</w:t>
            </w:r>
          </w:p>
        </w:tc>
      </w:tr>
      <w:tr>
        <w:tblPrEx>
          <w:shd w:val="clear" w:color="auto" w:fill="ced7e7"/>
        </w:tblPrEx>
        <w:trPr>
          <w:trHeight w:val="218" w:hRule="atLeast"/>
        </w:trPr>
        <w:tc>
          <w:tcPr>
            <w:tcW w:type="dxa" w:w="17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it-IT"/>
              </w:rPr>
              <w:t>Ubara-Tutu</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Shuruppak</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18,600</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en-US"/>
              </w:rPr>
              <w:t>310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51.7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25.8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5.2 yrs</w:t>
            </w:r>
          </w:p>
        </w:tc>
      </w:tr>
      <w:tr>
        <w:tblPrEx>
          <w:shd w:val="clear" w:color="auto" w:fill="ced7e7"/>
        </w:tblPrEx>
        <w:trPr>
          <w:trHeight w:val="218" w:hRule="atLeast"/>
        </w:trPr>
        <w:tc>
          <w:tcPr>
            <w:tcW w:type="dxa" w:w="17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b w:val="1"/>
                <w:bCs w:val="1"/>
                <w:sz w:val="20"/>
                <w:szCs w:val="20"/>
                <w:shd w:val="nil" w:color="auto" w:fill="auto"/>
                <w:rtl w:val="0"/>
                <w:lang w:val="de-DE"/>
              </w:rPr>
              <w:t>TOTAL</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b w:val="1"/>
                <w:bCs w:val="1"/>
                <w:sz w:val="20"/>
                <w:szCs w:val="20"/>
                <w:shd w:val="nil" w:color="auto" w:fill="auto"/>
                <w:rtl w:val="0"/>
                <w:lang w:val="en-US"/>
              </w:rPr>
              <w:t>5 cities</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b w:val="1"/>
                <w:bCs w:val="1"/>
                <w:sz w:val="20"/>
                <w:szCs w:val="20"/>
                <w:shd w:val="nil" w:color="auto" w:fill="auto"/>
                <w:rtl w:val="0"/>
                <w:lang w:val="de-DE"/>
              </w:rPr>
              <w:t>241,200</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b w:val="1"/>
                <w:bCs w:val="1"/>
                <w:sz w:val="20"/>
                <w:szCs w:val="20"/>
                <w:shd w:val="nil" w:color="auto" w:fill="auto"/>
                <w:rtl w:val="0"/>
                <w:lang w:val="de-DE"/>
              </w:rPr>
              <w:t>4020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b w:val="1"/>
                <w:bCs w:val="1"/>
                <w:sz w:val="20"/>
                <w:szCs w:val="20"/>
                <w:shd w:val="nil" w:color="auto" w:fill="auto"/>
                <w:rtl w:val="0"/>
                <w:lang w:val="de-DE"/>
              </w:rPr>
              <w:t>670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b w:val="1"/>
                <w:bCs w:val="1"/>
                <w:sz w:val="20"/>
                <w:szCs w:val="20"/>
                <w:shd w:val="nil" w:color="auto" w:fill="auto"/>
                <w:rtl w:val="0"/>
                <w:lang w:val="en-US"/>
              </w:rPr>
              <w:t>335 yrs</w:t>
            </w:r>
          </w:p>
        </w:tc>
        <w:tc>
          <w:tcPr>
            <w:tcW w:type="dxa" w:w="125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b w:val="1"/>
                <w:bCs w:val="1"/>
                <w:sz w:val="20"/>
                <w:szCs w:val="20"/>
                <w:shd w:val="nil" w:color="auto" w:fill="auto"/>
                <w:rtl w:val="0"/>
                <w:lang w:val="en-US"/>
              </w:rPr>
              <w:t>67 yrs</w:t>
            </w:r>
          </w:p>
        </w:tc>
      </w:tr>
    </w:tbl>
    <w:p>
      <w:pPr>
        <w:pStyle w:val="Heading 2"/>
        <w:widowControl w:val="0"/>
        <w:ind w:left="108" w:hanging="108"/>
        <w:rPr>
          <w:rStyle w:val="None"/>
          <w:rFonts w:ascii="Verdana" w:cs="Verdana" w:hAnsi="Verdana" w:eastAsia="Verdana"/>
          <w:b w:val="0"/>
          <w:bCs w:val="0"/>
          <w:lang w:val="en-US"/>
        </w:rPr>
      </w:pPr>
    </w:p>
    <w:p>
      <w:pPr>
        <w:pStyle w:val="Heading 2"/>
        <w:widowControl w:val="0"/>
        <w:rPr>
          <w:rStyle w:val="None"/>
          <w:rFonts w:ascii="Verdana" w:cs="Verdana" w:hAnsi="Verdana" w:eastAsia="Verdana"/>
          <w:b w:val="0"/>
          <w:bCs w:val="0"/>
        </w:rPr>
      </w:pPr>
    </w:p>
    <w:p>
      <w:pPr>
        <w:pStyle w:val="Heading 2"/>
        <w:widowControl w:val="0"/>
        <w:rPr>
          <w:rStyle w:val="None"/>
          <w:rFonts w:ascii="Verdana" w:cs="Verdana" w:hAnsi="Verdana" w:eastAsia="Verdana"/>
          <w:b w:val="0"/>
          <w:bCs w:val="0"/>
        </w:rPr>
      </w:pPr>
      <w:r>
        <w:rPr>
          <w:rStyle w:val="None"/>
          <w:rFonts w:ascii="Verdana" w:hAnsi="Verdana"/>
          <w:b w:val="0"/>
          <w:bCs w:val="0"/>
          <w:i w:val="1"/>
          <w:iCs w:val="1"/>
          <w:sz w:val="19"/>
          <w:szCs w:val="19"/>
          <w:rtl w:val="0"/>
          <w:lang w:val="de-DE"/>
        </w:rPr>
        <w:t xml:space="preserve">Note: </w:t>
      </w:r>
      <w:r>
        <w:rPr>
          <w:rStyle w:val="None"/>
          <w:rFonts w:ascii="Arial Unicode MS" w:hAnsi="Arial Unicode MS" w:hint="default"/>
          <w:b w:val="0"/>
          <w:bCs w:val="0"/>
          <w:sz w:val="19"/>
          <w:szCs w:val="19"/>
          <w:rtl w:val="0"/>
          <w:lang w:val="it-IT"/>
        </w:rPr>
        <w:t>✓</w:t>
      </w:r>
      <w:r>
        <w:rPr>
          <w:rStyle w:val="None"/>
          <w:rFonts w:ascii="Verdana" w:hAnsi="Verdana"/>
          <w:b w:val="0"/>
          <w:bCs w:val="0"/>
          <w:i w:val="1"/>
          <w:iCs w:val="1"/>
          <w:sz w:val="19"/>
          <w:szCs w:val="19"/>
          <w:rtl w:val="0"/>
          <w:lang w:val="it-IT"/>
        </w:rPr>
        <w:t xml:space="preserve"> </w:t>
      </w:r>
      <w:r>
        <w:rPr>
          <w:rStyle w:val="None"/>
          <w:rFonts w:ascii="Verdana" w:hAnsi="Verdana"/>
          <w:b w:val="0"/>
          <w:bCs w:val="0"/>
          <w:i w:val="1"/>
          <w:iCs w:val="1"/>
          <w:sz w:val="19"/>
          <w:szCs w:val="19"/>
          <w:rtl w:val="0"/>
          <w:lang w:val="en-US"/>
        </w:rPr>
        <w:t xml:space="preserve">= correction produces biologically plausible individual reign lengths. </w:t>
      </w:r>
      <w:r>
        <w:rPr>
          <w:rStyle w:val="None"/>
          <w:rFonts w:ascii="Verdana" w:hAnsi="Verdana" w:hint="default"/>
          <w:b w:val="0"/>
          <w:bCs w:val="0"/>
          <w:i w:val="1"/>
          <w:iCs w:val="1"/>
          <w:sz w:val="19"/>
          <w:szCs w:val="19"/>
          <w:rtl w:val="0"/>
          <w:lang w:val="it-IT"/>
        </w:rPr>
        <w:t>÷</w:t>
      </w:r>
      <w:r>
        <w:rPr>
          <w:rStyle w:val="None"/>
          <w:rFonts w:ascii="Verdana" w:hAnsi="Verdana"/>
          <w:b w:val="0"/>
          <w:bCs w:val="0"/>
          <w:i w:val="1"/>
          <w:iCs w:val="1"/>
          <w:sz w:val="19"/>
          <w:szCs w:val="19"/>
          <w:rtl w:val="0"/>
          <w:lang w:val="en-US"/>
        </w:rPr>
        <w:t xml:space="preserve">360 and </w:t>
      </w:r>
      <w:r>
        <w:rPr>
          <w:rStyle w:val="None"/>
          <w:rFonts w:ascii="Verdana" w:hAnsi="Verdana" w:hint="default"/>
          <w:b w:val="0"/>
          <w:bCs w:val="0"/>
          <w:i w:val="1"/>
          <w:iCs w:val="1"/>
          <w:sz w:val="19"/>
          <w:szCs w:val="19"/>
          <w:rtl w:val="0"/>
          <w:lang w:val="it-IT"/>
        </w:rPr>
        <w:t>÷</w:t>
      </w:r>
      <w:r>
        <w:rPr>
          <w:rStyle w:val="None"/>
          <w:rFonts w:ascii="Verdana" w:hAnsi="Verdana"/>
          <w:b w:val="0"/>
          <w:bCs w:val="0"/>
          <w:i w:val="1"/>
          <w:iCs w:val="1"/>
          <w:sz w:val="19"/>
          <w:szCs w:val="19"/>
          <w:rtl w:val="0"/>
          <w:lang w:val="en-US"/>
        </w:rPr>
        <w:t>720 are plausible at the dynasty-span level (see Section 9).</w:t>
      </w:r>
    </w:p>
    <w:p>
      <w:pPr>
        <w:pStyle w:val="Heading 2"/>
        <w:rPr>
          <w:rStyle w:val="None"/>
          <w:rFonts w:ascii="Verdana" w:cs="Verdana" w:hAnsi="Verdana" w:eastAsia="Verdana"/>
          <w:b w:val="0"/>
          <w:bCs w:val="0"/>
          <w:lang w:val="en-US"/>
        </w:rPr>
      </w:pPr>
      <w:r>
        <w:rPr>
          <w:rStyle w:val="None"/>
          <w:rFonts w:ascii="Verdana" w:hAnsi="Verdana"/>
          <w:b w:val="0"/>
          <w:bCs w:val="0"/>
          <w:rtl w:val="0"/>
          <w:lang w:val="en-US"/>
        </w:rPr>
        <w:t>8.2 Viability Assessment</w:t>
      </w:r>
    </w:p>
    <w:p>
      <w:pPr>
        <w:pStyle w:val="Heading 2"/>
        <w:rPr>
          <w:rStyle w:val="None"/>
          <w:rFonts w:ascii="Verdana" w:cs="Verdana" w:hAnsi="Verdana" w:eastAsia="Verdana"/>
          <w:b w:val="0"/>
          <w:bCs w:val="0"/>
          <w:lang w:val="en-US"/>
        </w:rPr>
      </w:pPr>
      <w:r>
        <w:rPr>
          <w:rStyle w:val="None"/>
          <w:rFonts w:ascii="Verdana" w:hAnsi="Verdana"/>
          <w:b w:val="0"/>
          <w:bCs w:val="0"/>
          <w:sz w:val="22"/>
          <w:szCs w:val="22"/>
          <w:rtl w:val="0"/>
          <w:lang w:val="en-US"/>
        </w:rPr>
        <w:t>Table 2 summarises the three-criteria assessment for each correction.</w:t>
      </w:r>
    </w:p>
    <w:p>
      <w:pPr>
        <w:pStyle w:val="Heading 2"/>
        <w:rPr>
          <w:rStyle w:val="None"/>
          <w:rFonts w:ascii="Verdana" w:cs="Verdana" w:hAnsi="Verdana" w:eastAsia="Verdana"/>
          <w:b w:val="0"/>
          <w:bCs w:val="0"/>
          <w:lang w:val="en-US"/>
        </w:rPr>
      </w:pPr>
      <w:r>
        <w:rPr>
          <w:rStyle w:val="None"/>
          <w:rFonts w:ascii="Verdana" w:hAnsi="Verdana"/>
          <w:b w:val="0"/>
          <w:bCs w:val="0"/>
          <w:i w:val="1"/>
          <w:iCs w:val="1"/>
          <w:sz w:val="20"/>
          <w:szCs w:val="20"/>
          <w:rtl w:val="0"/>
          <w:lang w:val="en-US"/>
        </w:rPr>
        <w:t>Table 2: Viability Assessment by Correction Method</w:t>
      </w: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00"/>
        <w:gridCol w:w="1560"/>
        <w:gridCol w:w="1560"/>
        <w:gridCol w:w="4240"/>
      </w:tblGrid>
      <w:tr>
        <w:tblPrEx>
          <w:shd w:val="clear" w:color="auto" w:fill="ced7e7"/>
        </w:tblPrEx>
        <w:trPr>
          <w:trHeight w:val="200" w:hRule="atLeast"/>
        </w:trPr>
        <w:tc>
          <w:tcPr>
            <w:tcW w:type="dxa" w:w="2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b w:val="1"/>
                <w:bCs w:val="1"/>
                <w:sz w:val="18"/>
                <w:szCs w:val="18"/>
                <w:shd w:val="nil" w:color="auto" w:fill="auto"/>
                <w:rtl w:val="0"/>
                <w:lang w:val="en-US"/>
              </w:rPr>
              <w:t>Correction</w:t>
            </w:r>
          </w:p>
        </w:tc>
        <w:tc>
          <w:tcPr>
            <w:tcW w:type="dxa" w:w="15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b w:val="1"/>
                <w:bCs w:val="1"/>
                <w:sz w:val="18"/>
                <w:szCs w:val="18"/>
                <w:shd w:val="nil" w:color="auto" w:fill="auto"/>
                <w:rtl w:val="0"/>
                <w:lang w:val="de-DE"/>
              </w:rPr>
              <w:t>Reign Range</w:t>
            </w:r>
          </w:p>
        </w:tc>
        <w:tc>
          <w:tcPr>
            <w:tcW w:type="dxa" w:w="15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b w:val="1"/>
                <w:bCs w:val="1"/>
                <w:sz w:val="18"/>
                <w:szCs w:val="18"/>
                <w:shd w:val="nil" w:color="auto" w:fill="auto"/>
                <w:rtl w:val="0"/>
                <w:lang w:val="de-DE"/>
              </w:rPr>
              <w:t>Total Yrs</w:t>
            </w:r>
          </w:p>
        </w:tc>
        <w:tc>
          <w:tcPr>
            <w:tcW w:type="dxa" w:w="424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 w:val="left" w:pos="2160"/>
                <w:tab w:val="left" w:pos="2880"/>
                <w:tab w:val="left" w:pos="3600"/>
              </w:tabs>
              <w:jc w:val="center"/>
            </w:pPr>
            <w:r>
              <w:rPr>
                <w:rStyle w:val="None"/>
                <w:rFonts w:ascii="Arial" w:hAnsi="Arial"/>
                <w:b w:val="1"/>
                <w:bCs w:val="1"/>
                <w:sz w:val="18"/>
                <w:szCs w:val="18"/>
                <w:shd w:val="nil" w:color="auto" w:fill="auto"/>
                <w:rtl w:val="0"/>
                <w:lang w:val="it-IT"/>
              </w:rPr>
              <w:t>Assessment</w:t>
            </w:r>
          </w:p>
        </w:tc>
      </w:tr>
      <w:tr>
        <w:tblPrEx>
          <w:shd w:val="clear" w:color="auto" w:fill="ced7e7"/>
        </w:tblPrEx>
        <w:trPr>
          <w:trHeight w:val="482" w:hRule="atLeast"/>
        </w:trPr>
        <w:tc>
          <w:tcPr>
            <w:tcW w:type="dxa" w:w="2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hint="default"/>
                <w:sz w:val="20"/>
                <w:szCs w:val="20"/>
                <w:shd w:val="nil" w:color="auto" w:fill="auto"/>
                <w:rtl w:val="0"/>
                <w:lang w:val="de-DE"/>
              </w:rPr>
              <w:t>÷</w:t>
            </w:r>
            <w:r>
              <w:rPr>
                <w:rStyle w:val="None"/>
                <w:rFonts w:ascii="Arial" w:hAnsi="Arial"/>
                <w:sz w:val="20"/>
                <w:szCs w:val="20"/>
                <w:shd w:val="nil" w:color="auto" w:fill="auto"/>
                <w:rtl w:val="0"/>
                <w:lang w:val="en-US"/>
              </w:rPr>
              <w:t>12 (Lunar months)</w:t>
            </w:r>
          </w:p>
        </w:tc>
        <w:tc>
          <w:tcPr>
            <w:tcW w:type="dxa" w:w="15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1,550</w:t>
            </w:r>
            <w:r>
              <w:rPr>
                <w:rStyle w:val="None"/>
                <w:rFonts w:ascii="Arial" w:hAnsi="Arial" w:hint="default"/>
                <w:sz w:val="20"/>
                <w:szCs w:val="20"/>
                <w:shd w:val="nil" w:color="auto" w:fill="auto"/>
                <w:rtl w:val="0"/>
                <w:lang w:val="de-DE"/>
              </w:rPr>
              <w:t>–</w:t>
            </w:r>
            <w:r>
              <w:rPr>
                <w:rStyle w:val="None"/>
                <w:rFonts w:ascii="Arial" w:hAnsi="Arial"/>
                <w:sz w:val="20"/>
                <w:szCs w:val="20"/>
                <w:shd w:val="nil" w:color="auto" w:fill="auto"/>
                <w:rtl w:val="0"/>
                <w:lang w:val="de-DE"/>
              </w:rPr>
              <w:t>3,600 yrs</w:t>
            </w:r>
          </w:p>
        </w:tc>
        <w:tc>
          <w:tcPr>
            <w:tcW w:type="dxa" w:w="15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20,100 yrs</w:t>
            </w:r>
          </w:p>
        </w:tc>
        <w:tc>
          <w:tcPr>
            <w:tcW w:type="dxa" w:w="424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 w:val="left" w:pos="3600"/>
              </w:tabs>
              <w:jc w:val="center"/>
            </w:pPr>
            <w:r>
              <w:rPr>
                <w:rStyle w:val="None"/>
                <w:rFonts w:ascii="Arial" w:hAnsi="Arial"/>
                <w:sz w:val="20"/>
                <w:szCs w:val="20"/>
                <w:shd w:val="nil" w:color="auto" w:fill="auto"/>
                <w:rtl w:val="0"/>
                <w:lang w:val="en-US"/>
              </w:rPr>
              <w:t xml:space="preserve">Implausible </w:t>
            </w:r>
            <w:r>
              <w:rPr>
                <w:rStyle w:val="None"/>
                <w:rFonts w:ascii="Arial" w:hAnsi="Arial" w:hint="default"/>
                <w:sz w:val="20"/>
                <w:szCs w:val="20"/>
                <w:shd w:val="nil" w:color="auto" w:fill="auto"/>
                <w:rtl w:val="0"/>
                <w:lang w:val="en-US"/>
              </w:rPr>
              <w:t xml:space="preserve">— </w:t>
            </w:r>
            <w:r>
              <w:rPr>
                <w:rStyle w:val="None"/>
                <w:rFonts w:ascii="Arial" w:hAnsi="Arial"/>
                <w:sz w:val="20"/>
                <w:szCs w:val="20"/>
                <w:shd w:val="nil" w:color="auto" w:fill="auto"/>
                <w:rtl w:val="0"/>
                <w:lang w:val="en-US"/>
              </w:rPr>
              <w:t>longer than recorded civilisation. Excluded from further analysis.</w:t>
            </w:r>
          </w:p>
        </w:tc>
      </w:tr>
      <w:tr>
        <w:tblPrEx>
          <w:shd w:val="clear" w:color="auto" w:fill="ced7e7"/>
        </w:tblPrEx>
        <w:trPr>
          <w:trHeight w:val="1007" w:hRule="atLeast"/>
        </w:trPr>
        <w:tc>
          <w:tcPr>
            <w:tcW w:type="dxa" w:w="2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hint="default"/>
                <w:sz w:val="20"/>
                <w:szCs w:val="20"/>
                <w:shd w:val="nil" w:color="auto" w:fill="auto"/>
                <w:rtl w:val="0"/>
                <w:lang w:val="de-DE"/>
              </w:rPr>
              <w:t>÷</w:t>
            </w:r>
            <w:r>
              <w:rPr>
                <w:rStyle w:val="None"/>
                <w:rFonts w:ascii="Arial" w:hAnsi="Arial"/>
                <w:sz w:val="20"/>
                <w:szCs w:val="20"/>
                <w:shd w:val="nil" w:color="auto" w:fill="auto"/>
                <w:rtl w:val="0"/>
                <w:lang w:val="it-IT"/>
              </w:rPr>
              <w:t>60 (1 Jiazi)</w:t>
            </w:r>
          </w:p>
        </w:tc>
        <w:tc>
          <w:tcPr>
            <w:tcW w:type="dxa" w:w="15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310</w:t>
            </w:r>
            <w:r>
              <w:rPr>
                <w:rStyle w:val="None"/>
                <w:rFonts w:ascii="Arial" w:hAnsi="Arial" w:hint="default"/>
                <w:sz w:val="20"/>
                <w:szCs w:val="20"/>
                <w:shd w:val="nil" w:color="auto" w:fill="auto"/>
                <w:rtl w:val="0"/>
                <w:lang w:val="de-DE"/>
              </w:rPr>
              <w:t>–</w:t>
            </w:r>
            <w:r>
              <w:rPr>
                <w:rStyle w:val="None"/>
                <w:rFonts w:ascii="Arial" w:hAnsi="Arial"/>
                <w:sz w:val="20"/>
                <w:szCs w:val="20"/>
                <w:shd w:val="nil" w:color="auto" w:fill="auto"/>
                <w:rtl w:val="0"/>
                <w:lang w:val="de-DE"/>
              </w:rPr>
              <w:t>720 yrs</w:t>
            </w:r>
          </w:p>
        </w:tc>
        <w:tc>
          <w:tcPr>
            <w:tcW w:type="dxa" w:w="15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4,020 yrs</w:t>
            </w:r>
          </w:p>
        </w:tc>
        <w:tc>
          <w:tcPr>
            <w:tcW w:type="dxa" w:w="424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 w:val="left" w:pos="3600"/>
              </w:tabs>
              <w:jc w:val="center"/>
            </w:pPr>
            <w:r>
              <w:rPr>
                <w:rStyle w:val="None"/>
                <w:rFonts w:ascii="Arial" w:hAnsi="Arial"/>
                <w:sz w:val="20"/>
                <w:szCs w:val="20"/>
                <w:shd w:val="nil" w:color="auto" w:fill="auto"/>
                <w:rtl w:val="0"/>
                <w:lang w:val="en-US"/>
              </w:rPr>
              <w:t>Implausible for individual reigns. Produces plausible figures for post-flood First Dynasty of Kish (see Section 6.2), confirming its utility for a different encoding tier.</w:t>
            </w:r>
          </w:p>
        </w:tc>
      </w:tr>
      <w:tr>
        <w:tblPrEx>
          <w:shd w:val="clear" w:color="auto" w:fill="ced7e7"/>
        </w:tblPrEx>
        <w:trPr>
          <w:trHeight w:val="1269" w:hRule="atLeast"/>
        </w:trPr>
        <w:tc>
          <w:tcPr>
            <w:tcW w:type="dxa" w:w="2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hint="default"/>
                <w:sz w:val="20"/>
                <w:szCs w:val="20"/>
                <w:shd w:val="nil" w:color="auto" w:fill="auto"/>
                <w:rtl w:val="0"/>
                <w:lang w:val="de-DE"/>
              </w:rPr>
              <w:t>÷</w:t>
            </w:r>
            <w:r>
              <w:rPr>
                <w:rStyle w:val="None"/>
                <w:rFonts w:ascii="Arial" w:hAnsi="Arial"/>
                <w:sz w:val="20"/>
                <w:szCs w:val="20"/>
                <w:shd w:val="nil" w:color="auto" w:fill="auto"/>
                <w:rtl w:val="0"/>
                <w:lang w:val="en-US"/>
              </w:rPr>
              <w:t>360 (Prophetic/Divine yr)</w:t>
            </w:r>
          </w:p>
        </w:tc>
        <w:tc>
          <w:tcPr>
            <w:tcW w:type="dxa" w:w="15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52</w:t>
            </w:r>
            <w:r>
              <w:rPr>
                <w:rStyle w:val="None"/>
                <w:rFonts w:ascii="Arial" w:hAnsi="Arial" w:hint="default"/>
                <w:sz w:val="20"/>
                <w:szCs w:val="20"/>
                <w:shd w:val="nil" w:color="auto" w:fill="auto"/>
                <w:rtl w:val="0"/>
                <w:lang w:val="de-DE"/>
              </w:rPr>
              <w:t>–</w:t>
            </w:r>
            <w:r>
              <w:rPr>
                <w:rStyle w:val="None"/>
                <w:rFonts w:ascii="Arial" w:hAnsi="Arial"/>
                <w:sz w:val="20"/>
                <w:szCs w:val="20"/>
                <w:shd w:val="nil" w:color="auto" w:fill="auto"/>
                <w:rtl w:val="0"/>
                <w:lang w:val="de-DE"/>
              </w:rPr>
              <w:t>120 yrs</w:t>
            </w:r>
          </w:p>
        </w:tc>
        <w:tc>
          <w:tcPr>
            <w:tcW w:type="dxa" w:w="15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670 yrs</w:t>
            </w:r>
          </w:p>
        </w:tc>
        <w:tc>
          <w:tcPr>
            <w:tcW w:type="dxa" w:w="424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 w:val="left" w:pos="3600"/>
              </w:tabs>
              <w:jc w:val="center"/>
            </w:pPr>
            <w:r>
              <w:rPr>
                <w:rStyle w:val="None"/>
                <w:rFonts w:ascii="Arial" w:hAnsi="Arial"/>
                <w:sz w:val="20"/>
                <w:szCs w:val="20"/>
                <w:shd w:val="nil" w:color="auto" w:fill="auto"/>
                <w:rtl w:val="0"/>
                <w:lang w:val="en-US"/>
              </w:rPr>
              <w:t>Implausible for individual rulers. Consistent with dynasty spans of 2</w:t>
            </w:r>
            <w:r>
              <w:rPr>
                <w:rStyle w:val="None"/>
                <w:rFonts w:ascii="Arial" w:hAnsi="Arial" w:hint="default"/>
                <w:sz w:val="20"/>
                <w:szCs w:val="20"/>
                <w:shd w:val="nil" w:color="auto" w:fill="auto"/>
                <w:rtl w:val="0"/>
                <w:lang w:val="de-DE"/>
              </w:rPr>
              <w:t>–</w:t>
            </w:r>
            <w:r>
              <w:rPr>
                <w:rStyle w:val="None"/>
                <w:rFonts w:ascii="Arial" w:hAnsi="Arial"/>
                <w:sz w:val="20"/>
                <w:szCs w:val="20"/>
                <w:shd w:val="nil" w:color="auto" w:fill="auto"/>
                <w:rtl w:val="0"/>
                <w:lang w:val="en-US"/>
              </w:rPr>
              <w:t>4 rulers per named 'king' (Level 3 compression). Start date ~3,570 BCE = Uruk Expansion, archaeologically significant.</w:t>
            </w:r>
          </w:p>
        </w:tc>
      </w:tr>
      <w:tr>
        <w:tblPrEx>
          <w:shd w:val="clear" w:color="auto" w:fill="ced7e7"/>
        </w:tblPrEx>
        <w:trPr>
          <w:trHeight w:val="1007" w:hRule="atLeast"/>
        </w:trPr>
        <w:tc>
          <w:tcPr>
            <w:tcW w:type="dxa" w:w="2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hint="default"/>
                <w:sz w:val="20"/>
                <w:szCs w:val="20"/>
                <w:shd w:val="nil" w:color="auto" w:fill="auto"/>
                <w:rtl w:val="0"/>
                <w:lang w:val="de-DE"/>
              </w:rPr>
              <w:t>÷</w:t>
            </w:r>
            <w:r>
              <w:rPr>
                <w:rStyle w:val="None"/>
                <w:rFonts w:ascii="Arial" w:hAnsi="Arial"/>
                <w:sz w:val="20"/>
                <w:szCs w:val="20"/>
                <w:shd w:val="nil" w:color="auto" w:fill="auto"/>
                <w:rtl w:val="0"/>
                <w:lang w:val="it-IT"/>
              </w:rPr>
              <w:t>720 (12-Jiazi cycles)</w:t>
            </w:r>
          </w:p>
        </w:tc>
        <w:tc>
          <w:tcPr>
            <w:tcW w:type="dxa" w:w="15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26</w:t>
            </w:r>
            <w:r>
              <w:rPr>
                <w:rStyle w:val="None"/>
                <w:rFonts w:ascii="Arial" w:hAnsi="Arial" w:hint="default"/>
                <w:sz w:val="20"/>
                <w:szCs w:val="20"/>
                <w:shd w:val="nil" w:color="auto" w:fill="auto"/>
                <w:rtl w:val="0"/>
                <w:lang w:val="de-DE"/>
              </w:rPr>
              <w:t>–</w:t>
            </w:r>
            <w:r>
              <w:rPr>
                <w:rStyle w:val="None"/>
                <w:rFonts w:ascii="Arial" w:hAnsi="Arial"/>
                <w:sz w:val="20"/>
                <w:szCs w:val="20"/>
                <w:shd w:val="nil" w:color="auto" w:fill="auto"/>
                <w:rtl w:val="0"/>
                <w:lang w:val="de-DE"/>
              </w:rPr>
              <w:t>60 yrs</w:t>
            </w:r>
          </w:p>
        </w:tc>
        <w:tc>
          <w:tcPr>
            <w:tcW w:type="dxa" w:w="15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en-US"/>
              </w:rPr>
              <w:t>335 yrs</w:t>
            </w:r>
          </w:p>
        </w:tc>
        <w:tc>
          <w:tcPr>
            <w:tcW w:type="dxa" w:w="424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 w:val="left" w:pos="3600"/>
              </w:tabs>
              <w:jc w:val="center"/>
            </w:pPr>
            <w:r>
              <w:rPr>
                <w:rStyle w:val="None"/>
                <w:rFonts w:ascii="Arial" w:hAnsi="Arial"/>
                <w:sz w:val="20"/>
                <w:szCs w:val="20"/>
                <w:shd w:val="nil" w:color="auto" w:fill="auto"/>
                <w:rtl w:val="0"/>
                <w:lang w:val="en-US"/>
              </w:rPr>
              <w:t>Plausible for individual rulers at the upper range of attested early kingship. Start date ~3,235 BCE = Late Uruk/Jemdet Nasr (Level 2 compression).</w:t>
            </w:r>
          </w:p>
        </w:tc>
      </w:tr>
      <w:tr>
        <w:tblPrEx>
          <w:shd w:val="clear" w:color="auto" w:fill="ced7e7"/>
        </w:tblPrEx>
        <w:trPr>
          <w:trHeight w:val="1269" w:hRule="atLeast"/>
        </w:trPr>
        <w:tc>
          <w:tcPr>
            <w:tcW w:type="dxa" w:w="2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hint="default"/>
                <w:sz w:val="20"/>
                <w:szCs w:val="20"/>
                <w:shd w:val="nil" w:color="auto" w:fill="auto"/>
                <w:rtl w:val="0"/>
                <w:lang w:val="de-DE"/>
              </w:rPr>
              <w:t>÷</w:t>
            </w:r>
            <w:r>
              <w:rPr>
                <w:rStyle w:val="None"/>
                <w:rFonts w:ascii="Arial" w:hAnsi="Arial"/>
                <w:sz w:val="20"/>
                <w:szCs w:val="20"/>
                <w:shd w:val="nil" w:color="auto" w:fill="auto"/>
                <w:rtl w:val="0"/>
                <w:lang w:val="de-DE"/>
              </w:rPr>
              <w:t>3,600 (1 Sar)</w:t>
            </w:r>
          </w:p>
        </w:tc>
        <w:tc>
          <w:tcPr>
            <w:tcW w:type="dxa" w:w="15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5</w:t>
            </w:r>
            <w:r>
              <w:rPr>
                <w:rStyle w:val="None"/>
                <w:rFonts w:ascii="Arial" w:hAnsi="Arial" w:hint="default"/>
                <w:sz w:val="20"/>
                <w:szCs w:val="20"/>
                <w:shd w:val="nil" w:color="auto" w:fill="auto"/>
                <w:rtl w:val="0"/>
                <w:lang w:val="de-DE"/>
              </w:rPr>
              <w:t>–</w:t>
            </w:r>
            <w:r>
              <w:rPr>
                <w:rStyle w:val="None"/>
                <w:rFonts w:ascii="Arial" w:hAnsi="Arial"/>
                <w:sz w:val="20"/>
                <w:szCs w:val="20"/>
                <w:shd w:val="nil" w:color="auto" w:fill="auto"/>
                <w:rtl w:val="0"/>
                <w:lang w:val="de-DE"/>
              </w:rPr>
              <w:t>12 yrs</w:t>
            </w:r>
          </w:p>
        </w:tc>
        <w:tc>
          <w:tcPr>
            <w:tcW w:type="dxa" w:w="15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en-US"/>
              </w:rPr>
              <w:t>67 yrs</w:t>
            </w:r>
          </w:p>
        </w:tc>
        <w:tc>
          <w:tcPr>
            <w:tcW w:type="dxa" w:w="424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 w:val="left" w:pos="3600"/>
              </w:tabs>
              <w:jc w:val="center"/>
            </w:pPr>
            <w:r>
              <w:rPr>
                <w:rStyle w:val="None"/>
                <w:rFonts w:ascii="Arial" w:hAnsi="Arial"/>
                <w:sz w:val="20"/>
                <w:szCs w:val="20"/>
                <w:shd w:val="nil" w:color="auto" w:fill="auto"/>
                <w:rtl w:val="0"/>
                <w:lang w:val="en-US"/>
              </w:rPr>
              <w:t>Most parsimonious for individual reigns. Matches Early Dynastic I governance patterns. Start date ~2,967 BCE (Level 1 compression). Primary result per Vondoom (2026).</w:t>
            </w:r>
          </w:p>
        </w:tc>
      </w:tr>
    </w:tbl>
    <w:p>
      <w:pPr>
        <w:pStyle w:val="Heading 2"/>
        <w:widowControl w:val="0"/>
        <w:ind w:left="108" w:hanging="108"/>
        <w:rPr>
          <w:rStyle w:val="None"/>
          <w:rFonts w:ascii="Verdana" w:cs="Verdana" w:hAnsi="Verdana" w:eastAsia="Verdana"/>
          <w:b w:val="0"/>
          <w:bCs w:val="0"/>
          <w:lang w:val="en-US"/>
        </w:rPr>
      </w:pPr>
    </w:p>
    <w:p>
      <w:pPr>
        <w:pStyle w:val="Heading 2"/>
        <w:widowControl w:val="0"/>
        <w:rPr>
          <w:rStyle w:val="None"/>
          <w:rFonts w:ascii="Verdana" w:cs="Verdana" w:hAnsi="Verdana" w:eastAsia="Verdana"/>
          <w:b w:val="0"/>
          <w:bCs w:val="0"/>
        </w:rPr>
      </w:pPr>
    </w:p>
    <w:p>
      <w:pPr>
        <w:pStyle w:val="Heading 2"/>
        <w:widowControl w:val="0"/>
        <w:rPr>
          <w:rStyle w:val="None"/>
          <w:rFonts w:ascii="Verdana" w:cs="Verdana" w:hAnsi="Verdana" w:eastAsia="Verdana"/>
          <w:b w:val="0"/>
          <w:bCs w:val="0"/>
        </w:rPr>
      </w:pPr>
    </w:p>
    <w:p>
      <w:pPr>
        <w:pStyle w:val="Heading 2"/>
        <w:rPr>
          <w:rStyle w:val="None"/>
          <w:rFonts w:ascii="Verdana" w:cs="Verdana" w:hAnsi="Verdana" w:eastAsia="Verdana"/>
          <w:b w:val="0"/>
          <w:bCs w:val="0"/>
          <w:lang w:val="en-US"/>
        </w:rPr>
      </w:pPr>
      <w:r>
        <w:rPr>
          <w:rStyle w:val="None"/>
          <w:rFonts w:ascii="Verdana" w:hAnsi="Verdana"/>
          <w:b w:val="0"/>
          <w:bCs w:val="0"/>
          <w:rtl w:val="0"/>
          <w:lang w:val="en-US"/>
        </w:rPr>
        <w:t>8.3 Precession-Degree Outlier Analysis</w:t>
      </w:r>
    </w:p>
    <w:p>
      <w:pPr>
        <w:pStyle w:val="Heading 2"/>
        <w:rPr>
          <w:rStyle w:val="None"/>
          <w:rFonts w:ascii="Verdana" w:cs="Verdana" w:hAnsi="Verdana" w:eastAsia="Verdana"/>
          <w:b w:val="0"/>
          <w:bCs w:val="0"/>
        </w:rPr>
      </w:pPr>
      <w:r>
        <w:rPr>
          <w:rStyle w:val="None"/>
          <w:rFonts w:ascii="Verdana" w:hAnsi="Verdana"/>
          <w:b w:val="0"/>
          <w:bCs w:val="0"/>
          <w:sz w:val="22"/>
          <w:szCs w:val="22"/>
          <w:rtl w:val="0"/>
          <w:lang w:val="en-US"/>
        </w:rPr>
        <w:t>Table 3 presents the precession-degree test (</w:t>
      </w:r>
      <w:r>
        <w:rPr>
          <w:rStyle w:val="None"/>
          <w:rFonts w:ascii="Verdana" w:hAnsi="Verdana" w:hint="default"/>
          <w:b w:val="0"/>
          <w:bCs w:val="0"/>
          <w:sz w:val="22"/>
          <w:szCs w:val="22"/>
          <w:rtl w:val="0"/>
          <w:lang w:val="it-IT"/>
        </w:rPr>
        <w:t>÷</w:t>
      </w:r>
      <w:r>
        <w:rPr>
          <w:rStyle w:val="None"/>
          <w:rFonts w:ascii="Verdana" w:hAnsi="Verdana"/>
          <w:b w:val="0"/>
          <w:bCs w:val="0"/>
          <w:sz w:val="22"/>
          <w:szCs w:val="22"/>
          <w:rtl w:val="0"/>
          <w:lang w:val="en-US"/>
        </w:rPr>
        <w:t>72) for all eight kings.</w:t>
      </w:r>
    </w:p>
    <w:p>
      <w:pPr>
        <w:pStyle w:val="Heading 2"/>
        <w:rPr>
          <w:rStyle w:val="None"/>
          <w:rFonts w:ascii="Verdana" w:cs="Verdana" w:hAnsi="Verdana" w:eastAsia="Verdana"/>
          <w:b w:val="0"/>
          <w:bCs w:val="0"/>
          <w:lang w:val="en-US"/>
        </w:rPr>
      </w:pPr>
      <w:r>
        <w:rPr>
          <w:rStyle w:val="None"/>
          <w:rFonts w:ascii="Verdana" w:hAnsi="Verdana"/>
          <w:b w:val="0"/>
          <w:bCs w:val="0"/>
          <w:i w:val="1"/>
          <w:iCs w:val="1"/>
          <w:sz w:val="20"/>
          <w:szCs w:val="20"/>
          <w:rtl w:val="0"/>
          <w:lang w:val="en-US"/>
        </w:rPr>
        <w:t xml:space="preserve">Table 3: Pre-Flood SKL Reigns in Precession-Degrees </w:t>
      </w:r>
      <w:r>
        <w:rPr>
          <w:rStyle w:val="None"/>
          <w:rFonts w:ascii="Verdana" w:hAnsi="Verdana" w:hint="default"/>
          <w:b w:val="0"/>
          <w:bCs w:val="0"/>
          <w:i w:val="1"/>
          <w:iCs w:val="1"/>
          <w:sz w:val="20"/>
          <w:szCs w:val="20"/>
          <w:rtl w:val="0"/>
          <w:lang w:val="en-US"/>
        </w:rPr>
        <w:t xml:space="preserve">— </w:t>
      </w:r>
      <w:r>
        <w:rPr>
          <w:rStyle w:val="None"/>
          <w:rFonts w:ascii="Verdana" w:hAnsi="Verdana"/>
          <w:b w:val="0"/>
          <w:bCs w:val="0"/>
          <w:i w:val="1"/>
          <w:iCs w:val="1"/>
          <w:sz w:val="20"/>
          <w:szCs w:val="20"/>
          <w:rtl w:val="0"/>
          <w:lang w:val="en-US"/>
        </w:rPr>
        <w:t>Outlier Analysis</w:t>
      </w: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900"/>
        <w:gridCol w:w="1300"/>
        <w:gridCol w:w="1460"/>
        <w:gridCol w:w="1200"/>
        <w:gridCol w:w="3500"/>
      </w:tblGrid>
      <w:tr>
        <w:tblPrEx>
          <w:shd w:val="clear" w:color="auto" w:fill="ced7e7"/>
        </w:tblPrEx>
        <w:trPr>
          <w:trHeight w:val="438" w:hRule="atLeast"/>
        </w:trPr>
        <w:tc>
          <w:tcPr>
            <w:tcW w:type="dxa" w:w="19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b w:val="1"/>
                <w:bCs w:val="1"/>
                <w:sz w:val="18"/>
                <w:szCs w:val="18"/>
                <w:shd w:val="nil" w:color="auto" w:fill="auto"/>
                <w:rtl w:val="0"/>
                <w:lang w:val="en-US"/>
              </w:rPr>
              <w:t>King</w:t>
            </w:r>
          </w:p>
        </w:tc>
        <w:tc>
          <w:tcPr>
            <w:tcW w:type="dxa" w:w="13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s>
              <w:jc w:val="center"/>
            </w:pPr>
            <w:r>
              <w:rPr>
                <w:rStyle w:val="None"/>
                <w:rFonts w:ascii="Arial" w:hAnsi="Arial"/>
                <w:b w:val="1"/>
                <w:bCs w:val="1"/>
                <w:sz w:val="18"/>
                <w:szCs w:val="18"/>
                <w:shd w:val="nil" w:color="auto" w:fill="auto"/>
                <w:rtl w:val="0"/>
                <w:lang w:val="de-DE"/>
              </w:rPr>
              <w:t>Raw</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hint="default"/>
                <w:b w:val="1"/>
                <w:bCs w:val="1"/>
                <w:sz w:val="18"/>
                <w:szCs w:val="18"/>
                <w:shd w:val="nil" w:color="auto" w:fill="auto"/>
                <w:rtl w:val="0"/>
                <w:lang w:val="de-DE"/>
              </w:rPr>
              <w:t>÷</w:t>
            </w:r>
            <w:r>
              <w:rPr>
                <w:rStyle w:val="None"/>
                <w:rFonts w:ascii="Arial" w:hAnsi="Arial"/>
                <w:b w:val="1"/>
                <w:bCs w:val="1"/>
                <w:sz w:val="18"/>
                <w:szCs w:val="18"/>
                <w:shd w:val="nil" w:color="auto" w:fill="auto"/>
                <w:rtl w:val="0"/>
                <w:lang w:val="en-US"/>
              </w:rPr>
              <w:t>72 (Prec.-Degrees)</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s>
              <w:jc w:val="center"/>
            </w:pPr>
            <w:r>
              <w:rPr>
                <w:rStyle w:val="None"/>
                <w:rFonts w:ascii="Arial" w:hAnsi="Arial"/>
                <w:b w:val="1"/>
                <w:bCs w:val="1"/>
                <w:sz w:val="18"/>
                <w:szCs w:val="18"/>
                <w:shd w:val="nil" w:color="auto" w:fill="auto"/>
                <w:rtl w:val="0"/>
                <w:lang w:val="en-US"/>
              </w:rPr>
              <w:t>Exact Sars?</w:t>
            </w:r>
          </w:p>
        </w:tc>
        <w:tc>
          <w:tcPr>
            <w:tcW w:type="dxa" w:w="35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b w:val="1"/>
                <w:bCs w:val="1"/>
                <w:sz w:val="18"/>
                <w:szCs w:val="18"/>
                <w:shd w:val="nil" w:color="auto" w:fill="auto"/>
                <w:rtl w:val="0"/>
                <w:lang w:val="de-DE"/>
              </w:rPr>
              <w:t>Outlier Status</w:t>
            </w:r>
          </w:p>
        </w:tc>
      </w:tr>
      <w:tr>
        <w:tblPrEx>
          <w:shd w:val="clear" w:color="auto" w:fill="ced7e7"/>
        </w:tblPrEx>
        <w:trPr>
          <w:trHeight w:val="283" w:hRule="atLeast"/>
        </w:trPr>
        <w:tc>
          <w:tcPr>
            <w:tcW w:type="dxa" w:w="19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Alulim</w:t>
            </w:r>
          </w:p>
        </w:tc>
        <w:tc>
          <w:tcPr>
            <w:tcW w:type="dxa" w:w="13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28,800</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400</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en-US"/>
              </w:rPr>
              <w:t xml:space="preserve">Yes </w:t>
            </w:r>
            <w:r>
              <w:rPr>
                <w:rStyle w:val="None"/>
                <w:rFonts w:ascii="Arial Unicode MS" w:hAnsi="Arial Unicode MS" w:hint="default"/>
                <w:sz w:val="20"/>
                <w:szCs w:val="20"/>
                <w:shd w:val="nil" w:color="auto" w:fill="auto"/>
                <w:rtl w:val="0"/>
                <w:lang w:val="de-DE"/>
              </w:rPr>
              <w:t>✓</w:t>
            </w:r>
          </w:p>
        </w:tc>
        <w:tc>
          <w:tcPr>
            <w:tcW w:type="dxa" w:w="35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sz w:val="20"/>
                <w:szCs w:val="20"/>
                <w:shd w:val="nil" w:color="auto" w:fill="auto"/>
                <w:rtl w:val="0"/>
                <w:lang w:val="en-US"/>
              </w:rPr>
              <w:t xml:space="preserve">Within both systems </w:t>
            </w:r>
            <w:r>
              <w:rPr>
                <w:rStyle w:val="None"/>
                <w:rFonts w:ascii="Arial Unicode MS" w:hAnsi="Arial Unicode MS" w:hint="default"/>
                <w:sz w:val="20"/>
                <w:szCs w:val="20"/>
                <w:shd w:val="nil" w:color="auto" w:fill="auto"/>
                <w:rtl w:val="0"/>
                <w:lang w:val="de-DE"/>
              </w:rPr>
              <w:t>✓</w:t>
            </w:r>
          </w:p>
        </w:tc>
      </w:tr>
      <w:tr>
        <w:tblPrEx>
          <w:shd w:val="clear" w:color="auto" w:fill="ced7e7"/>
        </w:tblPrEx>
        <w:trPr>
          <w:trHeight w:val="283" w:hRule="atLeast"/>
        </w:trPr>
        <w:tc>
          <w:tcPr>
            <w:tcW w:type="dxa" w:w="19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Alalngar</w:t>
            </w:r>
          </w:p>
        </w:tc>
        <w:tc>
          <w:tcPr>
            <w:tcW w:type="dxa" w:w="13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en-US"/>
              </w:rPr>
              <w:t>36,000</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500</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en-US"/>
              </w:rPr>
              <w:t xml:space="preserve">Yes </w:t>
            </w:r>
            <w:r>
              <w:rPr>
                <w:rStyle w:val="None"/>
                <w:rFonts w:ascii="Arial Unicode MS" w:hAnsi="Arial Unicode MS" w:hint="default"/>
                <w:sz w:val="20"/>
                <w:szCs w:val="20"/>
                <w:shd w:val="nil" w:color="auto" w:fill="auto"/>
                <w:rtl w:val="0"/>
                <w:lang w:val="de-DE"/>
              </w:rPr>
              <w:t>✓</w:t>
            </w:r>
          </w:p>
        </w:tc>
        <w:tc>
          <w:tcPr>
            <w:tcW w:type="dxa" w:w="35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sz w:val="20"/>
                <w:szCs w:val="20"/>
                <w:shd w:val="nil" w:color="auto" w:fill="auto"/>
                <w:rtl w:val="0"/>
                <w:lang w:val="en-US"/>
              </w:rPr>
              <w:t xml:space="preserve">Within both systems </w:t>
            </w:r>
            <w:r>
              <w:rPr>
                <w:rStyle w:val="None"/>
                <w:rFonts w:ascii="Arial Unicode MS" w:hAnsi="Arial Unicode MS" w:hint="default"/>
                <w:sz w:val="20"/>
                <w:szCs w:val="20"/>
                <w:shd w:val="nil" w:color="auto" w:fill="auto"/>
                <w:rtl w:val="0"/>
                <w:lang w:val="de-DE"/>
              </w:rPr>
              <w:t>✓</w:t>
            </w:r>
          </w:p>
        </w:tc>
      </w:tr>
      <w:tr>
        <w:tblPrEx>
          <w:shd w:val="clear" w:color="auto" w:fill="ced7e7"/>
        </w:tblPrEx>
        <w:trPr>
          <w:trHeight w:val="283" w:hRule="atLeast"/>
        </w:trPr>
        <w:tc>
          <w:tcPr>
            <w:tcW w:type="dxa" w:w="19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En-men-lu-ana</w:t>
            </w:r>
          </w:p>
        </w:tc>
        <w:tc>
          <w:tcPr>
            <w:tcW w:type="dxa" w:w="13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43,200</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600</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en-US"/>
              </w:rPr>
              <w:t xml:space="preserve">Yes </w:t>
            </w:r>
            <w:r>
              <w:rPr>
                <w:rStyle w:val="None"/>
                <w:rFonts w:ascii="Arial Unicode MS" w:hAnsi="Arial Unicode MS" w:hint="default"/>
                <w:sz w:val="20"/>
                <w:szCs w:val="20"/>
                <w:shd w:val="nil" w:color="auto" w:fill="auto"/>
                <w:rtl w:val="0"/>
                <w:lang w:val="de-DE"/>
              </w:rPr>
              <w:t>✓</w:t>
            </w:r>
          </w:p>
        </w:tc>
        <w:tc>
          <w:tcPr>
            <w:tcW w:type="dxa" w:w="35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sz w:val="20"/>
                <w:szCs w:val="20"/>
                <w:shd w:val="nil" w:color="auto" w:fill="auto"/>
                <w:rtl w:val="0"/>
                <w:lang w:val="en-US"/>
              </w:rPr>
              <w:t xml:space="preserve">Within both systems </w:t>
            </w:r>
            <w:r>
              <w:rPr>
                <w:rStyle w:val="None"/>
                <w:rFonts w:ascii="Arial Unicode MS" w:hAnsi="Arial Unicode MS" w:hint="default"/>
                <w:sz w:val="20"/>
                <w:szCs w:val="20"/>
                <w:shd w:val="nil" w:color="auto" w:fill="auto"/>
                <w:rtl w:val="0"/>
                <w:lang w:val="de-DE"/>
              </w:rPr>
              <w:t>✓</w:t>
            </w:r>
          </w:p>
        </w:tc>
      </w:tr>
      <w:tr>
        <w:tblPrEx>
          <w:shd w:val="clear" w:color="auto" w:fill="ced7e7"/>
        </w:tblPrEx>
        <w:trPr>
          <w:trHeight w:val="283" w:hRule="atLeast"/>
        </w:trPr>
        <w:tc>
          <w:tcPr>
            <w:tcW w:type="dxa" w:w="19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En-men-gal-ana</w:t>
            </w:r>
          </w:p>
        </w:tc>
        <w:tc>
          <w:tcPr>
            <w:tcW w:type="dxa" w:w="13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28,800</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400</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en-US"/>
              </w:rPr>
              <w:t xml:space="preserve">Yes </w:t>
            </w:r>
            <w:r>
              <w:rPr>
                <w:rStyle w:val="None"/>
                <w:rFonts w:ascii="Arial Unicode MS" w:hAnsi="Arial Unicode MS" w:hint="default"/>
                <w:sz w:val="20"/>
                <w:szCs w:val="20"/>
                <w:shd w:val="nil" w:color="auto" w:fill="auto"/>
                <w:rtl w:val="0"/>
                <w:lang w:val="de-DE"/>
              </w:rPr>
              <w:t>✓</w:t>
            </w:r>
          </w:p>
        </w:tc>
        <w:tc>
          <w:tcPr>
            <w:tcW w:type="dxa" w:w="35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sz w:val="20"/>
                <w:szCs w:val="20"/>
                <w:shd w:val="nil" w:color="auto" w:fill="auto"/>
                <w:rtl w:val="0"/>
                <w:lang w:val="en-US"/>
              </w:rPr>
              <w:t xml:space="preserve">Within both systems </w:t>
            </w:r>
            <w:r>
              <w:rPr>
                <w:rStyle w:val="None"/>
                <w:rFonts w:ascii="Arial Unicode MS" w:hAnsi="Arial Unicode MS" w:hint="default"/>
                <w:sz w:val="20"/>
                <w:szCs w:val="20"/>
                <w:shd w:val="nil" w:color="auto" w:fill="auto"/>
                <w:rtl w:val="0"/>
                <w:lang w:val="de-DE"/>
              </w:rPr>
              <w:t>✓</w:t>
            </w:r>
          </w:p>
        </w:tc>
      </w:tr>
      <w:tr>
        <w:tblPrEx>
          <w:shd w:val="clear" w:color="auto" w:fill="ced7e7"/>
        </w:tblPrEx>
        <w:trPr>
          <w:trHeight w:val="283" w:hRule="atLeast"/>
        </w:trPr>
        <w:tc>
          <w:tcPr>
            <w:tcW w:type="dxa" w:w="19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Dumuzid</w:t>
            </w:r>
          </w:p>
        </w:tc>
        <w:tc>
          <w:tcPr>
            <w:tcW w:type="dxa" w:w="13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en-US"/>
              </w:rPr>
              <w:t>36,000</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500</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en-US"/>
              </w:rPr>
              <w:t xml:space="preserve">Yes </w:t>
            </w:r>
            <w:r>
              <w:rPr>
                <w:rStyle w:val="None"/>
                <w:rFonts w:ascii="Arial Unicode MS" w:hAnsi="Arial Unicode MS" w:hint="default"/>
                <w:sz w:val="20"/>
                <w:szCs w:val="20"/>
                <w:shd w:val="nil" w:color="auto" w:fill="auto"/>
                <w:rtl w:val="0"/>
                <w:lang w:val="de-DE"/>
              </w:rPr>
              <w:t>✓</w:t>
            </w:r>
          </w:p>
        </w:tc>
        <w:tc>
          <w:tcPr>
            <w:tcW w:type="dxa" w:w="35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sz w:val="20"/>
                <w:szCs w:val="20"/>
                <w:shd w:val="nil" w:color="auto" w:fill="auto"/>
                <w:rtl w:val="0"/>
                <w:lang w:val="en-US"/>
              </w:rPr>
              <w:t xml:space="preserve">Within both systems </w:t>
            </w:r>
            <w:r>
              <w:rPr>
                <w:rStyle w:val="None"/>
                <w:rFonts w:ascii="Arial Unicode MS" w:hAnsi="Arial Unicode MS" w:hint="default"/>
                <w:sz w:val="20"/>
                <w:szCs w:val="20"/>
                <w:shd w:val="nil" w:color="auto" w:fill="auto"/>
                <w:rtl w:val="0"/>
                <w:lang w:val="de-DE"/>
              </w:rPr>
              <w:t>✓</w:t>
            </w:r>
          </w:p>
        </w:tc>
      </w:tr>
      <w:tr>
        <w:tblPrEx>
          <w:shd w:val="clear" w:color="auto" w:fill="ced7e7"/>
        </w:tblPrEx>
        <w:trPr>
          <w:trHeight w:val="283" w:hRule="atLeast"/>
        </w:trPr>
        <w:tc>
          <w:tcPr>
            <w:tcW w:type="dxa" w:w="19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En-sipad-zid-ana</w:t>
            </w:r>
          </w:p>
        </w:tc>
        <w:tc>
          <w:tcPr>
            <w:tcW w:type="dxa" w:w="13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28,800</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400</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en-US"/>
              </w:rPr>
              <w:t xml:space="preserve">Yes </w:t>
            </w:r>
            <w:r>
              <w:rPr>
                <w:rStyle w:val="None"/>
                <w:rFonts w:ascii="Arial Unicode MS" w:hAnsi="Arial Unicode MS" w:hint="default"/>
                <w:sz w:val="20"/>
                <w:szCs w:val="20"/>
                <w:shd w:val="nil" w:color="auto" w:fill="auto"/>
                <w:rtl w:val="0"/>
                <w:lang w:val="de-DE"/>
              </w:rPr>
              <w:t>✓</w:t>
            </w:r>
          </w:p>
        </w:tc>
        <w:tc>
          <w:tcPr>
            <w:tcW w:type="dxa" w:w="35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sz w:val="20"/>
                <w:szCs w:val="20"/>
                <w:shd w:val="nil" w:color="auto" w:fill="auto"/>
                <w:rtl w:val="0"/>
                <w:lang w:val="en-US"/>
              </w:rPr>
              <w:t xml:space="preserve">Within both systems </w:t>
            </w:r>
            <w:r>
              <w:rPr>
                <w:rStyle w:val="None"/>
                <w:rFonts w:ascii="Arial Unicode MS" w:hAnsi="Arial Unicode MS" w:hint="default"/>
                <w:sz w:val="20"/>
                <w:szCs w:val="20"/>
                <w:shd w:val="nil" w:color="auto" w:fill="auto"/>
                <w:rtl w:val="0"/>
                <w:lang w:val="de-DE"/>
              </w:rPr>
              <w:t>✓</w:t>
            </w:r>
          </w:p>
        </w:tc>
      </w:tr>
      <w:tr>
        <w:tblPrEx>
          <w:shd w:val="clear" w:color="auto" w:fill="ced7e7"/>
        </w:tblPrEx>
        <w:trPr>
          <w:trHeight w:val="218" w:hRule="atLeast"/>
        </w:trPr>
        <w:tc>
          <w:tcPr>
            <w:tcW w:type="dxa" w:w="19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En-men-dur-ana</w:t>
            </w:r>
          </w:p>
        </w:tc>
        <w:tc>
          <w:tcPr>
            <w:tcW w:type="dxa" w:w="13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en-US"/>
              </w:rPr>
              <w:t>21,000</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hint="default"/>
                <w:sz w:val="20"/>
                <w:szCs w:val="20"/>
                <w:shd w:val="nil" w:color="auto" w:fill="auto"/>
                <w:rtl w:val="0"/>
                <w:lang w:val="en-US"/>
              </w:rPr>
              <w:t>—</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No</w:t>
            </w:r>
          </w:p>
        </w:tc>
        <w:tc>
          <w:tcPr>
            <w:tcW w:type="dxa" w:w="35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b w:val="1"/>
                <w:bCs w:val="1"/>
                <w:sz w:val="20"/>
                <w:szCs w:val="20"/>
                <w:shd w:val="nil" w:color="auto" w:fill="auto"/>
                <w:rtl w:val="0"/>
                <w:lang w:val="en-US"/>
              </w:rPr>
              <w:t>OUTLIER under both systems</w:t>
            </w:r>
          </w:p>
        </w:tc>
      </w:tr>
      <w:tr>
        <w:tblPrEx>
          <w:shd w:val="clear" w:color="auto" w:fill="ced7e7"/>
        </w:tblPrEx>
        <w:trPr>
          <w:trHeight w:val="218" w:hRule="atLeast"/>
        </w:trPr>
        <w:tc>
          <w:tcPr>
            <w:tcW w:type="dxa" w:w="19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it-IT"/>
              </w:rPr>
              <w:t>Ubara-Tutu</w:t>
            </w:r>
          </w:p>
        </w:tc>
        <w:tc>
          <w:tcPr>
            <w:tcW w:type="dxa" w:w="13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18,600</w:t>
            </w:r>
          </w:p>
        </w:tc>
        <w:tc>
          <w:tcPr>
            <w:tcW w:type="dxa" w:w="14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hint="default"/>
                <w:sz w:val="20"/>
                <w:szCs w:val="20"/>
                <w:shd w:val="nil" w:color="auto" w:fill="auto"/>
                <w:rtl w:val="0"/>
                <w:lang w:val="en-US"/>
              </w:rPr>
              <w:t>—</w:t>
            </w:r>
          </w:p>
        </w:tc>
        <w:tc>
          <w:tcPr>
            <w:tcW w:type="dxa" w:w="1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No</w:t>
            </w:r>
          </w:p>
        </w:tc>
        <w:tc>
          <w:tcPr>
            <w:tcW w:type="dxa" w:w="35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b w:val="1"/>
                <w:bCs w:val="1"/>
                <w:sz w:val="20"/>
                <w:szCs w:val="20"/>
                <w:shd w:val="nil" w:color="auto" w:fill="auto"/>
                <w:rtl w:val="0"/>
                <w:lang w:val="en-US"/>
              </w:rPr>
              <w:t>OUTLIER under both systems</w:t>
            </w:r>
          </w:p>
        </w:tc>
      </w:tr>
    </w:tbl>
    <w:p>
      <w:pPr>
        <w:pStyle w:val="Heading 2"/>
        <w:widowControl w:val="0"/>
        <w:ind w:left="108" w:hanging="108"/>
        <w:rPr>
          <w:rStyle w:val="None"/>
          <w:rFonts w:ascii="Verdana" w:cs="Verdana" w:hAnsi="Verdana" w:eastAsia="Verdana"/>
          <w:b w:val="0"/>
          <w:bCs w:val="0"/>
          <w:lang w:val="en-US"/>
        </w:rPr>
      </w:pPr>
    </w:p>
    <w:p>
      <w:pPr>
        <w:pStyle w:val="Heading 2"/>
        <w:widowControl w:val="0"/>
        <w:rPr>
          <w:rStyle w:val="None"/>
          <w:rFonts w:ascii="Verdana" w:cs="Verdana" w:hAnsi="Verdana" w:eastAsia="Verdana"/>
          <w:b w:val="0"/>
          <w:bCs w:val="0"/>
        </w:rPr>
      </w:pPr>
    </w:p>
    <w:p>
      <w:pPr>
        <w:pStyle w:val="Heading 2"/>
        <w:widowControl w:val="0"/>
        <w:rPr>
          <w:rStyle w:val="None"/>
          <w:rFonts w:ascii="Verdana" w:cs="Verdana" w:hAnsi="Verdana" w:eastAsia="Verdana"/>
          <w:b w:val="0"/>
          <w:bCs w:val="0"/>
        </w:rPr>
      </w:pPr>
    </w:p>
    <w:p>
      <w:pPr>
        <w:pStyle w:val="Heading"/>
        <w:rPr>
          <w:rStyle w:val="None"/>
          <w:rFonts w:ascii="Verdana" w:cs="Verdana" w:hAnsi="Verdana" w:eastAsia="Verdana"/>
          <w:b w:val="0"/>
          <w:bCs w:val="0"/>
        </w:rPr>
      </w:pPr>
      <w:r>
        <w:rPr>
          <w:rStyle w:val="None"/>
          <w:rFonts w:ascii="Verdana" w:hAnsi="Verdana"/>
          <w:b w:val="0"/>
          <w:bCs w:val="0"/>
          <w:rtl w:val="0"/>
          <w:lang w:val="en-US"/>
        </w:rPr>
        <w:t>9. The Three-Level Compression Model</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The main analytical contribution of this paper is the Three-Level Compression Model: a framework that interprets the three viable corrections (</w:t>
      </w:r>
      <w:r>
        <w:rPr>
          <w:rStyle w:val="None"/>
          <w:rFonts w:ascii="Verdana" w:hAnsi="Verdana" w:hint="default"/>
          <w:b w:val="0"/>
          <w:bCs w:val="0"/>
          <w:sz w:val="22"/>
          <w:szCs w:val="22"/>
          <w:rtl w:val="0"/>
        </w:rPr>
        <w:t>÷</w:t>
      </w:r>
      <w:r>
        <w:rPr>
          <w:rStyle w:val="None"/>
          <w:rFonts w:ascii="Verdana" w:hAnsi="Verdana"/>
          <w:b w:val="0"/>
          <w:bCs w:val="0"/>
          <w:sz w:val="22"/>
          <w:szCs w:val="22"/>
          <w:rtl w:val="0"/>
        </w:rPr>
        <w:t xml:space="preserve">360, </w:t>
      </w:r>
      <w:r>
        <w:rPr>
          <w:rStyle w:val="None"/>
          <w:rFonts w:ascii="Verdana" w:hAnsi="Verdana" w:hint="default"/>
          <w:b w:val="0"/>
          <w:bCs w:val="0"/>
          <w:sz w:val="22"/>
          <w:szCs w:val="22"/>
          <w:rtl w:val="0"/>
        </w:rPr>
        <w:t>÷</w:t>
      </w:r>
      <w:r>
        <w:rPr>
          <w:rStyle w:val="None"/>
          <w:rFonts w:ascii="Verdana" w:hAnsi="Verdana"/>
          <w:b w:val="0"/>
          <w:bCs w:val="0"/>
          <w:sz w:val="22"/>
          <w:szCs w:val="22"/>
          <w:rtl w:val="0"/>
        </w:rPr>
        <w:t xml:space="preserve">720,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3,600) not as competing answers to the same question but as corresponding to different levels of the dynasty-compression process that the main-paper hypothesis already requires.</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The dynasty-compression hypothesis (Vondoom, 2026, Section 6; Ong, 1982; Henrich, 2016) proposes that what the SKL records as a single 'king' may encode a succession of rulers whose identities collapsed in oral transmission into a single legendary figure. The Egyptian parallel demonstrates this at the level of 3</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11 rulers per name (Thutmose: 4 rulers; Ramesses: 11 rulers). The three-level model specifies the compression ratios implied by each correction:</w:t>
      </w:r>
    </w:p>
    <w:p>
      <w:pPr>
        <w:pStyle w:val="Heading"/>
        <w:rPr>
          <w:rStyle w:val="None"/>
          <w:rFonts w:ascii="Verdana" w:cs="Verdana" w:hAnsi="Verdana" w:eastAsia="Verdana"/>
          <w:b w:val="0"/>
          <w:bCs w:val="0"/>
        </w:rPr>
      </w:pPr>
      <w:r>
        <w:rPr>
          <w:rStyle w:val="None"/>
          <w:rFonts w:ascii="Verdana" w:hAnsi="Verdana"/>
          <w:b w:val="0"/>
          <w:bCs w:val="0"/>
          <w:sz w:val="22"/>
          <w:szCs w:val="22"/>
          <w:rtl w:val="0"/>
          <w:lang w:val="it-IT"/>
        </w:rPr>
        <w:t xml:space="preserve">Level 1 </w:t>
      </w:r>
      <w:r>
        <w:rPr>
          <w:rStyle w:val="None"/>
          <w:rFonts w:ascii="Verdana" w:hAnsi="Verdana" w:hint="default"/>
          <w:b w:val="0"/>
          <w:bCs w:val="0"/>
          <w:sz w:val="22"/>
          <w:szCs w:val="22"/>
          <w:rtl w:val="0"/>
          <w:lang w:val="en-US"/>
        </w:rPr>
        <w:t>— ÷</w:t>
      </w:r>
      <w:r>
        <w:rPr>
          <w:rStyle w:val="None"/>
          <w:rFonts w:ascii="Verdana" w:hAnsi="Verdana"/>
          <w:b w:val="0"/>
          <w:bCs w:val="0"/>
          <w:sz w:val="22"/>
          <w:szCs w:val="22"/>
          <w:rtl w:val="0"/>
          <w:lang w:val="en-US"/>
        </w:rPr>
        <w:t>3,600 (1 Sar): Individual reign lengths. Each named king represents one individual ruler. Corrected reigns of 5</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12 years. Total 67 years. Archaeological start: ~2,967 BCE (Early Dynastic I). This is the primary result of Vondoom (2026) and the most parsimonious interpretation. If the SKL pre-flood kings are individual rulers encoded in sars, no dynasty compression is required.</w:t>
      </w:r>
    </w:p>
    <w:p>
      <w:pPr>
        <w:pStyle w:val="Heading"/>
        <w:rPr>
          <w:rStyle w:val="None"/>
          <w:rFonts w:ascii="Verdana" w:cs="Verdana" w:hAnsi="Verdana" w:eastAsia="Verdana"/>
          <w:b w:val="0"/>
          <w:bCs w:val="0"/>
        </w:rPr>
      </w:pPr>
      <w:r>
        <w:rPr>
          <w:rStyle w:val="None"/>
          <w:rFonts w:ascii="Verdana" w:hAnsi="Verdana"/>
          <w:b w:val="0"/>
          <w:bCs w:val="0"/>
          <w:sz w:val="22"/>
          <w:szCs w:val="22"/>
          <w:rtl w:val="0"/>
          <w:lang w:val="it-IT"/>
        </w:rPr>
        <w:t xml:space="preserve">Level 2 </w:t>
      </w:r>
      <w:r>
        <w:rPr>
          <w:rStyle w:val="None"/>
          <w:rFonts w:ascii="Verdana" w:hAnsi="Verdana" w:hint="default"/>
          <w:b w:val="0"/>
          <w:bCs w:val="0"/>
          <w:sz w:val="22"/>
          <w:szCs w:val="22"/>
          <w:rtl w:val="0"/>
          <w:lang w:val="en-US"/>
        </w:rPr>
        <w:t>— ÷</w:t>
      </w:r>
      <w:r>
        <w:rPr>
          <w:rStyle w:val="None"/>
          <w:rFonts w:ascii="Verdana" w:hAnsi="Verdana"/>
          <w:b w:val="0"/>
          <w:bCs w:val="0"/>
          <w:sz w:val="22"/>
          <w:szCs w:val="22"/>
          <w:rtl w:val="0"/>
          <w:lang w:val="en-US"/>
        </w:rPr>
        <w:t>720 (12-Jiazi cycles): Upper-range individual reigns. Each named king represents one individual who ruled for 26</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60 years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on the high end of attested early kingship but not outside it. Total 335 years. Archaeological start: ~3,235 BCE (Late Uruk / Jemdet Nasr). This level requires no dynasty compression but does require longer individual reigns and a longer pre-flood window than Level 1.</w:t>
      </w:r>
    </w:p>
    <w:p>
      <w:pPr>
        <w:pStyle w:val="Heading"/>
        <w:rPr>
          <w:rStyle w:val="None"/>
          <w:rFonts w:ascii="Verdana" w:cs="Verdana" w:hAnsi="Verdana" w:eastAsia="Verdana"/>
          <w:b w:val="0"/>
          <w:bCs w:val="0"/>
        </w:rPr>
      </w:pPr>
      <w:r>
        <w:rPr>
          <w:rStyle w:val="None"/>
          <w:rFonts w:ascii="Verdana" w:hAnsi="Verdana"/>
          <w:b w:val="0"/>
          <w:bCs w:val="0"/>
          <w:sz w:val="22"/>
          <w:szCs w:val="22"/>
          <w:rtl w:val="0"/>
          <w:lang w:val="it-IT"/>
        </w:rPr>
        <w:t xml:space="preserve">Level 3 </w:t>
      </w:r>
      <w:r>
        <w:rPr>
          <w:rStyle w:val="None"/>
          <w:rFonts w:ascii="Verdana" w:hAnsi="Verdana" w:hint="default"/>
          <w:b w:val="0"/>
          <w:bCs w:val="0"/>
          <w:sz w:val="22"/>
          <w:szCs w:val="22"/>
          <w:rtl w:val="0"/>
          <w:lang w:val="en-US"/>
        </w:rPr>
        <w:t>— ÷</w:t>
      </w:r>
      <w:r>
        <w:rPr>
          <w:rStyle w:val="None"/>
          <w:rFonts w:ascii="Verdana" w:hAnsi="Verdana"/>
          <w:b w:val="0"/>
          <w:bCs w:val="0"/>
          <w:sz w:val="22"/>
          <w:szCs w:val="22"/>
          <w:rtl w:val="0"/>
          <w:lang w:val="en-US"/>
        </w:rPr>
        <w:t>360 (Prophetic/Divine Year): Dynasty spans. Each named king encodes a dynasty of 2</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4 rulers compressed under a single name or title. Individual dynasty spans of 52</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120 years. Total 670 years. Archaeological start: ~3,570 BCE (Uruk Expansion). This level requires dynasty compression at the lower end of the Egyptian Ramesside range (2</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4 rulers per name vs. 4</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11 in the Egyptian cases).</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The three levels are not mutually exclusive as a historical account. A plausible nested-compression narrative would run: dynasty spans (Level 3, operating in oral transmission) were subsequently encoded in sars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3,600) by the scribe who composed the antediluvian section from oral and literary source material. The product of these two operations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compressing dynasties into single figures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360 from historical to oral) then encoding in sars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3,600 from oral to written)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would produce the raw SKL figures through the simple arithmetic: historical dynasty span </w:t>
      </w:r>
      <w:r>
        <w:rPr>
          <w:rStyle w:val="None"/>
          <w:rFonts w:ascii="Verdana" w:hAnsi="Verdana" w:hint="default"/>
          <w:b w:val="0"/>
          <w:bCs w:val="0"/>
          <w:sz w:val="22"/>
          <w:szCs w:val="22"/>
          <w:rtl w:val="0"/>
        </w:rPr>
        <w:t xml:space="preserve">× </w:t>
      </w:r>
      <w:r>
        <w:rPr>
          <w:rStyle w:val="None"/>
          <w:rFonts w:ascii="Verdana" w:hAnsi="Verdana"/>
          <w:b w:val="0"/>
          <w:bCs w:val="0"/>
          <w:sz w:val="22"/>
          <w:szCs w:val="22"/>
          <w:rtl w:val="0"/>
          <w:lang w:val="en-US"/>
        </w:rPr>
        <w:t xml:space="preserve">(3,600 / 360) = historical dynasty span </w:t>
      </w:r>
      <w:r>
        <w:rPr>
          <w:rStyle w:val="None"/>
          <w:rFonts w:ascii="Verdana" w:hAnsi="Verdana" w:hint="default"/>
          <w:b w:val="0"/>
          <w:bCs w:val="0"/>
          <w:sz w:val="22"/>
          <w:szCs w:val="22"/>
          <w:rtl w:val="0"/>
        </w:rPr>
        <w:t xml:space="preserve">× </w:t>
      </w:r>
      <w:r>
        <w:rPr>
          <w:rStyle w:val="None"/>
          <w:rFonts w:ascii="Verdana" w:hAnsi="Verdana"/>
          <w:b w:val="0"/>
          <w:bCs w:val="0"/>
          <w:sz w:val="22"/>
          <w:szCs w:val="22"/>
          <w:rtl w:val="0"/>
          <w:lang w:val="en-US"/>
        </w:rPr>
        <w:t>10 = SKL year. Under this reading, the 'real' duration behind Alulim's 28,800 years is not 8 individual years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3,600) but 80 dynasty years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360), where each dynasty year encodes approximately 10 scribal years.</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This nested-compression hypothesis is speculative. It is presented here as a structurally consistent possibility, not a demonstrated account. Its value is to show that the three corrections are interpretively compatible rather than contradictory: they describe different layers of the same encoding process, each amenable to a separate historical recovery operation.</w:t>
      </w:r>
    </w:p>
    <w:p>
      <w:pPr>
        <w:pStyle w:val="Heading"/>
        <w:rPr>
          <w:rStyle w:val="None"/>
          <w:rFonts w:ascii="Verdana" w:cs="Verdana" w:hAnsi="Verdana" w:eastAsia="Verdana"/>
          <w:b w:val="0"/>
          <w:bCs w:val="0"/>
        </w:rPr>
      </w:pPr>
      <w:r>
        <w:rPr>
          <w:rStyle w:val="None"/>
          <w:rFonts w:ascii="Verdana" w:hAnsi="Verdana"/>
          <w:b w:val="0"/>
          <w:bCs w:val="0"/>
          <w:rtl w:val="0"/>
          <w:lang w:val="it-IT"/>
        </w:rPr>
        <w:t>10. Archaeological Anchoring</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Table 4 maps each viable correction's implied pre-flood start date against the Mesopotamian archaeological sequence, using the Shuruppak flood stratum (~2,900 BCE) as the anchor.</w:t>
      </w: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r>
        <w:rPr>
          <w:rStyle w:val="None"/>
          <w:rFonts w:ascii="Verdana" w:hAnsi="Verdana"/>
          <w:b w:val="0"/>
          <w:bCs w:val="0"/>
          <w:i w:val="1"/>
          <w:iCs w:val="1"/>
          <w:sz w:val="20"/>
          <w:szCs w:val="20"/>
          <w:rtl w:val="0"/>
          <w:lang w:val="en-US"/>
        </w:rPr>
        <w:t>Table 4: Archaeological Anchoring by Correction Method</w:t>
      </w: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00"/>
        <w:gridCol w:w="1400"/>
        <w:gridCol w:w="1560"/>
        <w:gridCol w:w="4600"/>
      </w:tblGrid>
      <w:tr>
        <w:tblPrEx>
          <w:shd w:val="clear" w:color="auto" w:fill="ced7e7"/>
        </w:tblPrEx>
        <w:trPr>
          <w:trHeight w:val="200" w:hRule="atLeast"/>
        </w:trPr>
        <w:tc>
          <w:tcPr>
            <w:tcW w:type="dxa" w:w="18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b w:val="1"/>
                <w:bCs w:val="1"/>
                <w:sz w:val="18"/>
                <w:szCs w:val="18"/>
                <w:shd w:val="nil" w:color="auto" w:fill="auto"/>
                <w:rtl w:val="0"/>
                <w:lang w:val="en-US"/>
              </w:rPr>
              <w:t>Correction</w:t>
            </w:r>
          </w:p>
        </w:tc>
        <w:tc>
          <w:tcPr>
            <w:tcW w:type="dxa" w:w="14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s>
              <w:jc w:val="center"/>
            </w:pPr>
            <w:r>
              <w:rPr>
                <w:rStyle w:val="None"/>
                <w:rFonts w:ascii="Arial" w:hAnsi="Arial"/>
                <w:b w:val="1"/>
                <w:bCs w:val="1"/>
                <w:sz w:val="18"/>
                <w:szCs w:val="18"/>
                <w:shd w:val="nil" w:color="auto" w:fill="auto"/>
                <w:rtl w:val="0"/>
                <w:lang w:val="de-DE"/>
              </w:rPr>
              <w:t>Total Yrs</w:t>
            </w:r>
          </w:p>
        </w:tc>
        <w:tc>
          <w:tcPr>
            <w:tcW w:type="dxa" w:w="15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b w:val="1"/>
                <w:bCs w:val="1"/>
                <w:sz w:val="18"/>
                <w:szCs w:val="18"/>
                <w:shd w:val="nil" w:color="auto" w:fill="auto"/>
                <w:rtl w:val="0"/>
                <w:lang w:val="pt-PT"/>
              </w:rPr>
              <w:t>Start BCE</w:t>
            </w:r>
          </w:p>
        </w:tc>
        <w:tc>
          <w:tcPr>
            <w:tcW w:type="dxa" w:w="46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s>
              <w:jc w:val="center"/>
            </w:pPr>
            <w:r>
              <w:rPr>
                <w:rStyle w:val="None"/>
                <w:rFonts w:ascii="Arial" w:hAnsi="Arial"/>
                <w:b w:val="1"/>
                <w:bCs w:val="1"/>
                <w:sz w:val="18"/>
                <w:szCs w:val="18"/>
                <w:shd w:val="nil" w:color="auto" w:fill="auto"/>
                <w:rtl w:val="0"/>
                <w:lang w:val="it-IT"/>
              </w:rPr>
              <w:t>Mesopotamian Archaeological Period</w:t>
            </w:r>
          </w:p>
        </w:tc>
      </w:tr>
      <w:tr>
        <w:tblPrEx>
          <w:shd w:val="clear" w:color="auto" w:fill="ced7e7"/>
        </w:tblPrEx>
        <w:trPr>
          <w:trHeight w:val="743" w:hRule="atLeast"/>
        </w:trPr>
        <w:tc>
          <w:tcPr>
            <w:tcW w:type="dxa" w:w="18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hint="default"/>
                <w:sz w:val="20"/>
                <w:szCs w:val="20"/>
                <w:shd w:val="nil" w:color="auto" w:fill="auto"/>
                <w:rtl w:val="0"/>
                <w:lang w:val="de-DE"/>
              </w:rPr>
              <w:t>÷</w:t>
            </w:r>
            <w:r>
              <w:rPr>
                <w:rStyle w:val="None"/>
                <w:rFonts w:ascii="Arial" w:hAnsi="Arial"/>
                <w:sz w:val="20"/>
                <w:szCs w:val="20"/>
                <w:shd w:val="nil" w:color="auto" w:fill="auto"/>
                <w:rtl w:val="0"/>
                <w:lang w:val="de-DE"/>
              </w:rPr>
              <w:t>360</w:t>
            </w:r>
          </w:p>
        </w:tc>
        <w:tc>
          <w:tcPr>
            <w:tcW w:type="dxa" w:w="14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de-DE"/>
              </w:rPr>
              <w:t>670 yrs</w:t>
            </w:r>
          </w:p>
        </w:tc>
        <w:tc>
          <w:tcPr>
            <w:tcW w:type="dxa" w:w="15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pt-PT"/>
              </w:rPr>
              <w:t>~3,570 BCE</w:t>
            </w:r>
          </w:p>
        </w:tc>
        <w:tc>
          <w:tcPr>
            <w:tcW w:type="dxa" w:w="46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s>
              <w:jc w:val="center"/>
            </w:pPr>
            <w:r>
              <w:rPr>
                <w:rStyle w:val="None"/>
                <w:rFonts w:ascii="Arial" w:hAnsi="Arial"/>
                <w:sz w:val="20"/>
                <w:szCs w:val="20"/>
                <w:shd w:val="nil" w:color="auto" w:fill="auto"/>
                <w:rtl w:val="0"/>
                <w:lang w:val="nl-NL"/>
              </w:rPr>
              <w:t>Late Uruk / Uruk Expansion (3,600</w:t>
            </w:r>
            <w:r>
              <w:rPr>
                <w:rStyle w:val="None"/>
                <w:rFonts w:ascii="Arial" w:hAnsi="Arial" w:hint="default"/>
                <w:sz w:val="20"/>
                <w:szCs w:val="20"/>
                <w:shd w:val="nil" w:color="auto" w:fill="auto"/>
                <w:rtl w:val="0"/>
                <w:lang w:val="de-DE"/>
              </w:rPr>
              <w:t>–</w:t>
            </w:r>
            <w:r>
              <w:rPr>
                <w:rStyle w:val="None"/>
                <w:rFonts w:ascii="Arial" w:hAnsi="Arial"/>
                <w:sz w:val="20"/>
                <w:szCs w:val="20"/>
                <w:shd w:val="nil" w:color="auto" w:fill="auto"/>
                <w:rtl w:val="0"/>
                <w:lang w:val="fr-FR"/>
              </w:rPr>
              <w:t xml:space="preserve">3,100 BCE) </w:t>
            </w:r>
            <w:r>
              <w:rPr>
                <w:rStyle w:val="None"/>
                <w:rFonts w:ascii="Arial" w:hAnsi="Arial" w:hint="default"/>
                <w:sz w:val="20"/>
                <w:szCs w:val="20"/>
                <w:shd w:val="nil" w:color="auto" w:fill="auto"/>
                <w:rtl w:val="0"/>
                <w:lang w:val="en-US"/>
              </w:rPr>
              <w:t xml:space="preserve">— </w:t>
            </w:r>
            <w:r>
              <w:rPr>
                <w:rStyle w:val="None"/>
                <w:rFonts w:ascii="Arial" w:hAnsi="Arial"/>
                <w:sz w:val="20"/>
                <w:szCs w:val="20"/>
                <w:shd w:val="nil" w:color="auto" w:fill="auto"/>
                <w:rtl w:val="0"/>
                <w:lang w:val="en-US"/>
              </w:rPr>
              <w:t>emergence of city-state governance and proto-writing</w:t>
            </w:r>
          </w:p>
        </w:tc>
      </w:tr>
      <w:tr>
        <w:tblPrEx>
          <w:shd w:val="clear" w:color="auto" w:fill="ced7e7"/>
        </w:tblPrEx>
        <w:trPr>
          <w:trHeight w:val="743" w:hRule="atLeast"/>
        </w:trPr>
        <w:tc>
          <w:tcPr>
            <w:tcW w:type="dxa" w:w="18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hint="default"/>
                <w:sz w:val="20"/>
                <w:szCs w:val="20"/>
                <w:shd w:val="nil" w:color="auto" w:fill="auto"/>
                <w:rtl w:val="0"/>
                <w:lang w:val="de-DE"/>
              </w:rPr>
              <w:t>÷</w:t>
            </w:r>
            <w:r>
              <w:rPr>
                <w:rStyle w:val="None"/>
                <w:rFonts w:ascii="Arial" w:hAnsi="Arial"/>
                <w:sz w:val="20"/>
                <w:szCs w:val="20"/>
                <w:shd w:val="nil" w:color="auto" w:fill="auto"/>
                <w:rtl w:val="0"/>
                <w:lang w:val="de-DE"/>
              </w:rPr>
              <w:t>720</w:t>
            </w:r>
          </w:p>
        </w:tc>
        <w:tc>
          <w:tcPr>
            <w:tcW w:type="dxa" w:w="14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en-US"/>
              </w:rPr>
              <w:t>335 yrs</w:t>
            </w:r>
          </w:p>
        </w:tc>
        <w:tc>
          <w:tcPr>
            <w:tcW w:type="dxa" w:w="15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pt-PT"/>
              </w:rPr>
              <w:t>~3,235 BCE</w:t>
            </w:r>
          </w:p>
        </w:tc>
        <w:tc>
          <w:tcPr>
            <w:tcW w:type="dxa" w:w="46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s>
              <w:jc w:val="center"/>
            </w:pPr>
            <w:r>
              <w:rPr>
                <w:rStyle w:val="None"/>
                <w:rFonts w:ascii="Arial" w:hAnsi="Arial"/>
                <w:sz w:val="20"/>
                <w:szCs w:val="20"/>
                <w:shd w:val="nil" w:color="auto" w:fill="auto"/>
                <w:rtl w:val="0"/>
                <w:lang w:val="nl-NL"/>
              </w:rPr>
              <w:t>Late Uruk / Jemdet Nasr (3,100</w:t>
            </w:r>
            <w:r>
              <w:rPr>
                <w:rStyle w:val="None"/>
                <w:rFonts w:ascii="Arial" w:hAnsi="Arial" w:hint="default"/>
                <w:sz w:val="20"/>
                <w:szCs w:val="20"/>
                <w:shd w:val="nil" w:color="auto" w:fill="auto"/>
                <w:rtl w:val="0"/>
                <w:lang w:val="de-DE"/>
              </w:rPr>
              <w:t>–</w:t>
            </w:r>
            <w:r>
              <w:rPr>
                <w:rStyle w:val="None"/>
                <w:rFonts w:ascii="Arial" w:hAnsi="Arial"/>
                <w:sz w:val="20"/>
                <w:szCs w:val="20"/>
                <w:shd w:val="nil" w:color="auto" w:fill="auto"/>
                <w:rtl w:val="0"/>
                <w:lang w:val="pt-PT"/>
              </w:rPr>
              <w:t xml:space="preserve">2,900 BCE) </w:t>
            </w:r>
            <w:r>
              <w:rPr>
                <w:rStyle w:val="None"/>
                <w:rFonts w:ascii="Arial" w:hAnsi="Arial" w:hint="default"/>
                <w:sz w:val="20"/>
                <w:szCs w:val="20"/>
                <w:shd w:val="nil" w:color="auto" w:fill="auto"/>
                <w:rtl w:val="0"/>
                <w:lang w:val="en-US"/>
              </w:rPr>
              <w:t xml:space="preserve">— </w:t>
            </w:r>
            <w:r>
              <w:rPr>
                <w:rStyle w:val="None"/>
                <w:rFonts w:ascii="Arial" w:hAnsi="Arial"/>
                <w:sz w:val="20"/>
                <w:szCs w:val="20"/>
                <w:shd w:val="nil" w:color="auto" w:fill="auto"/>
                <w:rtl w:val="0"/>
                <w:lang w:val="en-US"/>
              </w:rPr>
              <w:t>urban consolidation, early administrative cuneiform</w:t>
            </w:r>
          </w:p>
        </w:tc>
      </w:tr>
      <w:tr>
        <w:tblPrEx>
          <w:shd w:val="clear" w:color="auto" w:fill="ced7e7"/>
        </w:tblPrEx>
        <w:trPr>
          <w:trHeight w:val="482" w:hRule="atLeast"/>
        </w:trPr>
        <w:tc>
          <w:tcPr>
            <w:tcW w:type="dxa" w:w="18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hint="default"/>
                <w:sz w:val="20"/>
                <w:szCs w:val="20"/>
                <w:shd w:val="nil" w:color="auto" w:fill="auto"/>
                <w:rtl w:val="0"/>
                <w:lang w:val="de-DE"/>
              </w:rPr>
              <w:t>÷</w:t>
            </w:r>
            <w:r>
              <w:rPr>
                <w:rStyle w:val="None"/>
                <w:rFonts w:ascii="Arial" w:hAnsi="Arial"/>
                <w:sz w:val="20"/>
                <w:szCs w:val="20"/>
                <w:shd w:val="nil" w:color="auto" w:fill="auto"/>
                <w:rtl w:val="0"/>
                <w:lang w:val="de-DE"/>
              </w:rPr>
              <w:t>3,600 (1 Sar)</w:t>
            </w:r>
          </w:p>
        </w:tc>
        <w:tc>
          <w:tcPr>
            <w:tcW w:type="dxa" w:w="14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s>
              <w:jc w:val="center"/>
            </w:pPr>
            <w:r>
              <w:rPr>
                <w:rStyle w:val="None"/>
                <w:rFonts w:ascii="Arial" w:hAnsi="Arial"/>
                <w:sz w:val="20"/>
                <w:szCs w:val="20"/>
                <w:shd w:val="nil" w:color="auto" w:fill="auto"/>
                <w:rtl w:val="0"/>
                <w:lang w:val="en-US"/>
              </w:rPr>
              <w:t>67 yrs</w:t>
            </w:r>
          </w:p>
        </w:tc>
        <w:tc>
          <w:tcPr>
            <w:tcW w:type="dxa" w:w="15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pt-PT"/>
              </w:rPr>
              <w:t>~2,967 BCE</w:t>
            </w:r>
          </w:p>
        </w:tc>
        <w:tc>
          <w:tcPr>
            <w:tcW w:type="dxa" w:w="46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s>
              <w:jc w:val="center"/>
            </w:pPr>
            <w:r>
              <w:rPr>
                <w:rStyle w:val="None"/>
                <w:rFonts w:ascii="Arial" w:hAnsi="Arial"/>
                <w:sz w:val="20"/>
                <w:szCs w:val="20"/>
                <w:shd w:val="nil" w:color="auto" w:fill="auto"/>
                <w:rtl w:val="0"/>
                <w:lang w:val="en-US"/>
              </w:rPr>
              <w:t>Early Dynastic I (3,000</w:t>
            </w:r>
            <w:r>
              <w:rPr>
                <w:rStyle w:val="None"/>
                <w:rFonts w:ascii="Arial" w:hAnsi="Arial" w:hint="default"/>
                <w:sz w:val="20"/>
                <w:szCs w:val="20"/>
                <w:shd w:val="nil" w:color="auto" w:fill="auto"/>
                <w:rtl w:val="0"/>
                <w:lang w:val="de-DE"/>
              </w:rPr>
              <w:t>–</w:t>
            </w:r>
            <w:r>
              <w:rPr>
                <w:rStyle w:val="None"/>
                <w:rFonts w:ascii="Arial" w:hAnsi="Arial"/>
                <w:sz w:val="20"/>
                <w:szCs w:val="20"/>
                <w:shd w:val="nil" w:color="auto" w:fill="auto"/>
                <w:rtl w:val="0"/>
                <w:lang w:val="pt-PT"/>
              </w:rPr>
              <w:t xml:space="preserve">2,700 BCE) </w:t>
            </w:r>
            <w:r>
              <w:rPr>
                <w:rStyle w:val="None"/>
                <w:rFonts w:ascii="Arial" w:hAnsi="Arial" w:hint="default"/>
                <w:sz w:val="20"/>
                <w:szCs w:val="20"/>
                <w:shd w:val="nil" w:color="auto" w:fill="auto"/>
                <w:rtl w:val="0"/>
                <w:lang w:val="en-US"/>
              </w:rPr>
              <w:t xml:space="preserve">— </w:t>
            </w:r>
            <w:r>
              <w:rPr>
                <w:rStyle w:val="None"/>
                <w:rFonts w:ascii="Arial" w:hAnsi="Arial"/>
                <w:sz w:val="20"/>
                <w:szCs w:val="20"/>
                <w:shd w:val="nil" w:color="auto" w:fill="auto"/>
                <w:rtl w:val="0"/>
                <w:lang w:val="en-US"/>
              </w:rPr>
              <w:t>city-state rivalry, Jacobsen's primary historical window</w:t>
            </w:r>
          </w:p>
        </w:tc>
      </w:tr>
    </w:tbl>
    <w:p>
      <w:pPr>
        <w:pStyle w:val="Heading"/>
        <w:widowControl w:val="0"/>
        <w:ind w:left="108" w:hanging="108"/>
        <w:rPr>
          <w:rStyle w:val="None"/>
          <w:rFonts w:ascii="Verdana" w:cs="Verdana" w:hAnsi="Verdana" w:eastAsia="Verdana"/>
          <w:b w:val="0"/>
          <w:bCs w:val="0"/>
        </w:rPr>
      </w:pPr>
    </w:p>
    <w:p>
      <w:pPr>
        <w:pStyle w:val="Heading"/>
        <w:widowControl w:val="0"/>
        <w:rPr>
          <w:rStyle w:val="None"/>
          <w:rFonts w:ascii="Verdana" w:cs="Verdana" w:hAnsi="Verdana" w:eastAsia="Verdana"/>
          <w:b w:val="0"/>
          <w:bCs w:val="0"/>
        </w:rPr>
      </w:pPr>
    </w:p>
    <w:p>
      <w:pPr>
        <w:pStyle w:val="Heading"/>
        <w:widowControl w:val="0"/>
        <w:rPr>
          <w:rStyle w:val="None"/>
          <w:rFonts w:ascii="Verdana" w:cs="Verdana" w:hAnsi="Verdana" w:eastAsia="Verdana"/>
          <w:b w:val="0"/>
          <w:bCs w:val="0"/>
        </w:rPr>
      </w:pPr>
      <w:r>
        <w:rPr>
          <w:rStyle w:val="None"/>
          <w:rFonts w:ascii="Verdana" w:hAnsi="Verdana"/>
          <w:b w:val="0"/>
          <w:bCs w:val="0"/>
          <w:sz w:val="22"/>
          <w:szCs w:val="22"/>
          <w:rtl w:val="0"/>
          <w:lang w:val="en-US"/>
        </w:rPr>
        <w:t xml:space="preserve">All three viable corrections place the pre-flood period within the 700 years of the Uruk Expansion and Late Uruk / Jemdet Nasr transition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the period during which urban society, inter-city trade networks, administrative records, and city-state governance all emerged in Mesopotamia. None of the corrections places the pre-flood kings in the implausible depths of the Ubaid or earlier periods. This general archaeological plausibility across all three corrections is significant: it means the choice between Level 1, 2, and 3 compression is not resolvable by archaeological evidence alone, and requires additional textual or comparative evidence. The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3,600 correction (Level 1) produces the tightest pre-flood window (67 years) and the most recent start date (2,967 BCE). Whether the 'true' pre-flood governance period was 67, 335, or 670 years is currently unanswerable; the three-level model represents the viable range.</w:t>
      </w:r>
    </w:p>
    <w:p>
      <w:pPr>
        <w:pStyle w:val="Heading"/>
        <w:rPr>
          <w:rStyle w:val="None"/>
          <w:rFonts w:ascii="Verdana" w:cs="Verdana" w:hAnsi="Verdana" w:eastAsia="Verdana"/>
          <w:b w:val="0"/>
          <w:bCs w:val="0"/>
        </w:rPr>
      </w:pPr>
      <w:r>
        <w:rPr>
          <w:rStyle w:val="None"/>
          <w:rFonts w:ascii="Verdana" w:hAnsi="Verdana"/>
          <w:b w:val="0"/>
          <w:bCs w:val="0"/>
          <w:rtl w:val="0"/>
          <w:lang w:val="fr-FR"/>
        </w:rPr>
        <w:t>11. Berossus Cross-Validation</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Berossus, a Babylonian priest writing in Greek ca. 290 BCE and preserved fragmentarily in Syncellus, gives ten antediluvian kings with a combined reign of 432,000 years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a figure different from the SKL's 241,200 in both king count (10 vs. 8) and total. Applied to the sar correction, Berossus's total yields 120 years for ten kings, averaging 12 years per king.</w:t>
      </w:r>
    </w:p>
    <w:p>
      <w:pPr>
        <w:pStyle w:val="Heading"/>
        <w:rPr>
          <w:rStyle w:val="None"/>
          <w:rFonts w:ascii="Verdana" w:cs="Verdana" w:hAnsi="Verdana" w:eastAsia="Verdana"/>
          <w:b w:val="0"/>
          <w:bCs w:val="0"/>
        </w:rPr>
      </w:pPr>
      <w:r>
        <w:rPr>
          <w:rStyle w:val="None"/>
          <w:rFonts w:ascii="Verdana" w:hAnsi="Verdana"/>
          <w:b w:val="0"/>
          <w:bCs w:val="0"/>
          <w:i w:val="1"/>
          <w:iCs w:val="1"/>
          <w:sz w:val="20"/>
          <w:szCs w:val="20"/>
          <w:rtl w:val="0"/>
          <w:lang w:val="en-US"/>
        </w:rPr>
        <w:t>Table 5: Berossus and SKL Cross-Validation under the Sar Correction</w:t>
      </w: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00"/>
        <w:gridCol w:w="1520"/>
        <w:gridCol w:w="1520"/>
        <w:gridCol w:w="3720"/>
      </w:tblGrid>
      <w:tr>
        <w:tblPrEx>
          <w:shd w:val="clear" w:color="auto" w:fill="ced7e7"/>
        </w:tblPrEx>
        <w:trPr>
          <w:trHeight w:val="200" w:hRule="atLeast"/>
        </w:trPr>
        <w:tc>
          <w:tcPr>
            <w:tcW w:type="dxa" w:w="26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 w:val="left" w:pos="2160"/>
              </w:tabs>
              <w:jc w:val="center"/>
            </w:pPr>
            <w:r>
              <w:rPr>
                <w:rStyle w:val="None"/>
                <w:rFonts w:ascii="Arial" w:hAnsi="Arial"/>
                <w:b w:val="1"/>
                <w:bCs w:val="1"/>
                <w:sz w:val="18"/>
                <w:szCs w:val="18"/>
                <w:shd w:val="nil" w:color="auto" w:fill="auto"/>
                <w:rtl w:val="0"/>
                <w:lang w:val="en-US"/>
              </w:rPr>
              <w:t>Source</w:t>
            </w:r>
          </w:p>
        </w:tc>
        <w:tc>
          <w:tcPr>
            <w:tcW w:type="dxa" w:w="152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b w:val="1"/>
                <w:bCs w:val="1"/>
                <w:sz w:val="18"/>
                <w:szCs w:val="18"/>
                <w:shd w:val="nil" w:color="auto" w:fill="auto"/>
                <w:rtl w:val="0"/>
                <w:lang w:val="en-US"/>
              </w:rPr>
              <w:t>Raw Total</w:t>
            </w:r>
          </w:p>
        </w:tc>
        <w:tc>
          <w:tcPr>
            <w:tcW w:type="dxa" w:w="152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hint="default"/>
                <w:b w:val="1"/>
                <w:bCs w:val="1"/>
                <w:sz w:val="18"/>
                <w:szCs w:val="18"/>
                <w:shd w:val="nil" w:color="auto" w:fill="auto"/>
                <w:rtl w:val="0"/>
                <w:lang w:val="de-DE"/>
              </w:rPr>
              <w:t>÷</w:t>
            </w:r>
            <w:r>
              <w:rPr>
                <w:rStyle w:val="None"/>
                <w:rFonts w:ascii="Arial" w:hAnsi="Arial"/>
                <w:b w:val="1"/>
                <w:bCs w:val="1"/>
                <w:sz w:val="18"/>
                <w:szCs w:val="18"/>
                <w:shd w:val="nil" w:color="auto" w:fill="auto"/>
                <w:rtl w:val="0"/>
                <w:lang w:val="de-DE"/>
              </w:rPr>
              <w:t>3,600</w:t>
            </w:r>
          </w:p>
        </w:tc>
        <w:tc>
          <w:tcPr>
            <w:tcW w:type="dxa" w:w="372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 w:val="left" w:pos="2160"/>
                <w:tab w:val="left" w:pos="2880"/>
                <w:tab w:val="left" w:pos="3600"/>
              </w:tabs>
              <w:jc w:val="center"/>
            </w:pPr>
            <w:r>
              <w:rPr>
                <w:rStyle w:val="None"/>
                <w:rFonts w:ascii="Arial" w:hAnsi="Arial"/>
                <w:b w:val="1"/>
                <w:bCs w:val="1"/>
                <w:sz w:val="18"/>
                <w:szCs w:val="18"/>
                <w:shd w:val="nil" w:color="auto" w:fill="auto"/>
                <w:rtl w:val="0"/>
                <w:lang w:val="en-US"/>
              </w:rPr>
              <w:t>Corrected Average per King</w:t>
            </w:r>
          </w:p>
        </w:tc>
      </w:tr>
      <w:tr>
        <w:tblPrEx>
          <w:shd w:val="clear" w:color="auto" w:fill="ced7e7"/>
        </w:tblPrEx>
        <w:trPr>
          <w:trHeight w:val="482" w:hRule="atLeast"/>
        </w:trPr>
        <w:tc>
          <w:tcPr>
            <w:tcW w:type="dxa" w:w="26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s>
              <w:jc w:val="center"/>
            </w:pPr>
            <w:r>
              <w:rPr>
                <w:rStyle w:val="None"/>
                <w:rFonts w:ascii="Arial" w:hAnsi="Arial"/>
                <w:sz w:val="20"/>
                <w:szCs w:val="20"/>
                <w:shd w:val="nil" w:color="auto" w:fill="auto"/>
                <w:rtl w:val="0"/>
                <w:lang w:val="de-DE"/>
              </w:rPr>
              <w:t xml:space="preserve">SKL (Jacobsen/Weld-Blundell, 1939) </w:t>
            </w:r>
            <w:r>
              <w:rPr>
                <w:rStyle w:val="None"/>
                <w:rFonts w:ascii="Arial" w:hAnsi="Arial" w:hint="default"/>
                <w:sz w:val="20"/>
                <w:szCs w:val="20"/>
                <w:shd w:val="nil" w:color="auto" w:fill="auto"/>
                <w:rtl w:val="0"/>
                <w:lang w:val="en-US"/>
              </w:rPr>
              <w:t xml:space="preserve">— </w:t>
            </w:r>
            <w:r>
              <w:rPr>
                <w:rStyle w:val="None"/>
                <w:rFonts w:ascii="Arial" w:hAnsi="Arial"/>
                <w:sz w:val="20"/>
                <w:szCs w:val="20"/>
                <w:shd w:val="nil" w:color="auto" w:fill="auto"/>
                <w:rtl w:val="0"/>
                <w:lang w:val="en-US"/>
              </w:rPr>
              <w:t>8 kings</w:t>
            </w:r>
          </w:p>
        </w:tc>
        <w:tc>
          <w:tcPr>
            <w:tcW w:type="dxa" w:w="152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241,200 yrs</w:t>
            </w:r>
          </w:p>
        </w:tc>
        <w:tc>
          <w:tcPr>
            <w:tcW w:type="dxa" w:w="152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en-US"/>
              </w:rPr>
              <w:t>67 yrs</w:t>
            </w:r>
          </w:p>
        </w:tc>
        <w:tc>
          <w:tcPr>
            <w:tcW w:type="dxa" w:w="372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 w:val="left" w:pos="3600"/>
              </w:tabs>
              <w:jc w:val="center"/>
            </w:pPr>
            <w:r>
              <w:rPr>
                <w:rStyle w:val="None"/>
                <w:rFonts w:ascii="Arial" w:hAnsi="Arial"/>
                <w:sz w:val="20"/>
                <w:szCs w:val="20"/>
                <w:shd w:val="nil" w:color="auto" w:fill="auto"/>
                <w:rtl w:val="0"/>
                <w:lang w:val="en-US"/>
              </w:rPr>
              <w:t>~8.4 yrs/king (range: 5.2</w:t>
            </w:r>
            <w:r>
              <w:rPr>
                <w:rStyle w:val="None"/>
                <w:rFonts w:ascii="Arial" w:hAnsi="Arial" w:hint="default"/>
                <w:sz w:val="20"/>
                <w:szCs w:val="20"/>
                <w:shd w:val="nil" w:color="auto" w:fill="auto"/>
                <w:rtl w:val="0"/>
                <w:lang w:val="de-DE"/>
              </w:rPr>
              <w:t>–</w:t>
            </w:r>
            <w:r>
              <w:rPr>
                <w:rStyle w:val="None"/>
                <w:rFonts w:ascii="Arial" w:hAnsi="Arial"/>
                <w:sz w:val="20"/>
                <w:szCs w:val="20"/>
                <w:shd w:val="nil" w:color="auto" w:fill="auto"/>
                <w:rtl w:val="0"/>
                <w:lang w:val="de-DE"/>
              </w:rPr>
              <w:t xml:space="preserve">12 yrs) </w:t>
            </w:r>
            <w:r>
              <w:rPr>
                <w:rStyle w:val="None"/>
                <w:rFonts w:ascii="Arial Unicode MS" w:hAnsi="Arial Unicode MS" w:hint="default"/>
                <w:sz w:val="20"/>
                <w:szCs w:val="20"/>
                <w:shd w:val="nil" w:color="auto" w:fill="auto"/>
                <w:rtl w:val="0"/>
                <w:lang w:val="de-DE"/>
              </w:rPr>
              <w:t>✓</w:t>
            </w:r>
          </w:p>
        </w:tc>
      </w:tr>
      <w:tr>
        <w:tblPrEx>
          <w:shd w:val="clear" w:color="auto" w:fill="ced7e7"/>
        </w:tblPrEx>
        <w:trPr>
          <w:trHeight w:val="482" w:hRule="atLeast"/>
        </w:trPr>
        <w:tc>
          <w:tcPr>
            <w:tcW w:type="dxa" w:w="26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s>
              <w:jc w:val="center"/>
            </w:pPr>
            <w:r>
              <w:rPr>
                <w:rStyle w:val="None"/>
                <w:rFonts w:ascii="Arial" w:hAnsi="Arial"/>
                <w:sz w:val="20"/>
                <w:szCs w:val="20"/>
                <w:shd w:val="nil" w:color="auto" w:fill="auto"/>
                <w:rtl w:val="0"/>
                <w:lang w:val="fr-FR"/>
              </w:rPr>
              <w:t xml:space="preserve">Berossus (Syncellus, ca. 290 BCE) </w:t>
            </w:r>
            <w:r>
              <w:rPr>
                <w:rStyle w:val="None"/>
                <w:rFonts w:ascii="Arial" w:hAnsi="Arial" w:hint="default"/>
                <w:sz w:val="20"/>
                <w:szCs w:val="20"/>
                <w:shd w:val="nil" w:color="auto" w:fill="auto"/>
                <w:rtl w:val="0"/>
                <w:lang w:val="en-US"/>
              </w:rPr>
              <w:t xml:space="preserve">— </w:t>
            </w:r>
            <w:r>
              <w:rPr>
                <w:rStyle w:val="None"/>
                <w:rFonts w:ascii="Arial" w:hAnsi="Arial"/>
                <w:sz w:val="20"/>
                <w:szCs w:val="20"/>
                <w:shd w:val="nil" w:color="auto" w:fill="auto"/>
                <w:rtl w:val="0"/>
                <w:lang w:val="en-US"/>
              </w:rPr>
              <w:t>10 kings</w:t>
            </w:r>
          </w:p>
        </w:tc>
        <w:tc>
          <w:tcPr>
            <w:tcW w:type="dxa" w:w="152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en-US"/>
              </w:rPr>
              <w:t>432,000 yrs</w:t>
            </w:r>
          </w:p>
        </w:tc>
        <w:tc>
          <w:tcPr>
            <w:tcW w:type="dxa" w:w="152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120 yrs</w:t>
            </w:r>
          </w:p>
        </w:tc>
        <w:tc>
          <w:tcPr>
            <w:tcW w:type="dxa" w:w="372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 w:val="left" w:pos="3600"/>
              </w:tabs>
              <w:jc w:val="center"/>
            </w:pPr>
            <w:r>
              <w:rPr>
                <w:rStyle w:val="None"/>
                <w:rFonts w:ascii="Arial" w:hAnsi="Arial"/>
                <w:sz w:val="20"/>
                <w:szCs w:val="20"/>
                <w:shd w:val="nil" w:color="auto" w:fill="auto"/>
                <w:rtl w:val="0"/>
                <w:lang w:val="de-DE"/>
              </w:rPr>
              <w:t>12 yrs/king  |  432,000 = 120 sars = Kali Yuga (Hindu)</w:t>
            </w:r>
          </w:p>
        </w:tc>
      </w:tr>
    </w:tbl>
    <w:p>
      <w:pPr>
        <w:pStyle w:val="Heading"/>
        <w:widowControl w:val="0"/>
        <w:ind w:left="108" w:hanging="108"/>
        <w:rPr>
          <w:rStyle w:val="None"/>
          <w:rFonts w:ascii="Verdana" w:cs="Verdana" w:hAnsi="Verdana" w:eastAsia="Verdana"/>
          <w:b w:val="0"/>
          <w:bCs w:val="0"/>
        </w:rPr>
      </w:pPr>
    </w:p>
    <w:p>
      <w:pPr>
        <w:pStyle w:val="Heading"/>
        <w:widowControl w:val="0"/>
        <w:rPr>
          <w:rStyle w:val="None"/>
          <w:rFonts w:ascii="Verdana" w:cs="Verdana" w:hAnsi="Verdana" w:eastAsia="Verdana"/>
          <w:b w:val="0"/>
          <w:bCs w:val="0"/>
        </w:rPr>
      </w:pPr>
    </w:p>
    <w:p>
      <w:pPr>
        <w:pStyle w:val="Heading"/>
        <w:widowControl w:val="0"/>
        <w:rPr>
          <w:rStyle w:val="None"/>
          <w:rFonts w:ascii="Verdana" w:cs="Verdana" w:hAnsi="Verdana" w:eastAsia="Verdana"/>
          <w:b w:val="0"/>
          <w:bCs w:val="0"/>
        </w:rPr>
      </w:pPr>
      <w:r>
        <w:rPr>
          <w:rStyle w:val="None"/>
          <w:rFonts w:ascii="Verdana" w:hAnsi="Verdana"/>
          <w:b w:val="0"/>
          <w:bCs w:val="0"/>
          <w:sz w:val="22"/>
          <w:szCs w:val="22"/>
          <w:rtl w:val="0"/>
          <w:lang w:val="fr-FR"/>
        </w:rPr>
        <w:t xml:space="preserve">The convergence is analytically significant in two respects. First, two independent ancient sources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one Sumerian in origin (SKL) and one Babylonian-Greek (Berossus)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produce plausible and consistent average reign lengths (8.4 years vs. 12 years) under the same sar correction. They use different raw totals and different king counts, but the same corrective unit recovers results in the same order of magnitude. Second, the Berossus total 432,000 = 120 sars = the Kali Yuga duration in the Hindu cosmological tradition. This numerical identity across three traditions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Babylonian antediluvian chronology, Sumerian sexagesimal mathematics, and Hindu cosmic calendar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is not coincidental: all three systems are ultimately derived from or calibrated against Babylonian astronomical observation and the sexagesimal unit system. The convergence confirms that 432,000 was a recognised sacred astronomical number in the ancient Near Eastern tradition from which the SKL's encoding drew, providing context for why the scribes chose sars as the encoding unit in the first place. The sar is not an arbitrary unit; it is the building block of the pan-Eurasian astronomical number system.</w:t>
      </w:r>
    </w:p>
    <w:p>
      <w:pPr>
        <w:pStyle w:val="Heading"/>
        <w:rPr>
          <w:rStyle w:val="None"/>
          <w:rFonts w:ascii="Verdana" w:cs="Verdana" w:hAnsi="Verdana" w:eastAsia="Verdana"/>
          <w:b w:val="0"/>
          <w:bCs w:val="0"/>
        </w:rPr>
      </w:pPr>
      <w:r>
        <w:rPr>
          <w:rStyle w:val="None"/>
          <w:rFonts w:ascii="Verdana" w:hAnsi="Verdana"/>
          <w:b w:val="0"/>
          <w:bCs w:val="0"/>
          <w:rtl w:val="0"/>
          <w:lang w:val="en-US"/>
        </w:rPr>
        <w:t>12. Genesis 5: A Hebrew Compression Parallel</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The Genesis 5 genealogy (Masoretic text) records ten antediluvian patriarchs from Adam to Noah with lifespans of 365 to 969 years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dramatically shorter than the SKL reigns but still implausible as individual human lifespans. The scholarly hypothesis that Genesis 5 figures are recorded in lunar months rather than solar years (Humphreys, 2001; Wood, 2003) proposes the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12 correction: dividing each recorded lifespan by 12 to obtain solar years. Table 6 applies this correction.</w:t>
      </w:r>
    </w:p>
    <w:p>
      <w:pPr>
        <w:pStyle w:val="Heading"/>
        <w:rPr>
          <w:rStyle w:val="None"/>
          <w:rFonts w:ascii="Verdana" w:cs="Verdana" w:hAnsi="Verdana" w:eastAsia="Verdana"/>
          <w:b w:val="0"/>
          <w:bCs w:val="0"/>
        </w:rPr>
      </w:pPr>
      <w:r>
        <w:rPr>
          <w:rStyle w:val="None"/>
          <w:rFonts w:ascii="Verdana" w:hAnsi="Verdana"/>
          <w:b w:val="0"/>
          <w:bCs w:val="0"/>
          <w:i w:val="1"/>
          <w:iCs w:val="1"/>
          <w:sz w:val="20"/>
          <w:szCs w:val="20"/>
          <w:rtl w:val="0"/>
          <w:lang w:val="de-DE"/>
        </w:rPr>
        <w:t xml:space="preserve">Table 6: Genesis 5 Antediluvian Patriarchs </w:t>
      </w:r>
      <w:r>
        <w:rPr>
          <w:rStyle w:val="None"/>
          <w:rFonts w:ascii="Verdana" w:hAnsi="Verdana" w:hint="default"/>
          <w:b w:val="0"/>
          <w:bCs w:val="0"/>
          <w:i w:val="1"/>
          <w:iCs w:val="1"/>
          <w:sz w:val="20"/>
          <w:szCs w:val="20"/>
          <w:rtl w:val="0"/>
          <w:lang w:val="en-US"/>
        </w:rPr>
        <w:t xml:space="preserve">— </w:t>
      </w:r>
      <w:r>
        <w:rPr>
          <w:rStyle w:val="None"/>
          <w:rFonts w:ascii="Verdana" w:hAnsi="Verdana"/>
          <w:b w:val="0"/>
          <w:bCs w:val="0"/>
          <w:i w:val="1"/>
          <w:iCs w:val="1"/>
          <w:sz w:val="20"/>
          <w:szCs w:val="20"/>
          <w:rtl w:val="0"/>
          <w:lang w:val="en-US"/>
        </w:rPr>
        <w:t>Lunar Month to Solar Year Correction (Masoretic Text)</w:t>
      </w: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00"/>
        <w:gridCol w:w="2000"/>
        <w:gridCol w:w="2160"/>
        <w:gridCol w:w="3000"/>
      </w:tblGrid>
      <w:tr>
        <w:tblPrEx>
          <w:shd w:val="clear" w:color="auto" w:fill="ced7e7"/>
        </w:tblPrEx>
        <w:trPr>
          <w:trHeight w:val="438" w:hRule="atLeast"/>
        </w:trPr>
        <w:tc>
          <w:tcPr>
            <w:tcW w:type="dxa" w:w="2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 w:val="left" w:pos="2160"/>
              </w:tabs>
              <w:jc w:val="center"/>
            </w:pPr>
            <w:r>
              <w:rPr>
                <w:rStyle w:val="None"/>
                <w:rFonts w:ascii="Arial" w:hAnsi="Arial"/>
                <w:b w:val="1"/>
                <w:bCs w:val="1"/>
                <w:sz w:val="18"/>
                <w:szCs w:val="18"/>
                <w:shd w:val="nil" w:color="auto" w:fill="auto"/>
                <w:rtl w:val="0"/>
                <w:lang w:val="en-US"/>
              </w:rPr>
              <w:t>Patriarch</w:t>
            </w:r>
          </w:p>
        </w:tc>
        <w:tc>
          <w:tcPr>
            <w:tcW w:type="dxa" w:w="2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b w:val="1"/>
                <w:bCs w:val="1"/>
                <w:sz w:val="18"/>
                <w:szCs w:val="18"/>
                <w:shd w:val="nil" w:color="auto" w:fill="auto"/>
                <w:rtl w:val="0"/>
                <w:lang w:val="en-US"/>
              </w:rPr>
              <w:t>Masoretic Yrs (as recorded)</w:t>
            </w:r>
          </w:p>
        </w:tc>
        <w:tc>
          <w:tcPr>
            <w:tcW w:type="dxa" w:w="21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hint="default"/>
                <w:b w:val="1"/>
                <w:bCs w:val="1"/>
                <w:sz w:val="18"/>
                <w:szCs w:val="18"/>
                <w:shd w:val="nil" w:color="auto" w:fill="auto"/>
                <w:rtl w:val="0"/>
                <w:lang w:val="de-DE"/>
              </w:rPr>
              <w:t>÷</w:t>
            </w:r>
            <w:r>
              <w:rPr>
                <w:rStyle w:val="None"/>
                <w:rFonts w:ascii="Arial" w:hAnsi="Arial"/>
                <w:b w:val="1"/>
                <w:bCs w:val="1"/>
                <w:sz w:val="18"/>
                <w:szCs w:val="18"/>
                <w:shd w:val="nil" w:color="auto" w:fill="auto"/>
                <w:rtl w:val="0"/>
                <w:lang w:val="de-DE"/>
              </w:rPr>
              <w:t xml:space="preserve">12 </w:t>
            </w:r>
            <w:r>
              <w:rPr>
                <w:rStyle w:val="None"/>
                <w:rFonts w:ascii="Arial" w:hAnsi="Arial" w:hint="default"/>
                <w:b w:val="1"/>
                <w:bCs w:val="1"/>
                <w:sz w:val="18"/>
                <w:szCs w:val="18"/>
                <w:shd w:val="nil" w:color="auto" w:fill="auto"/>
                <w:rtl w:val="0"/>
                <w:lang w:val="de-DE"/>
              </w:rPr>
              <w:t xml:space="preserve">→ </w:t>
            </w:r>
            <w:r>
              <w:rPr>
                <w:rStyle w:val="None"/>
                <w:rFonts w:ascii="Arial" w:hAnsi="Arial"/>
                <w:b w:val="1"/>
                <w:bCs w:val="1"/>
                <w:sz w:val="18"/>
                <w:szCs w:val="18"/>
                <w:shd w:val="nil" w:color="auto" w:fill="auto"/>
                <w:rtl w:val="0"/>
                <w:lang w:val="en-US"/>
              </w:rPr>
              <w:t>Solar Years</w:t>
            </w:r>
          </w:p>
        </w:tc>
        <w:tc>
          <w:tcPr>
            <w:tcW w:type="dxa" w:w="3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b w:val="1"/>
                <w:bCs w:val="1"/>
                <w:sz w:val="18"/>
                <w:szCs w:val="18"/>
                <w:shd w:val="nil" w:color="auto" w:fill="auto"/>
                <w:rtl w:val="0"/>
                <w:lang w:val="en-US"/>
              </w:rPr>
              <w:t>Comment</w:t>
            </w:r>
          </w:p>
        </w:tc>
      </w:tr>
      <w:tr>
        <w:tblPrEx>
          <w:shd w:val="clear" w:color="auto" w:fill="ced7e7"/>
        </w:tblPrEx>
        <w:trPr>
          <w:trHeight w:val="283" w:hRule="atLeast"/>
        </w:trPr>
        <w:tc>
          <w:tcPr>
            <w:tcW w:type="dxa" w:w="2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s>
              <w:jc w:val="center"/>
            </w:pPr>
            <w:r>
              <w:rPr>
                <w:rStyle w:val="None"/>
                <w:rFonts w:ascii="Arial" w:hAnsi="Arial"/>
                <w:sz w:val="20"/>
                <w:szCs w:val="20"/>
                <w:shd w:val="nil" w:color="auto" w:fill="auto"/>
                <w:rtl w:val="0"/>
                <w:lang w:val="de-DE"/>
              </w:rPr>
              <w:t>Adam</w:t>
            </w:r>
          </w:p>
        </w:tc>
        <w:tc>
          <w:tcPr>
            <w:tcW w:type="dxa" w:w="2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930</w:t>
            </w:r>
          </w:p>
        </w:tc>
        <w:tc>
          <w:tcPr>
            <w:tcW w:type="dxa" w:w="21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en-US"/>
              </w:rPr>
              <w:t>77.5 yrs</w:t>
            </w:r>
          </w:p>
        </w:tc>
        <w:tc>
          <w:tcPr>
            <w:tcW w:type="dxa" w:w="3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sz w:val="20"/>
                <w:szCs w:val="20"/>
                <w:shd w:val="nil" w:color="auto" w:fill="auto"/>
                <w:rtl w:val="0"/>
                <w:lang w:val="en-US"/>
              </w:rPr>
              <w:t xml:space="preserve">Plausible human lifespan </w:t>
            </w:r>
            <w:r>
              <w:rPr>
                <w:rStyle w:val="None"/>
                <w:rFonts w:ascii="Arial Unicode MS" w:hAnsi="Arial Unicode MS" w:hint="default"/>
                <w:sz w:val="20"/>
                <w:szCs w:val="20"/>
                <w:shd w:val="nil" w:color="auto" w:fill="auto"/>
                <w:rtl w:val="0"/>
                <w:lang w:val="de-DE"/>
              </w:rPr>
              <w:t>✓</w:t>
            </w:r>
          </w:p>
        </w:tc>
      </w:tr>
      <w:tr>
        <w:tblPrEx>
          <w:shd w:val="clear" w:color="auto" w:fill="ced7e7"/>
        </w:tblPrEx>
        <w:trPr>
          <w:trHeight w:val="283" w:hRule="atLeast"/>
        </w:trPr>
        <w:tc>
          <w:tcPr>
            <w:tcW w:type="dxa" w:w="2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s>
              <w:jc w:val="center"/>
            </w:pPr>
            <w:r>
              <w:rPr>
                <w:rStyle w:val="None"/>
                <w:rFonts w:ascii="Arial" w:hAnsi="Arial"/>
                <w:sz w:val="20"/>
                <w:szCs w:val="20"/>
                <w:shd w:val="nil" w:color="auto" w:fill="auto"/>
                <w:rtl w:val="0"/>
                <w:lang w:val="en-US"/>
              </w:rPr>
              <w:t>Seth</w:t>
            </w:r>
          </w:p>
        </w:tc>
        <w:tc>
          <w:tcPr>
            <w:tcW w:type="dxa" w:w="2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912</w:t>
            </w:r>
          </w:p>
        </w:tc>
        <w:tc>
          <w:tcPr>
            <w:tcW w:type="dxa" w:w="21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76.0 yrs</w:t>
            </w:r>
          </w:p>
        </w:tc>
        <w:tc>
          <w:tcPr>
            <w:tcW w:type="dxa" w:w="3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sz w:val="20"/>
                <w:szCs w:val="20"/>
                <w:shd w:val="nil" w:color="auto" w:fill="auto"/>
                <w:rtl w:val="0"/>
                <w:lang w:val="en-US"/>
              </w:rPr>
              <w:t xml:space="preserve">Plausible human lifespan </w:t>
            </w:r>
            <w:r>
              <w:rPr>
                <w:rStyle w:val="None"/>
                <w:rFonts w:ascii="Arial Unicode MS" w:hAnsi="Arial Unicode MS" w:hint="default"/>
                <w:sz w:val="20"/>
                <w:szCs w:val="20"/>
                <w:shd w:val="nil" w:color="auto" w:fill="auto"/>
                <w:rtl w:val="0"/>
                <w:lang w:val="de-DE"/>
              </w:rPr>
              <w:t>✓</w:t>
            </w:r>
          </w:p>
        </w:tc>
      </w:tr>
      <w:tr>
        <w:tblPrEx>
          <w:shd w:val="clear" w:color="auto" w:fill="ced7e7"/>
        </w:tblPrEx>
        <w:trPr>
          <w:trHeight w:val="283" w:hRule="atLeast"/>
        </w:trPr>
        <w:tc>
          <w:tcPr>
            <w:tcW w:type="dxa" w:w="2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s>
              <w:jc w:val="center"/>
            </w:pPr>
            <w:r>
              <w:rPr>
                <w:rStyle w:val="None"/>
                <w:rFonts w:ascii="Arial" w:hAnsi="Arial"/>
                <w:sz w:val="20"/>
                <w:szCs w:val="20"/>
                <w:shd w:val="nil" w:color="auto" w:fill="auto"/>
                <w:rtl w:val="0"/>
                <w:lang w:val="it-IT"/>
              </w:rPr>
              <w:t>Enosh</w:t>
            </w:r>
          </w:p>
        </w:tc>
        <w:tc>
          <w:tcPr>
            <w:tcW w:type="dxa" w:w="2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905</w:t>
            </w:r>
          </w:p>
        </w:tc>
        <w:tc>
          <w:tcPr>
            <w:tcW w:type="dxa" w:w="21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75.4 yrs</w:t>
            </w:r>
          </w:p>
        </w:tc>
        <w:tc>
          <w:tcPr>
            <w:tcW w:type="dxa" w:w="3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sz w:val="20"/>
                <w:szCs w:val="20"/>
                <w:shd w:val="nil" w:color="auto" w:fill="auto"/>
                <w:rtl w:val="0"/>
                <w:lang w:val="en-US"/>
              </w:rPr>
              <w:t xml:space="preserve">Plausible human lifespan </w:t>
            </w:r>
            <w:r>
              <w:rPr>
                <w:rStyle w:val="None"/>
                <w:rFonts w:ascii="Arial Unicode MS" w:hAnsi="Arial Unicode MS" w:hint="default"/>
                <w:sz w:val="20"/>
                <w:szCs w:val="20"/>
                <w:shd w:val="nil" w:color="auto" w:fill="auto"/>
                <w:rtl w:val="0"/>
                <w:lang w:val="de-DE"/>
              </w:rPr>
              <w:t>✓</w:t>
            </w:r>
          </w:p>
        </w:tc>
      </w:tr>
      <w:tr>
        <w:tblPrEx>
          <w:shd w:val="clear" w:color="auto" w:fill="ced7e7"/>
        </w:tblPrEx>
        <w:trPr>
          <w:trHeight w:val="283" w:hRule="atLeast"/>
        </w:trPr>
        <w:tc>
          <w:tcPr>
            <w:tcW w:type="dxa" w:w="2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s>
              <w:jc w:val="center"/>
            </w:pPr>
            <w:r>
              <w:rPr>
                <w:rStyle w:val="None"/>
                <w:rFonts w:ascii="Arial" w:hAnsi="Arial"/>
                <w:sz w:val="20"/>
                <w:szCs w:val="20"/>
                <w:shd w:val="nil" w:color="auto" w:fill="auto"/>
                <w:rtl w:val="0"/>
                <w:lang w:val="de-DE"/>
              </w:rPr>
              <w:t>Kenan</w:t>
            </w:r>
          </w:p>
        </w:tc>
        <w:tc>
          <w:tcPr>
            <w:tcW w:type="dxa" w:w="2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910</w:t>
            </w:r>
          </w:p>
        </w:tc>
        <w:tc>
          <w:tcPr>
            <w:tcW w:type="dxa" w:w="21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75.8 yrs</w:t>
            </w:r>
          </w:p>
        </w:tc>
        <w:tc>
          <w:tcPr>
            <w:tcW w:type="dxa" w:w="3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sz w:val="20"/>
                <w:szCs w:val="20"/>
                <w:shd w:val="nil" w:color="auto" w:fill="auto"/>
                <w:rtl w:val="0"/>
                <w:lang w:val="en-US"/>
              </w:rPr>
              <w:t xml:space="preserve">Plausible human lifespan </w:t>
            </w:r>
            <w:r>
              <w:rPr>
                <w:rStyle w:val="None"/>
                <w:rFonts w:ascii="Arial Unicode MS" w:hAnsi="Arial Unicode MS" w:hint="default"/>
                <w:sz w:val="20"/>
                <w:szCs w:val="20"/>
                <w:shd w:val="nil" w:color="auto" w:fill="auto"/>
                <w:rtl w:val="0"/>
                <w:lang w:val="de-DE"/>
              </w:rPr>
              <w:t>✓</w:t>
            </w:r>
          </w:p>
        </w:tc>
      </w:tr>
      <w:tr>
        <w:tblPrEx>
          <w:shd w:val="clear" w:color="auto" w:fill="ced7e7"/>
        </w:tblPrEx>
        <w:trPr>
          <w:trHeight w:val="283" w:hRule="atLeast"/>
        </w:trPr>
        <w:tc>
          <w:tcPr>
            <w:tcW w:type="dxa" w:w="2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s>
              <w:jc w:val="center"/>
            </w:pPr>
            <w:r>
              <w:rPr>
                <w:rStyle w:val="None"/>
                <w:rFonts w:ascii="Arial" w:hAnsi="Arial"/>
                <w:sz w:val="20"/>
                <w:szCs w:val="20"/>
                <w:shd w:val="nil" w:color="auto" w:fill="auto"/>
                <w:rtl w:val="0"/>
                <w:lang w:val="de-DE"/>
              </w:rPr>
              <w:t>Mahalalel</w:t>
            </w:r>
          </w:p>
        </w:tc>
        <w:tc>
          <w:tcPr>
            <w:tcW w:type="dxa" w:w="2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895</w:t>
            </w:r>
          </w:p>
        </w:tc>
        <w:tc>
          <w:tcPr>
            <w:tcW w:type="dxa" w:w="21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74.6 yrs</w:t>
            </w:r>
          </w:p>
        </w:tc>
        <w:tc>
          <w:tcPr>
            <w:tcW w:type="dxa" w:w="3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sz w:val="20"/>
                <w:szCs w:val="20"/>
                <w:shd w:val="nil" w:color="auto" w:fill="auto"/>
                <w:rtl w:val="0"/>
                <w:lang w:val="en-US"/>
              </w:rPr>
              <w:t xml:space="preserve">Plausible human lifespan </w:t>
            </w:r>
            <w:r>
              <w:rPr>
                <w:rStyle w:val="None"/>
                <w:rFonts w:ascii="Arial Unicode MS" w:hAnsi="Arial Unicode MS" w:hint="default"/>
                <w:sz w:val="20"/>
                <w:szCs w:val="20"/>
                <w:shd w:val="nil" w:color="auto" w:fill="auto"/>
                <w:rtl w:val="0"/>
                <w:lang w:val="de-DE"/>
              </w:rPr>
              <w:t>✓</w:t>
            </w:r>
          </w:p>
        </w:tc>
      </w:tr>
      <w:tr>
        <w:tblPrEx>
          <w:shd w:val="clear" w:color="auto" w:fill="ced7e7"/>
        </w:tblPrEx>
        <w:trPr>
          <w:trHeight w:val="283" w:hRule="atLeast"/>
        </w:trPr>
        <w:tc>
          <w:tcPr>
            <w:tcW w:type="dxa" w:w="2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s>
              <w:jc w:val="center"/>
            </w:pPr>
            <w:r>
              <w:rPr>
                <w:rStyle w:val="None"/>
                <w:rFonts w:ascii="Arial" w:hAnsi="Arial"/>
                <w:sz w:val="20"/>
                <w:szCs w:val="20"/>
                <w:shd w:val="nil" w:color="auto" w:fill="auto"/>
                <w:rtl w:val="0"/>
                <w:lang w:val="en-US"/>
              </w:rPr>
              <w:t>Jared</w:t>
            </w:r>
          </w:p>
        </w:tc>
        <w:tc>
          <w:tcPr>
            <w:tcW w:type="dxa" w:w="2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962</w:t>
            </w:r>
          </w:p>
        </w:tc>
        <w:tc>
          <w:tcPr>
            <w:tcW w:type="dxa" w:w="21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80.2 yrs</w:t>
            </w:r>
          </w:p>
        </w:tc>
        <w:tc>
          <w:tcPr>
            <w:tcW w:type="dxa" w:w="3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sz w:val="20"/>
                <w:szCs w:val="20"/>
                <w:shd w:val="nil" w:color="auto" w:fill="auto"/>
                <w:rtl w:val="0"/>
                <w:lang w:val="en-US"/>
              </w:rPr>
              <w:t xml:space="preserve">Plausible human lifespan </w:t>
            </w:r>
            <w:r>
              <w:rPr>
                <w:rStyle w:val="None"/>
                <w:rFonts w:ascii="Arial Unicode MS" w:hAnsi="Arial Unicode MS" w:hint="default"/>
                <w:sz w:val="20"/>
                <w:szCs w:val="20"/>
                <w:shd w:val="nil" w:color="auto" w:fill="auto"/>
                <w:rtl w:val="0"/>
                <w:lang w:val="de-DE"/>
              </w:rPr>
              <w:t>✓</w:t>
            </w:r>
          </w:p>
        </w:tc>
      </w:tr>
      <w:tr>
        <w:tblPrEx>
          <w:shd w:val="clear" w:color="auto" w:fill="ced7e7"/>
        </w:tblPrEx>
        <w:trPr>
          <w:trHeight w:val="482" w:hRule="atLeast"/>
        </w:trPr>
        <w:tc>
          <w:tcPr>
            <w:tcW w:type="dxa" w:w="2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s>
              <w:jc w:val="center"/>
            </w:pPr>
            <w:r>
              <w:rPr>
                <w:rStyle w:val="None"/>
                <w:rFonts w:ascii="Arial" w:hAnsi="Arial"/>
                <w:sz w:val="20"/>
                <w:szCs w:val="20"/>
                <w:shd w:val="nil" w:color="auto" w:fill="auto"/>
                <w:rtl w:val="0"/>
                <w:lang w:val="de-DE"/>
              </w:rPr>
              <w:t>Enoch</w:t>
            </w:r>
          </w:p>
        </w:tc>
        <w:tc>
          <w:tcPr>
            <w:tcW w:type="dxa" w:w="2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365</w:t>
            </w:r>
          </w:p>
        </w:tc>
        <w:tc>
          <w:tcPr>
            <w:tcW w:type="dxa" w:w="21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30.4 yrs</w:t>
            </w:r>
          </w:p>
        </w:tc>
        <w:tc>
          <w:tcPr>
            <w:tcW w:type="dxa" w:w="3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sz w:val="20"/>
                <w:szCs w:val="20"/>
                <w:shd w:val="nil" w:color="auto" w:fill="auto"/>
                <w:rtl w:val="0"/>
                <w:lang w:val="en-US"/>
              </w:rPr>
              <w:t>Symbolic: 365 = solar year; 30.4 yrs when read as months</w:t>
            </w:r>
          </w:p>
        </w:tc>
      </w:tr>
      <w:tr>
        <w:tblPrEx>
          <w:shd w:val="clear" w:color="auto" w:fill="ced7e7"/>
        </w:tblPrEx>
        <w:trPr>
          <w:trHeight w:val="283" w:hRule="atLeast"/>
        </w:trPr>
        <w:tc>
          <w:tcPr>
            <w:tcW w:type="dxa" w:w="2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s>
              <w:jc w:val="center"/>
            </w:pPr>
            <w:r>
              <w:rPr>
                <w:rStyle w:val="None"/>
                <w:rFonts w:ascii="Arial" w:hAnsi="Arial"/>
                <w:sz w:val="20"/>
                <w:szCs w:val="20"/>
                <w:shd w:val="nil" w:color="auto" w:fill="auto"/>
                <w:rtl w:val="0"/>
                <w:lang w:val="en-US"/>
              </w:rPr>
              <w:t>Methuselah</w:t>
            </w:r>
          </w:p>
        </w:tc>
        <w:tc>
          <w:tcPr>
            <w:tcW w:type="dxa" w:w="2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969</w:t>
            </w:r>
          </w:p>
        </w:tc>
        <w:tc>
          <w:tcPr>
            <w:tcW w:type="dxa" w:w="21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80.8 yrs</w:t>
            </w:r>
          </w:p>
        </w:tc>
        <w:tc>
          <w:tcPr>
            <w:tcW w:type="dxa" w:w="3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sz w:val="20"/>
                <w:szCs w:val="20"/>
                <w:shd w:val="nil" w:color="auto" w:fill="auto"/>
                <w:rtl w:val="0"/>
                <w:lang w:val="en-US"/>
              </w:rPr>
              <w:t xml:space="preserve">Plausible human lifespan </w:t>
            </w:r>
            <w:r>
              <w:rPr>
                <w:rStyle w:val="None"/>
                <w:rFonts w:ascii="Arial Unicode MS" w:hAnsi="Arial Unicode MS" w:hint="default"/>
                <w:sz w:val="20"/>
                <w:szCs w:val="20"/>
                <w:shd w:val="nil" w:color="auto" w:fill="auto"/>
                <w:rtl w:val="0"/>
                <w:lang w:val="de-DE"/>
              </w:rPr>
              <w:t>✓</w:t>
            </w:r>
          </w:p>
        </w:tc>
      </w:tr>
      <w:tr>
        <w:tblPrEx>
          <w:shd w:val="clear" w:color="auto" w:fill="ced7e7"/>
        </w:tblPrEx>
        <w:trPr>
          <w:trHeight w:val="283" w:hRule="atLeast"/>
        </w:trPr>
        <w:tc>
          <w:tcPr>
            <w:tcW w:type="dxa" w:w="2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s>
              <w:jc w:val="center"/>
            </w:pPr>
            <w:r>
              <w:rPr>
                <w:rStyle w:val="None"/>
                <w:rFonts w:ascii="Arial" w:hAnsi="Arial"/>
                <w:sz w:val="20"/>
                <w:szCs w:val="20"/>
                <w:shd w:val="nil" w:color="auto" w:fill="auto"/>
                <w:rtl w:val="0"/>
                <w:lang w:val="de-DE"/>
              </w:rPr>
              <w:t>Lamech</w:t>
            </w:r>
          </w:p>
        </w:tc>
        <w:tc>
          <w:tcPr>
            <w:tcW w:type="dxa" w:w="2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777</w:t>
            </w:r>
          </w:p>
        </w:tc>
        <w:tc>
          <w:tcPr>
            <w:tcW w:type="dxa" w:w="21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64.8 yrs</w:t>
            </w:r>
          </w:p>
        </w:tc>
        <w:tc>
          <w:tcPr>
            <w:tcW w:type="dxa" w:w="3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sz w:val="20"/>
                <w:szCs w:val="20"/>
                <w:shd w:val="nil" w:color="auto" w:fill="auto"/>
                <w:rtl w:val="0"/>
                <w:lang w:val="en-US"/>
              </w:rPr>
              <w:t xml:space="preserve">Plausible human lifespan </w:t>
            </w:r>
            <w:r>
              <w:rPr>
                <w:rStyle w:val="None"/>
                <w:rFonts w:ascii="Arial Unicode MS" w:hAnsi="Arial Unicode MS" w:hint="default"/>
                <w:sz w:val="20"/>
                <w:szCs w:val="20"/>
                <w:shd w:val="nil" w:color="auto" w:fill="auto"/>
                <w:rtl w:val="0"/>
                <w:lang w:val="de-DE"/>
              </w:rPr>
              <w:t>✓</w:t>
            </w:r>
          </w:p>
        </w:tc>
      </w:tr>
      <w:tr>
        <w:tblPrEx>
          <w:shd w:val="clear" w:color="auto" w:fill="ced7e7"/>
        </w:tblPrEx>
        <w:trPr>
          <w:trHeight w:val="283" w:hRule="atLeast"/>
        </w:trPr>
        <w:tc>
          <w:tcPr>
            <w:tcW w:type="dxa" w:w="22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s>
              <w:jc w:val="center"/>
            </w:pPr>
            <w:r>
              <w:rPr>
                <w:rStyle w:val="None"/>
                <w:rFonts w:ascii="Arial" w:hAnsi="Arial"/>
                <w:sz w:val="20"/>
                <w:szCs w:val="20"/>
                <w:shd w:val="nil" w:color="auto" w:fill="auto"/>
                <w:rtl w:val="0"/>
                <w:lang w:val="de-DE"/>
              </w:rPr>
              <w:t>Noah</w:t>
            </w:r>
          </w:p>
        </w:tc>
        <w:tc>
          <w:tcPr>
            <w:tcW w:type="dxa" w:w="2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950</w:t>
            </w:r>
          </w:p>
        </w:tc>
        <w:tc>
          <w:tcPr>
            <w:tcW w:type="dxa" w:w="21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s>
              <w:jc w:val="center"/>
            </w:pPr>
            <w:r>
              <w:rPr>
                <w:rStyle w:val="None"/>
                <w:rFonts w:ascii="Arial" w:hAnsi="Arial"/>
                <w:sz w:val="20"/>
                <w:szCs w:val="20"/>
                <w:shd w:val="nil" w:color="auto" w:fill="auto"/>
                <w:rtl w:val="0"/>
                <w:lang w:val="de-DE"/>
              </w:rPr>
              <w:t>79.2 yrs</w:t>
            </w:r>
          </w:p>
        </w:tc>
        <w:tc>
          <w:tcPr>
            <w:tcW w:type="dxa" w:w="3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center"/>
            </w:pPr>
            <w:r>
              <w:rPr>
                <w:rStyle w:val="None"/>
                <w:rFonts w:ascii="Arial" w:hAnsi="Arial"/>
                <w:sz w:val="20"/>
                <w:szCs w:val="20"/>
                <w:shd w:val="nil" w:color="auto" w:fill="auto"/>
                <w:rtl w:val="0"/>
                <w:lang w:val="en-US"/>
              </w:rPr>
              <w:t xml:space="preserve">Plausible human lifespan </w:t>
            </w:r>
            <w:r>
              <w:rPr>
                <w:rStyle w:val="None"/>
                <w:rFonts w:ascii="Arial Unicode MS" w:hAnsi="Arial Unicode MS" w:hint="default"/>
                <w:sz w:val="20"/>
                <w:szCs w:val="20"/>
                <w:shd w:val="nil" w:color="auto" w:fill="auto"/>
                <w:rtl w:val="0"/>
                <w:lang w:val="de-DE"/>
              </w:rPr>
              <w:t>✓</w:t>
            </w:r>
          </w:p>
        </w:tc>
      </w:tr>
    </w:tbl>
    <w:p>
      <w:pPr>
        <w:pStyle w:val="Heading"/>
        <w:widowControl w:val="0"/>
        <w:ind w:left="108" w:hanging="108"/>
        <w:rPr>
          <w:rStyle w:val="None"/>
          <w:rFonts w:ascii="Verdana" w:cs="Verdana" w:hAnsi="Verdana" w:eastAsia="Verdana"/>
          <w:b w:val="0"/>
          <w:bCs w:val="0"/>
        </w:rPr>
      </w:pPr>
    </w:p>
    <w:p>
      <w:pPr>
        <w:pStyle w:val="Heading"/>
        <w:widowControl w:val="0"/>
        <w:rPr>
          <w:rStyle w:val="None"/>
          <w:rFonts w:ascii="Verdana" w:cs="Verdana" w:hAnsi="Verdana" w:eastAsia="Verdana"/>
          <w:b w:val="0"/>
          <w:bCs w:val="0"/>
        </w:rPr>
      </w:pPr>
    </w:p>
    <w:p>
      <w:pPr>
        <w:pStyle w:val="Heading"/>
        <w:widowControl w:val="0"/>
        <w:rPr>
          <w:rStyle w:val="None"/>
          <w:rFonts w:ascii="Verdana" w:cs="Verdana" w:hAnsi="Verdana" w:eastAsia="Verdana"/>
          <w:b w:val="0"/>
          <w:bCs w:val="0"/>
        </w:rPr>
      </w:pPr>
      <w:r>
        <w:rPr>
          <w:rStyle w:val="None"/>
          <w:rFonts w:ascii="Verdana" w:hAnsi="Verdana"/>
          <w:b w:val="0"/>
          <w:bCs w:val="0"/>
          <w:sz w:val="22"/>
          <w:szCs w:val="22"/>
          <w:rtl w:val="0"/>
          <w:lang w:val="en-US"/>
        </w:rPr>
        <w:t>The corrected lifespans range from 30.4 years (Enoch, whose 365 months = one solar year in months, a figure scholars across traditions identify as symbolically precise) to 80.8 years (Methuselah), producing a distribution consistent with pre-modern human life expectancy. The mechanism is identical to the SKL sar-correction: a scribe recording in a convenient large unit (lunar months in the Hebrew case; sars in the Sumerian) rather than the biologically intuitive unit (solar years). The Genesis 5 data confirms that this compression convention was not a Sumerian eccentricity but a widely attested method for encoding ancestral time in numerically appropriate units across the ancient Near East.</w:t>
      </w:r>
    </w:p>
    <w:p>
      <w:pPr>
        <w:pStyle w:val="Heading"/>
        <w:widowControl w:val="0"/>
        <w:rPr>
          <w:rStyle w:val="None"/>
          <w:rFonts w:ascii="Verdana" w:cs="Verdana" w:hAnsi="Verdana" w:eastAsia="Verdana"/>
          <w:b w:val="0"/>
          <w:bCs w:val="0"/>
        </w:rPr>
      </w:pPr>
      <w:r>
        <w:rPr>
          <w:rStyle w:val="None"/>
          <w:rFonts w:ascii="Verdana" w:hAnsi="Verdana"/>
          <w:b w:val="0"/>
          <w:bCs w:val="0"/>
          <w:sz w:val="22"/>
          <w:szCs w:val="22"/>
          <w:rtl w:val="0"/>
          <w:lang w:val="en-US"/>
        </w:rPr>
        <w:t>Two important distinctions apply. First, the Genesis 5 data records lifespans, not reign lengths; the SKL records reigns, not lifespans. The two documents encode different types of information through the same compression mechanism. Second, Genesis 5 and the SKL are related but not identical traditions: both list antediluvian figures ending in a flood, with broadly parallel structure (Walton, 1981), but their numbers are not commensurable on any simple conversion scale. The Hebrew parallel is adduced here as confirmatory evidence for the compression mechanism's cross-cultural prevalence, not as a direct decoding key for the SKL.</w:t>
      </w:r>
    </w:p>
    <w:p>
      <w:pPr>
        <w:pStyle w:val="Heading"/>
        <w:rPr>
          <w:rStyle w:val="None"/>
          <w:rFonts w:ascii="Verdana" w:cs="Verdana" w:hAnsi="Verdana" w:eastAsia="Verdana"/>
          <w:b w:val="0"/>
          <w:bCs w:val="0"/>
        </w:rPr>
      </w:pPr>
      <w:r>
        <w:rPr>
          <w:rStyle w:val="None"/>
          <w:rFonts w:ascii="Verdana" w:hAnsi="Verdana"/>
          <w:b w:val="0"/>
          <w:bCs w:val="0"/>
          <w:rtl w:val="0"/>
          <w:lang w:val="fr-FR"/>
        </w:rPr>
        <w:t>13. Limitations</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The arguments in this paper are bold and several limitations must be stated explicitly.</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No direct Sumerian parallel for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360 or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720. The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360 and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720 divisors are supported by cross-cultural convergence across Hebrew, Hindu, Chinese, and Babylonian traditions, but there is no documented instance of a Sumerian scribe applying either divisor to historical figures. The corrections are externally derived analytical tools, not demonstrated scribal conventions. Their value is heuristic: they identify what the figures would mean if those divisors applied, and they produce archaeologically coherent results. This is not the same as demonstrating that those divisors were used.</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The Three-Level Compression Model is a hypothesis. The model proposes that </w:t>
      </w:r>
      <w:r>
        <w:rPr>
          <w:rStyle w:val="None"/>
          <w:rFonts w:ascii="Verdana" w:hAnsi="Verdana" w:hint="default"/>
          <w:b w:val="0"/>
          <w:bCs w:val="0"/>
          <w:sz w:val="22"/>
          <w:szCs w:val="22"/>
          <w:rtl w:val="0"/>
        </w:rPr>
        <w:t>÷</w:t>
      </w:r>
      <w:r>
        <w:rPr>
          <w:rStyle w:val="None"/>
          <w:rFonts w:ascii="Verdana" w:hAnsi="Verdana"/>
          <w:b w:val="0"/>
          <w:bCs w:val="0"/>
          <w:sz w:val="22"/>
          <w:szCs w:val="22"/>
          <w:rtl w:val="0"/>
        </w:rPr>
        <w:t xml:space="preserve">360,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720, and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3,600 correspond to three levels of dynasty compression. No external evidence currently demonstrates that these three levels operated simultaneously or sequentially in the composition of the SKL antediluvian section. The nested-compression narrative in Section 9 is internally consistent but speculative.</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The outlier finding is negative evidence. The dual-system outlier status of En-men-dur-ana and Ubara-Tutu (not divisible by either sar or 72) strengthens the case for composite encoding but does not identify what convention was used for those two kings. The finding is diagnostic, not explanatory.</w:t>
      </w:r>
    </w:p>
    <w:p>
      <w:pPr>
        <w:pStyle w:val="Heading"/>
        <w:rPr>
          <w:rStyle w:val="None"/>
          <w:rFonts w:ascii="Verdana" w:cs="Verdana" w:hAnsi="Verdana" w:eastAsia="Verdana"/>
          <w:b w:val="0"/>
          <w:bCs w:val="0"/>
        </w:rPr>
      </w:pPr>
      <w:r>
        <w:rPr>
          <w:rStyle w:val="None"/>
          <w:rFonts w:ascii="Verdana" w:hAnsi="Verdana"/>
          <w:b w:val="0"/>
          <w:bCs w:val="0"/>
          <w:sz w:val="22"/>
          <w:szCs w:val="22"/>
          <w:rtl w:val="0"/>
          <w:lang w:val="pt-PT"/>
        </w:rPr>
        <w:t>The Berossus</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Kali Yuga connection is numerical, not causal. The identity 432,000 = 120 sars = 1 Kali Yuga reflects shared sexagesimal astronomical conventions, not direct borrowing between Babylonian and Hindu traditions. The connection is evidence that both systems drew from the same underlying mathematical framework; it is not evidence that the SKL was composed with knowledge of the Yuga system, or vice versa.</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Post-flood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60 asymmetry: verified figures and honest qualification. The First Dynasty of Kish figures cited in Section 5.1 have been verified against the ETCSL translation of the SKL (Jacobsen, 1939). The correct opening four kings are Jucur (1,200 years), Kullassina-bel (960 years), Nanjiclicma (670 years), and En-tarah-ana (420 years). An earlier draft of this paper incorrectly cited 'Palakinatim' and 'Belih' as kings three and four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those names and figures were errors and do not appear in the SKL. The corrected figures are used throughout. The qualification that 5 of 23 Kish I kings are not exact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60 multiples is acknowledged in Section 5.1 and represents an honest limit on the asymmetry argument.</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No independent attestation for pre-flood kings. All eight pre-flood kings lack independent archaeological or textual corroboration. The corrected figures are historically plausible; they are not verified. The argument is mathematical and structural, not documentary.</w:t>
      </w:r>
    </w:p>
    <w:p>
      <w:pPr>
        <w:pStyle w:val="Heading"/>
        <w:rPr>
          <w:rStyle w:val="None"/>
          <w:rFonts w:ascii="Verdana" w:cs="Verdana" w:hAnsi="Verdana" w:eastAsia="Verdana"/>
          <w:b w:val="0"/>
          <w:bCs w:val="0"/>
        </w:rPr>
      </w:pPr>
      <w:r>
        <w:rPr>
          <w:rStyle w:val="None"/>
          <w:rFonts w:ascii="Verdana" w:hAnsi="Verdana"/>
          <w:b w:val="0"/>
          <w:bCs w:val="0"/>
          <w:rtl w:val="0"/>
          <w:lang w:val="en-US"/>
        </w:rPr>
        <w:t>14. Implications</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Subject to the limitations above, the multi-calendar analysis has three implications for SKL scholarship and DSSM theory.</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First, the sar correction is robust across traditions. The fact that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3,600 is independently derivable from the Chinese sexagenary system (60</w:t>
      </w:r>
      <w:r>
        <w:rPr>
          <w:rStyle w:val="None"/>
          <w:rFonts w:ascii="Verdana" w:hAnsi="Verdana" w:hint="default"/>
          <w:b w:val="0"/>
          <w:bCs w:val="0"/>
          <w:sz w:val="22"/>
          <w:szCs w:val="22"/>
          <w:rtl w:val="0"/>
        </w:rPr>
        <w:t xml:space="preserve">² </w:t>
      </w:r>
      <w:r>
        <w:rPr>
          <w:rStyle w:val="None"/>
          <w:rFonts w:ascii="Verdana" w:hAnsi="Verdana"/>
          <w:b w:val="0"/>
          <w:bCs w:val="0"/>
          <w:sz w:val="22"/>
          <w:szCs w:val="22"/>
          <w:rtl w:val="0"/>
          <w:lang w:val="en-US"/>
        </w:rPr>
        <w:t>= 3,600), cross-validates against the Berossus total (</w:t>
      </w:r>
      <w:r>
        <w:rPr>
          <w:rStyle w:val="None"/>
          <w:rFonts w:ascii="Verdana" w:hAnsi="Verdana" w:hint="default"/>
          <w:b w:val="0"/>
          <w:bCs w:val="0"/>
          <w:sz w:val="22"/>
          <w:szCs w:val="22"/>
          <w:rtl w:val="0"/>
        </w:rPr>
        <w:t>÷</w:t>
      </w:r>
      <w:r>
        <w:rPr>
          <w:rStyle w:val="None"/>
          <w:rFonts w:ascii="Verdana" w:hAnsi="Verdana"/>
          <w:b w:val="0"/>
          <w:bCs w:val="0"/>
          <w:sz w:val="22"/>
          <w:szCs w:val="22"/>
          <w:rtl w:val="0"/>
        </w:rPr>
        <w:t xml:space="preserve">3,600 </w:t>
      </w:r>
      <w:r>
        <w:rPr>
          <w:rStyle w:val="None"/>
          <w:rFonts w:ascii="Arial Unicode MS" w:hAnsi="Arial Unicode MS" w:hint="default"/>
          <w:b w:val="0"/>
          <w:bCs w:val="0"/>
          <w:sz w:val="22"/>
          <w:szCs w:val="22"/>
          <w:rtl w:val="0"/>
        </w:rPr>
        <w:t>→</w:t>
      </w:r>
      <w:r>
        <w:rPr>
          <w:rStyle w:val="None"/>
          <w:rFonts w:ascii="Verdana" w:hAnsi="Verdana"/>
          <w:b w:val="0"/>
          <w:bCs w:val="0"/>
          <w:sz w:val="22"/>
          <w:szCs w:val="22"/>
          <w:rtl w:val="0"/>
        </w:rPr>
        <w:t xml:space="preserve"> </w:t>
      </w:r>
      <w:r>
        <w:rPr>
          <w:rStyle w:val="None"/>
          <w:rFonts w:ascii="Verdana" w:hAnsi="Verdana"/>
          <w:b w:val="0"/>
          <w:bCs w:val="0"/>
          <w:sz w:val="22"/>
          <w:szCs w:val="22"/>
          <w:rtl w:val="0"/>
          <w:lang w:val="en-US"/>
        </w:rPr>
        <w:t xml:space="preserve">12 years/king), and connects to a pan-Eurasian sacred astronomical number (432,000) strengthens its status as the analytically correct divisor for the pre-flood data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not merely a plausible choice but the choice that the ancient number system itself implies.</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Second, the Three-Level Compression Model provides a quantitative articulation of the dynasty-compression hypothesis. Prior scholarship on ancient king list inflation (including the Egyptian parallel in Vondoom, 2026, Section 6) has noted the compression mechanism in general terms. The three-level model offers specific ratios (</w:t>
      </w:r>
      <w:r>
        <w:rPr>
          <w:rStyle w:val="None"/>
          <w:rFonts w:ascii="Verdana" w:hAnsi="Verdana" w:hint="default"/>
          <w:b w:val="0"/>
          <w:bCs w:val="0"/>
          <w:sz w:val="22"/>
          <w:szCs w:val="22"/>
          <w:rtl w:val="0"/>
        </w:rPr>
        <w:t>÷</w:t>
      </w:r>
      <w:r>
        <w:rPr>
          <w:rStyle w:val="None"/>
          <w:rFonts w:ascii="Verdana" w:hAnsi="Verdana"/>
          <w:b w:val="0"/>
          <w:bCs w:val="0"/>
          <w:sz w:val="22"/>
          <w:szCs w:val="22"/>
          <w:rtl w:val="0"/>
        </w:rPr>
        <w:t xml:space="preserve">3,600, </w:t>
      </w:r>
      <w:r>
        <w:rPr>
          <w:rStyle w:val="None"/>
          <w:rFonts w:ascii="Verdana" w:hAnsi="Verdana" w:hint="default"/>
          <w:b w:val="0"/>
          <w:bCs w:val="0"/>
          <w:sz w:val="22"/>
          <w:szCs w:val="22"/>
          <w:rtl w:val="0"/>
        </w:rPr>
        <w:t>÷</w:t>
      </w:r>
      <w:r>
        <w:rPr>
          <w:rStyle w:val="None"/>
          <w:rFonts w:ascii="Verdana" w:hAnsi="Verdana"/>
          <w:b w:val="0"/>
          <w:bCs w:val="0"/>
          <w:sz w:val="22"/>
          <w:szCs w:val="22"/>
          <w:rtl w:val="0"/>
        </w:rPr>
        <w:t xml:space="preserve">720,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360) with independent calendar grounding for each, converting a qualitative claim into a testable quantitative framework. Future work could apply the same three-level framework to other ancient king lists with inflated reigns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the Egyptian king lists, the Vedic rishi lineages, the Chinese legendary emperors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to test whether the same compression ratios recur.</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Third, the dual-system outlier finding has a direct implication for textual scholarship. If En-men-dur-ana and Ubara-Tutu were encoded using a different convention than the other six kings, the within-section heterogeneity extends Jacobsen's (1939) composite-authorship argument in a more precise direction: not only was the antediluvian section added by a different scribe than the postdiluvian section, but the antediluvian section itself may contain at least two source layers with different encoding conventions. This is a testable hypothesis: if additional manuscript fragments of the antediluvian tradition are discovered, the encoding conventions of these two kings warrant specific attention.</w:t>
      </w:r>
    </w:p>
    <w:p>
      <w:pPr>
        <w:pStyle w:val="Heading"/>
        <w:rPr>
          <w:rStyle w:val="None"/>
          <w:rFonts w:ascii="Verdana" w:cs="Verdana" w:hAnsi="Verdana" w:eastAsia="Verdana"/>
          <w:b w:val="0"/>
          <w:bCs w:val="0"/>
        </w:rPr>
      </w:pPr>
      <w:r>
        <w:rPr>
          <w:rStyle w:val="None"/>
          <w:rFonts w:ascii="Verdana" w:hAnsi="Verdana"/>
          <w:b w:val="0"/>
          <w:bCs w:val="0"/>
          <w:rtl w:val="0"/>
          <w:lang w:val="it-IT"/>
        </w:rPr>
        <w:t>15. Conclusion</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This paper applied five calendar-system and astronomical divisors to the Sumerian Kings List pre-flood reign lengths and evaluated the results against three criteria: mathematical, biological, and archaeological plausibility. The primary finding is confirmatory: the sar correction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3,600) established in Vondoom (2026) is the most parsimonious result across all criteria and is independently supported by the Chinese sexagenary system (60</w:t>
      </w:r>
      <w:r>
        <w:rPr>
          <w:rStyle w:val="None"/>
          <w:rFonts w:ascii="Verdana" w:hAnsi="Verdana" w:hint="default"/>
          <w:b w:val="0"/>
          <w:bCs w:val="0"/>
          <w:sz w:val="22"/>
          <w:szCs w:val="22"/>
          <w:rtl w:val="0"/>
        </w:rPr>
        <w:t xml:space="preserve">² </w:t>
      </w:r>
      <w:r>
        <w:rPr>
          <w:rStyle w:val="None"/>
          <w:rFonts w:ascii="Verdana" w:hAnsi="Verdana"/>
          <w:b w:val="0"/>
          <w:bCs w:val="0"/>
          <w:sz w:val="22"/>
          <w:szCs w:val="22"/>
          <w:rtl w:val="0"/>
          <w:lang w:val="en-US"/>
        </w:rPr>
        <w:t xml:space="preserve">= 3,600), the Berossus cross-validation (432,000 </w:t>
      </w:r>
      <w:r>
        <w:rPr>
          <w:rStyle w:val="None"/>
          <w:rFonts w:ascii="Verdana" w:hAnsi="Verdana" w:hint="default"/>
          <w:b w:val="0"/>
          <w:bCs w:val="0"/>
          <w:sz w:val="22"/>
          <w:szCs w:val="22"/>
          <w:rtl w:val="0"/>
        </w:rPr>
        <w:t xml:space="preserve">÷ </w:t>
      </w:r>
      <w:r>
        <w:rPr>
          <w:rStyle w:val="None"/>
          <w:rFonts w:ascii="Verdana" w:hAnsi="Verdana"/>
          <w:b w:val="0"/>
          <w:bCs w:val="0"/>
          <w:sz w:val="22"/>
          <w:szCs w:val="22"/>
          <w:rtl w:val="0"/>
          <w:lang w:val="en-US"/>
        </w:rPr>
        <w:t>3,600 = 12 years/king), and the pan-Eurasian astronomical significance of the number 432,000.</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Three new findings supplement this confirmation. The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720 (12-Jiazi) correction produces plausible upper-range individual reign lengths of 26</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60 years and an archaeologically appropriate start date of ~3,235 BCE. The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360 (prophetic/divine year) correction produces dynasty spans of 52</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120 years and a start date of ~3,570 BCE, consistent with the Egyptian compression parallel and the Uruk Expansion horizon. The precession-degree test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72) independently identifies the same two outlier kings as the sar analysis, providing the strongest mathematical evidence yet for heterogeneous encoding within the antediluvian section.</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These findings are integrated into the Three-Level Compression Model: a framework in which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3,600 recovers individual reign lengths (Level 1),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 xml:space="preserve">720 recovers plausible personal reigns at the upper range (Level 2), and </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360 recovers dynasty spans (Level 3), with a nested-compression narrative that renders all three levels internally consistent. The model is proposed as a hypothesis for further investigation, not a demonstrated account.</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 xml:space="preserve">What the multi-calendar analysis confirms most clearly is that the numbers in the SKL pre-flood section are not arbitrary. They belong to a mathematical framework shared across the ancient world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 xml:space="preserve">from Babylon to China to the Hebrew prophetic tradition to the Hindu Yuga system </w:t>
      </w:r>
      <w:r>
        <w:rPr>
          <w:rStyle w:val="None"/>
          <w:rFonts w:ascii="Verdana" w:hAnsi="Verdana" w:hint="default"/>
          <w:b w:val="0"/>
          <w:bCs w:val="0"/>
          <w:sz w:val="22"/>
          <w:szCs w:val="22"/>
          <w:rtl w:val="0"/>
          <w:lang w:val="en-US"/>
        </w:rPr>
        <w:t xml:space="preserve">— </w:t>
      </w:r>
      <w:r>
        <w:rPr>
          <w:rStyle w:val="None"/>
          <w:rFonts w:ascii="Verdana" w:hAnsi="Verdana"/>
          <w:b w:val="0"/>
          <w:bCs w:val="0"/>
          <w:sz w:val="22"/>
          <w:szCs w:val="22"/>
          <w:rtl w:val="0"/>
          <w:lang w:val="en-US"/>
        </w:rPr>
        <w:t>and the convergence of multiple independent traditions on the same key divisors (60, 360, 720, 3,600) is itself evidence that these numbers encode something recoverable, not something invented. The rulers they name may have governed the descendants of populations who had built symbolic systems and governance structures in the Persian Gulf Oasis before the sea reclaimed it (Rose, 2010). The flood did not erase that governance. It encoded it in sacred mathematics.</w:t>
      </w: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p>
    <w:p>
      <w:pPr>
        <w:pStyle w:val="Heading"/>
        <w:rPr>
          <w:rStyle w:val="None"/>
          <w:rFonts w:ascii="Verdana" w:cs="Verdana" w:hAnsi="Verdana" w:eastAsia="Verdana"/>
          <w:b w:val="0"/>
          <w:bCs w:val="0"/>
        </w:rPr>
      </w:pPr>
      <w:r>
        <w:rPr>
          <w:rStyle w:val="None"/>
          <w:rFonts w:ascii="Verdana" w:hAnsi="Verdana"/>
          <w:b w:val="0"/>
          <w:bCs w:val="0"/>
          <w:rtl w:val="0"/>
          <w:lang w:val="en-US"/>
        </w:rPr>
        <w:t>Sustainable Development Goals (SDG) Alignment</w:t>
      </w: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00"/>
        <w:gridCol w:w="6360"/>
      </w:tblGrid>
      <w:tr>
        <w:tblPrEx>
          <w:shd w:val="clear" w:color="auto" w:fill="ced7e7"/>
        </w:tblPrEx>
        <w:trPr>
          <w:trHeight w:val="200" w:hRule="atLeast"/>
        </w:trPr>
        <w:tc>
          <w:tcPr>
            <w:tcW w:type="dxa" w:w="3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 w:val="left" w:pos="2160"/>
                <w:tab w:val="left" w:pos="2880"/>
              </w:tabs>
              <w:jc w:val="both"/>
            </w:pPr>
            <w:r>
              <w:rPr>
                <w:rStyle w:val="None"/>
                <w:rFonts w:ascii="Arial" w:hAnsi="Arial"/>
                <w:b w:val="1"/>
                <w:bCs w:val="1"/>
                <w:sz w:val="18"/>
                <w:szCs w:val="18"/>
                <w:shd w:val="nil" w:color="auto" w:fill="auto"/>
                <w:rtl w:val="0"/>
                <w:lang w:val="pt-PT"/>
              </w:rPr>
              <w:t>SDG</w:t>
            </w:r>
          </w:p>
        </w:tc>
        <w:tc>
          <w:tcPr>
            <w:tcW w:type="dxa" w:w="63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e0e0e0"/>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 w:val="left" w:pos="5040"/>
                <w:tab w:val="left" w:pos="5760"/>
              </w:tabs>
              <w:jc w:val="both"/>
            </w:pPr>
            <w:r>
              <w:rPr>
                <w:rStyle w:val="None"/>
                <w:rFonts w:ascii="Arial" w:hAnsi="Arial"/>
                <w:b w:val="1"/>
                <w:bCs w:val="1"/>
                <w:sz w:val="18"/>
                <w:szCs w:val="18"/>
                <w:shd w:val="nil" w:color="auto" w:fill="auto"/>
                <w:rtl w:val="0"/>
                <w:lang w:val="fr-FR"/>
              </w:rPr>
              <w:t>Relevance</w:t>
            </w:r>
          </w:p>
        </w:tc>
      </w:tr>
      <w:tr>
        <w:tblPrEx>
          <w:shd w:val="clear" w:color="auto" w:fill="ced7e7"/>
        </w:tblPrEx>
        <w:trPr>
          <w:trHeight w:val="1007" w:hRule="atLeast"/>
        </w:trPr>
        <w:tc>
          <w:tcPr>
            <w:tcW w:type="dxa" w:w="3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both"/>
            </w:pPr>
            <w:r>
              <w:rPr>
                <w:rStyle w:val="None"/>
                <w:rFonts w:ascii="Arial" w:hAnsi="Arial"/>
                <w:b w:val="1"/>
                <w:bCs w:val="1"/>
                <w:sz w:val="20"/>
                <w:szCs w:val="20"/>
                <w:shd w:val="nil" w:color="auto" w:fill="auto"/>
                <w:rtl w:val="0"/>
                <w:lang w:val="fr-FR"/>
              </w:rPr>
              <w:t xml:space="preserve">SDG 4 </w:t>
            </w:r>
            <w:r>
              <w:rPr>
                <w:rStyle w:val="None"/>
                <w:rFonts w:ascii="Arial" w:hAnsi="Arial" w:hint="default"/>
                <w:b w:val="1"/>
                <w:bCs w:val="1"/>
                <w:sz w:val="20"/>
                <w:szCs w:val="20"/>
                <w:shd w:val="nil" w:color="auto" w:fill="auto"/>
                <w:rtl w:val="0"/>
                <w:lang w:val="en-US"/>
              </w:rPr>
              <w:t xml:space="preserve">— </w:t>
            </w:r>
            <w:r>
              <w:rPr>
                <w:rStyle w:val="None"/>
                <w:rFonts w:ascii="Arial" w:hAnsi="Arial"/>
                <w:b w:val="1"/>
                <w:bCs w:val="1"/>
                <w:sz w:val="20"/>
                <w:szCs w:val="20"/>
                <w:shd w:val="nil" w:color="auto" w:fill="auto"/>
                <w:rtl w:val="0"/>
                <w:lang w:val="en-US"/>
              </w:rPr>
              <w:t>Quality Education</w:t>
            </w:r>
          </w:p>
        </w:tc>
        <w:tc>
          <w:tcPr>
            <w:tcW w:type="dxa" w:w="63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 w:val="left" w:pos="5040"/>
                <w:tab w:val="left" w:pos="5760"/>
              </w:tabs>
              <w:jc w:val="both"/>
            </w:pPr>
            <w:r>
              <w:rPr>
                <w:rStyle w:val="None"/>
                <w:rFonts w:ascii="Arial" w:hAnsi="Arial"/>
                <w:sz w:val="20"/>
                <w:szCs w:val="20"/>
                <w:shd w:val="nil" w:color="auto" w:fill="auto"/>
                <w:rtl w:val="0"/>
                <w:lang w:val="en-US"/>
              </w:rPr>
              <w:t>Advances rigorous, evidence-based analytical methodology for interpreting ancient numerical records, demonstrating how cross-cultural calendar comparison can recover historical data from documents previously treated as purely mythological.</w:t>
            </w:r>
          </w:p>
        </w:tc>
      </w:tr>
      <w:tr>
        <w:tblPrEx>
          <w:shd w:val="clear" w:color="auto" w:fill="ced7e7"/>
        </w:tblPrEx>
        <w:trPr>
          <w:trHeight w:val="743" w:hRule="atLeast"/>
        </w:trPr>
        <w:tc>
          <w:tcPr>
            <w:tcW w:type="dxa" w:w="3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both"/>
            </w:pPr>
            <w:r>
              <w:rPr>
                <w:rStyle w:val="None"/>
                <w:rFonts w:ascii="Arial" w:hAnsi="Arial"/>
                <w:b w:val="1"/>
                <w:bCs w:val="1"/>
                <w:sz w:val="20"/>
                <w:szCs w:val="20"/>
                <w:shd w:val="nil" w:color="auto" w:fill="auto"/>
                <w:rtl w:val="0"/>
                <w:lang w:val="fr-FR"/>
              </w:rPr>
              <w:t xml:space="preserve">SDG 11 </w:t>
            </w:r>
            <w:r>
              <w:rPr>
                <w:rStyle w:val="None"/>
                <w:rFonts w:ascii="Arial" w:hAnsi="Arial" w:hint="default"/>
                <w:b w:val="1"/>
                <w:bCs w:val="1"/>
                <w:sz w:val="20"/>
                <w:szCs w:val="20"/>
                <w:shd w:val="nil" w:color="auto" w:fill="auto"/>
                <w:rtl w:val="0"/>
                <w:lang w:val="en-US"/>
              </w:rPr>
              <w:t xml:space="preserve">— </w:t>
            </w:r>
            <w:r>
              <w:rPr>
                <w:rStyle w:val="None"/>
                <w:rFonts w:ascii="Arial" w:hAnsi="Arial"/>
                <w:b w:val="1"/>
                <w:bCs w:val="1"/>
                <w:sz w:val="20"/>
                <w:szCs w:val="20"/>
                <w:shd w:val="nil" w:color="auto" w:fill="auto"/>
                <w:rtl w:val="0"/>
                <w:lang w:val="en-US"/>
              </w:rPr>
              <w:t>Sustainable Cities and Communities</w:t>
            </w:r>
          </w:p>
        </w:tc>
        <w:tc>
          <w:tcPr>
            <w:tcW w:type="dxa" w:w="63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 w:val="left" w:pos="5040"/>
                <w:tab w:val="left" w:pos="5760"/>
              </w:tabs>
              <w:jc w:val="both"/>
            </w:pPr>
            <w:r>
              <w:rPr>
                <w:rStyle w:val="None"/>
                <w:rFonts w:ascii="Arial" w:hAnsi="Arial"/>
                <w:sz w:val="20"/>
                <w:szCs w:val="20"/>
                <w:shd w:val="nil" w:color="auto" w:fill="auto"/>
                <w:rtl w:val="0"/>
                <w:lang w:val="en-US"/>
              </w:rPr>
              <w:t>Refines the chronological framework for the world's first urban system, contextualising the earliest named city-state rulers within specific and archaeologically attested governance horizons.</w:t>
            </w:r>
          </w:p>
        </w:tc>
      </w:tr>
      <w:tr>
        <w:tblPrEx>
          <w:shd w:val="clear" w:color="auto" w:fill="ced7e7"/>
        </w:tblPrEx>
        <w:trPr>
          <w:trHeight w:val="1007" w:hRule="atLeast"/>
        </w:trPr>
        <w:tc>
          <w:tcPr>
            <w:tcW w:type="dxa" w:w="3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both"/>
            </w:pPr>
            <w:r>
              <w:rPr>
                <w:rStyle w:val="None"/>
                <w:rFonts w:ascii="Arial" w:hAnsi="Arial"/>
                <w:b w:val="1"/>
                <w:bCs w:val="1"/>
                <w:sz w:val="20"/>
                <w:szCs w:val="20"/>
                <w:shd w:val="nil" w:color="auto" w:fill="auto"/>
                <w:rtl w:val="0"/>
                <w:lang w:val="fr-FR"/>
              </w:rPr>
              <w:t xml:space="preserve">SDG 16 </w:t>
            </w:r>
            <w:r>
              <w:rPr>
                <w:rStyle w:val="None"/>
                <w:rFonts w:ascii="Arial" w:hAnsi="Arial" w:hint="default"/>
                <w:b w:val="1"/>
                <w:bCs w:val="1"/>
                <w:sz w:val="20"/>
                <w:szCs w:val="20"/>
                <w:shd w:val="nil" w:color="auto" w:fill="auto"/>
                <w:rtl w:val="0"/>
                <w:lang w:val="en-US"/>
              </w:rPr>
              <w:t xml:space="preserve">— </w:t>
            </w:r>
            <w:r>
              <w:rPr>
                <w:rStyle w:val="None"/>
                <w:rFonts w:ascii="Arial" w:hAnsi="Arial"/>
                <w:b w:val="1"/>
                <w:bCs w:val="1"/>
                <w:sz w:val="20"/>
                <w:szCs w:val="20"/>
                <w:shd w:val="nil" w:color="auto" w:fill="auto"/>
                <w:rtl w:val="0"/>
                <w:lang w:val="en-US"/>
              </w:rPr>
              <w:t>Peace, Justice and Strong Institutions</w:t>
            </w:r>
          </w:p>
        </w:tc>
        <w:tc>
          <w:tcPr>
            <w:tcW w:type="dxa" w:w="63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 w:val="left" w:pos="5040"/>
                <w:tab w:val="left" w:pos="5760"/>
              </w:tabs>
              <w:jc w:val="both"/>
            </w:pPr>
            <w:r>
              <w:rPr>
                <w:rStyle w:val="None"/>
                <w:rFonts w:ascii="Arial" w:hAnsi="Arial"/>
                <w:sz w:val="20"/>
                <w:szCs w:val="20"/>
                <w:shd w:val="nil" w:color="auto" w:fill="auto"/>
                <w:rtl w:val="0"/>
                <w:lang w:val="en-US"/>
              </w:rPr>
              <w:t>Demonstrates how early institutional authority was encoded across multiple independent calendar and cosmological traditions, evidencing the shared mathematical grammar underlying the legitimation of governance in the ancient world.</w:t>
            </w:r>
          </w:p>
        </w:tc>
      </w:tr>
      <w:tr>
        <w:tblPrEx>
          <w:shd w:val="clear" w:color="auto" w:fill="ced7e7"/>
        </w:tblPrEx>
        <w:trPr>
          <w:trHeight w:val="1007" w:hRule="atLeast"/>
        </w:trPr>
        <w:tc>
          <w:tcPr>
            <w:tcW w:type="dxa" w:w="300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s>
              <w:jc w:val="both"/>
            </w:pPr>
            <w:r>
              <w:rPr>
                <w:rStyle w:val="None"/>
                <w:rFonts w:ascii="Arial" w:hAnsi="Arial"/>
                <w:b w:val="1"/>
                <w:bCs w:val="1"/>
                <w:sz w:val="20"/>
                <w:szCs w:val="20"/>
                <w:shd w:val="nil" w:color="auto" w:fill="auto"/>
                <w:rtl w:val="0"/>
                <w:lang w:val="fr-FR"/>
              </w:rPr>
              <w:t xml:space="preserve">SDG 17 </w:t>
            </w:r>
            <w:r>
              <w:rPr>
                <w:rStyle w:val="None"/>
                <w:rFonts w:ascii="Arial" w:hAnsi="Arial" w:hint="default"/>
                <w:b w:val="1"/>
                <w:bCs w:val="1"/>
                <w:sz w:val="20"/>
                <w:szCs w:val="20"/>
                <w:shd w:val="nil" w:color="auto" w:fill="auto"/>
                <w:rtl w:val="0"/>
                <w:lang w:val="en-US"/>
              </w:rPr>
              <w:t xml:space="preserve">— </w:t>
            </w:r>
            <w:r>
              <w:rPr>
                <w:rStyle w:val="None"/>
                <w:rFonts w:ascii="Arial" w:hAnsi="Arial"/>
                <w:b w:val="1"/>
                <w:bCs w:val="1"/>
                <w:sz w:val="20"/>
                <w:szCs w:val="20"/>
                <w:shd w:val="nil" w:color="auto" w:fill="auto"/>
                <w:rtl w:val="0"/>
                <w:lang w:val="en-US"/>
              </w:rPr>
              <w:t>Partnerships for the Goals</w:t>
            </w:r>
          </w:p>
        </w:tc>
        <w:tc>
          <w:tcPr>
            <w:tcW w:type="dxa" w:w="6360"/>
            <w:tcBorders>
              <w:top w:val="single" w:color="888888" w:sz="1" w:space="0" w:shadow="0" w:frame="0"/>
              <w:left w:val="single" w:color="888888" w:sz="1" w:space="0" w:shadow="0" w:frame="0"/>
              <w:bottom w:val="single" w:color="888888" w:sz="1" w:space="0" w:shadow="0" w:frame="0"/>
              <w:right w:val="single" w:color="888888" w:sz="1" w:space="0" w:shadow="0" w:frame="0"/>
            </w:tcBorders>
            <w:shd w:val="clear" w:color="auto" w:fill="ffffff"/>
            <w:tcMar>
              <w:top w:type="dxa" w:w="80"/>
              <w:left w:type="dxa" w:w="80"/>
              <w:bottom w:type="dxa" w:w="80"/>
              <w:right w:type="dxa" w:w="80"/>
            </w:tcMar>
            <w:vAlign w:val="center"/>
          </w:tcPr>
          <w:p>
            <w:pPr>
              <w:pStyle w:val="Default"/>
              <w:tabs>
                <w:tab w:val="left" w:pos="720"/>
                <w:tab w:val="left" w:pos="1440"/>
                <w:tab w:val="left" w:pos="2160"/>
                <w:tab w:val="left" w:pos="2880"/>
                <w:tab w:val="left" w:pos="3600"/>
                <w:tab w:val="left" w:pos="4320"/>
                <w:tab w:val="left" w:pos="5040"/>
                <w:tab w:val="left" w:pos="5760"/>
              </w:tabs>
              <w:jc w:val="both"/>
            </w:pPr>
            <w:r>
              <w:rPr>
                <w:rStyle w:val="None"/>
                <w:rFonts w:ascii="Arial" w:hAnsi="Arial"/>
                <w:sz w:val="20"/>
                <w:szCs w:val="20"/>
                <w:shd w:val="nil" w:color="auto" w:fill="auto"/>
                <w:rtl w:val="0"/>
                <w:lang w:val="en-US"/>
              </w:rPr>
              <w:t>Models genuinely cross-disciplinary synthesis, integrating Mesopotamian mathematics, Chinese calendrics, Hebrew biblical scholarship, Hindu cosmology, and astronomical theory within a unified analytical framework.</w:t>
            </w:r>
          </w:p>
        </w:tc>
      </w:tr>
    </w:tbl>
    <w:p>
      <w:pPr>
        <w:pStyle w:val="Heading"/>
        <w:widowControl w:val="0"/>
        <w:ind w:left="108" w:hanging="108"/>
        <w:rPr>
          <w:rStyle w:val="None"/>
          <w:rFonts w:ascii="Verdana" w:cs="Verdana" w:hAnsi="Verdana" w:eastAsia="Verdana"/>
          <w:b w:val="0"/>
          <w:bCs w:val="0"/>
        </w:rPr>
      </w:pPr>
    </w:p>
    <w:p>
      <w:pPr>
        <w:pStyle w:val="Heading"/>
        <w:widowControl w:val="0"/>
        <w:rPr>
          <w:rStyle w:val="None"/>
          <w:rFonts w:ascii="Verdana" w:cs="Verdana" w:hAnsi="Verdana" w:eastAsia="Verdana"/>
          <w:b w:val="0"/>
          <w:bCs w:val="0"/>
        </w:rPr>
      </w:pPr>
    </w:p>
    <w:p>
      <w:pPr>
        <w:pStyle w:val="Heading"/>
        <w:widowControl w:val="0"/>
        <w:rPr>
          <w:rStyle w:val="None"/>
          <w:rFonts w:ascii="Verdana" w:cs="Verdana" w:hAnsi="Verdana" w:eastAsia="Verdana"/>
          <w:b w:val="0"/>
          <w:bCs w:val="0"/>
        </w:rPr>
      </w:pPr>
    </w:p>
    <w:p>
      <w:pPr>
        <w:pStyle w:val="Heading"/>
        <w:rPr>
          <w:rStyle w:val="None"/>
          <w:rFonts w:ascii="Verdana" w:cs="Verdana" w:hAnsi="Verdana" w:eastAsia="Verdana"/>
          <w:b w:val="0"/>
          <w:bCs w:val="0"/>
        </w:rPr>
      </w:pPr>
      <w:r>
        <w:rPr>
          <w:rStyle w:val="None"/>
          <w:rFonts w:ascii="Verdana" w:hAnsi="Verdana"/>
          <w:b w:val="0"/>
          <w:bCs w:val="0"/>
          <w:rtl w:val="0"/>
          <w:lang w:val="fr-FR"/>
        </w:rPr>
        <w:t>References</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De Santillana, G., &amp; von Dechend, H. (1969). Hamlet's Mill: An Essay Investigating the Origins of Human Knowledge and Its Transmission Through Myth. Gambit.</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Evans, J. (1998). The History and Practice of Ancient Astronomy. Oxford University Press.</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Friberg, J. (1984). Numbers and measures in the earliest written records. Scientific American, 250(2), 110</w:t>
      </w:r>
      <w:r>
        <w:rPr>
          <w:rStyle w:val="None"/>
          <w:rFonts w:ascii="Verdana" w:hAnsi="Verdana" w:hint="default"/>
          <w:b w:val="0"/>
          <w:bCs w:val="0"/>
          <w:sz w:val="22"/>
          <w:szCs w:val="22"/>
          <w:rtl w:val="0"/>
        </w:rPr>
        <w:t>–</w:t>
      </w:r>
      <w:r>
        <w:rPr>
          <w:rStyle w:val="None"/>
          <w:rFonts w:ascii="Verdana" w:hAnsi="Verdana"/>
          <w:b w:val="0"/>
          <w:bCs w:val="0"/>
          <w:sz w:val="22"/>
          <w:szCs w:val="22"/>
          <w:rtl w:val="0"/>
        </w:rPr>
        <w:t>118.</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Glassner, J.-J. (2004). Mesopotamian Chronicles. Society of Biblical Literature.</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Henrich, J. (2016). The Secret of Our Success. Princeton University Press.</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Humphreys, C.J. (2001). The miracles of Exodus. HarperCollins. [Genesis 5 lunar-month hypothesis, cited for context].</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Jacobsen, T. (1939). The Sumerian King List. Assyriological Studies 11. Oriental Institute, University of Chicago.</w:t>
      </w:r>
    </w:p>
    <w:p>
      <w:pPr>
        <w:pStyle w:val="Heading"/>
        <w:rPr>
          <w:rStyle w:val="None"/>
          <w:rFonts w:ascii="Verdana" w:cs="Verdana" w:hAnsi="Verdana" w:eastAsia="Verdana"/>
          <w:b w:val="0"/>
          <w:bCs w:val="0"/>
        </w:rPr>
      </w:pPr>
      <w:r>
        <w:rPr>
          <w:rStyle w:val="None"/>
          <w:rFonts w:ascii="Verdana" w:hAnsi="Verdana"/>
          <w:b w:val="0"/>
          <w:bCs w:val="0"/>
          <w:sz w:val="22"/>
          <w:szCs w:val="22"/>
          <w:rtl w:val="0"/>
        </w:rPr>
        <w:t>L</w:t>
      </w:r>
      <w:r>
        <w:rPr>
          <w:rStyle w:val="None"/>
          <w:rFonts w:ascii="Verdana" w:hAnsi="Verdana" w:hint="default"/>
          <w:b w:val="0"/>
          <w:bCs w:val="0"/>
          <w:sz w:val="22"/>
          <w:szCs w:val="22"/>
          <w:rtl w:val="0"/>
          <w:lang w:val="es-ES_tradnl"/>
        </w:rPr>
        <w:t>ó</w:t>
      </w:r>
      <w:r>
        <w:rPr>
          <w:rStyle w:val="None"/>
          <w:rFonts w:ascii="Verdana" w:hAnsi="Verdana"/>
          <w:b w:val="0"/>
          <w:bCs w:val="0"/>
          <w:sz w:val="22"/>
          <w:szCs w:val="22"/>
          <w:rtl w:val="0"/>
          <w:lang w:val="en-US"/>
        </w:rPr>
        <w:t>pez, R.E. (1998). The antediluvian patriarchs and the Sumerian King List. Journal of Creation, 12(3), 347</w:t>
      </w:r>
      <w:r>
        <w:rPr>
          <w:rStyle w:val="None"/>
          <w:rFonts w:ascii="Verdana" w:hAnsi="Verdana" w:hint="default"/>
          <w:b w:val="0"/>
          <w:bCs w:val="0"/>
          <w:sz w:val="22"/>
          <w:szCs w:val="22"/>
          <w:rtl w:val="0"/>
        </w:rPr>
        <w:t>–</w:t>
      </w:r>
      <w:r>
        <w:rPr>
          <w:rStyle w:val="None"/>
          <w:rFonts w:ascii="Verdana" w:hAnsi="Verdana"/>
          <w:b w:val="0"/>
          <w:bCs w:val="0"/>
          <w:sz w:val="22"/>
          <w:szCs w:val="22"/>
          <w:rtl w:val="0"/>
        </w:rPr>
        <w:t>357.</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Nissen, H.J. (1988). The Early History of the Ancient Near East, 9000</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2000 BC. University of Chicago Press.</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Ong, W.J. (1982). Orality and Literacy: The Technologizing of the Word. Methuen.</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Oppenheim, A.L. (1977). Ancient Mesopotamia: Portrait of a Dead Civilization (Rev. ed.). University of Chicago Press.</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Rose, J.I. (2010). New light on human prehistory in the Arabo-Persian Gulf Oasis. Current Anthropology, 51(6), 849</w:t>
      </w:r>
      <w:r>
        <w:rPr>
          <w:rStyle w:val="None"/>
          <w:rFonts w:ascii="Verdana" w:hAnsi="Verdana" w:hint="default"/>
          <w:b w:val="0"/>
          <w:bCs w:val="0"/>
          <w:sz w:val="22"/>
          <w:szCs w:val="22"/>
          <w:rtl w:val="0"/>
        </w:rPr>
        <w:t>–</w:t>
      </w:r>
      <w:r>
        <w:rPr>
          <w:rStyle w:val="None"/>
          <w:rFonts w:ascii="Verdana" w:hAnsi="Verdana"/>
          <w:b w:val="0"/>
          <w:bCs w:val="0"/>
          <w:sz w:val="22"/>
          <w:szCs w:val="22"/>
          <w:rtl w:val="0"/>
        </w:rPr>
        <w:t>883.</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Sitchin, Z. (1976). The 12th Planet. Stein and Day. [Cited to represent the literalist position; not endorsed].</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Staubwasser, M., &amp; Weiss, H. (2006). Holocene climate and cultural evolution in late prehistoric</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early historic West Asia. Quaternary Research, 66(3), 372</w:t>
      </w:r>
      <w:r>
        <w:rPr>
          <w:rStyle w:val="None"/>
          <w:rFonts w:ascii="Verdana" w:hAnsi="Verdana" w:hint="default"/>
          <w:b w:val="0"/>
          <w:bCs w:val="0"/>
          <w:sz w:val="22"/>
          <w:szCs w:val="22"/>
          <w:rtl w:val="0"/>
        </w:rPr>
        <w:t>–</w:t>
      </w:r>
      <w:r>
        <w:rPr>
          <w:rStyle w:val="None"/>
          <w:rFonts w:ascii="Verdana" w:hAnsi="Verdana"/>
          <w:b w:val="0"/>
          <w:bCs w:val="0"/>
          <w:sz w:val="22"/>
          <w:szCs w:val="22"/>
          <w:rtl w:val="0"/>
        </w:rPr>
        <w:t>387.</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Ulansey, D. (1989). The Origins of the Mithraic Mysteries. Oxford University Press.</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Van De Mieroop, M. (2007). A History of the Ancient Near East (2nd ed.). Wiley-Blackwell.</w:t>
      </w:r>
    </w:p>
    <w:p>
      <w:pPr>
        <w:pStyle w:val="Heading"/>
        <w:rPr>
          <w:rStyle w:val="None"/>
          <w:rFonts w:ascii="Verdana" w:cs="Verdana" w:hAnsi="Verdana" w:eastAsia="Verdana"/>
          <w:b w:val="0"/>
          <w:bCs w:val="0"/>
        </w:rPr>
      </w:pPr>
      <w:r>
        <w:rPr>
          <w:rStyle w:val="None"/>
          <w:rFonts w:ascii="Verdana" w:hAnsi="Verdana"/>
          <w:b w:val="0"/>
          <w:bCs w:val="0"/>
          <w:sz w:val="22"/>
          <w:szCs w:val="22"/>
          <w:rtl w:val="0"/>
          <w:lang w:val="it-IT"/>
        </w:rPr>
        <w:t>Vincente, C.A. (1995). The Tall Leil</w:t>
      </w:r>
      <w:r>
        <w:rPr>
          <w:rStyle w:val="None"/>
          <w:rFonts w:ascii="Verdana" w:hAnsi="Verdana" w:hint="default"/>
          <w:b w:val="0"/>
          <w:bCs w:val="0"/>
          <w:sz w:val="22"/>
          <w:szCs w:val="22"/>
          <w:rtl w:val="0"/>
        </w:rPr>
        <w:t>â</w:t>
      </w:r>
      <w:r>
        <w:rPr>
          <w:rStyle w:val="None"/>
          <w:rFonts w:ascii="Verdana" w:hAnsi="Verdana"/>
          <w:b w:val="0"/>
          <w:bCs w:val="0"/>
          <w:sz w:val="22"/>
          <w:szCs w:val="22"/>
          <w:rtl w:val="0"/>
          <w:lang w:val="de-DE"/>
        </w:rPr>
        <w:t>n Recension of the Sumerian King List. Zeitschrift f</w:t>
      </w:r>
      <w:r>
        <w:rPr>
          <w:rStyle w:val="None"/>
          <w:rFonts w:ascii="Verdana" w:hAnsi="Verdana" w:hint="default"/>
          <w:b w:val="0"/>
          <w:bCs w:val="0"/>
          <w:sz w:val="22"/>
          <w:szCs w:val="22"/>
          <w:rtl w:val="0"/>
        </w:rPr>
        <w:t>ü</w:t>
      </w:r>
      <w:r>
        <w:rPr>
          <w:rStyle w:val="None"/>
          <w:rFonts w:ascii="Verdana" w:hAnsi="Verdana"/>
          <w:b w:val="0"/>
          <w:bCs w:val="0"/>
          <w:sz w:val="22"/>
          <w:szCs w:val="22"/>
          <w:rtl w:val="0"/>
        </w:rPr>
        <w:t>r Assyriologie, 85(2), 234</w:t>
      </w:r>
      <w:r>
        <w:rPr>
          <w:rStyle w:val="None"/>
          <w:rFonts w:ascii="Verdana" w:hAnsi="Verdana" w:hint="default"/>
          <w:b w:val="0"/>
          <w:bCs w:val="0"/>
          <w:sz w:val="22"/>
          <w:szCs w:val="22"/>
          <w:rtl w:val="0"/>
        </w:rPr>
        <w:t>–</w:t>
      </w:r>
      <w:r>
        <w:rPr>
          <w:rStyle w:val="None"/>
          <w:rFonts w:ascii="Verdana" w:hAnsi="Verdana"/>
          <w:b w:val="0"/>
          <w:bCs w:val="0"/>
          <w:sz w:val="22"/>
          <w:szCs w:val="22"/>
          <w:rtl w:val="0"/>
        </w:rPr>
        <w:t>270.</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Vondoom, A. (2026). Decoding the Sumerian Kings List: Scribal Transmission, Sexagesimal Inflation, and the Recovery of Historical Reign Lengths. Figshare. https://doi.org/10.6084/m9.figshare.32415420</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Walton, J. (1981). The antediluvian section of the Sumerian King List and Genesis 5. Biblical Archaeologist, 44, 207</w:t>
      </w:r>
      <w:r>
        <w:rPr>
          <w:rStyle w:val="None"/>
          <w:rFonts w:ascii="Verdana" w:hAnsi="Verdana" w:hint="default"/>
          <w:b w:val="0"/>
          <w:bCs w:val="0"/>
          <w:sz w:val="22"/>
          <w:szCs w:val="22"/>
          <w:rtl w:val="0"/>
        </w:rPr>
        <w:t>–</w:t>
      </w:r>
      <w:r>
        <w:rPr>
          <w:rStyle w:val="None"/>
          <w:rFonts w:ascii="Verdana" w:hAnsi="Verdana"/>
          <w:b w:val="0"/>
          <w:bCs w:val="0"/>
          <w:sz w:val="22"/>
          <w:szCs w:val="22"/>
          <w:rtl w:val="0"/>
        </w:rPr>
        <w:t>208.</w:t>
      </w:r>
    </w:p>
    <w:p>
      <w:pPr>
        <w:pStyle w:val="Heading"/>
        <w:rPr>
          <w:rStyle w:val="None"/>
          <w:rFonts w:ascii="Verdana" w:cs="Verdana" w:hAnsi="Verdana" w:eastAsia="Verdana"/>
          <w:b w:val="0"/>
          <w:bCs w:val="0"/>
        </w:rPr>
      </w:pPr>
      <w:r>
        <w:rPr>
          <w:rStyle w:val="None"/>
          <w:rFonts w:ascii="Verdana" w:hAnsi="Verdana"/>
          <w:b w:val="0"/>
          <w:bCs w:val="0"/>
          <w:sz w:val="22"/>
          <w:szCs w:val="22"/>
          <w:rtl w:val="0"/>
          <w:lang w:val="en-US"/>
        </w:rPr>
        <w:t>Wood, B.G. (2003). The biblical date for the Exodus is 1446 BC: A response to James Hoffmeier. Journal of the Evangelical Theological Society, 50(2), 249</w:t>
      </w:r>
      <w:r>
        <w:rPr>
          <w:rStyle w:val="None"/>
          <w:rFonts w:ascii="Verdana" w:hAnsi="Verdana" w:hint="default"/>
          <w:b w:val="0"/>
          <w:bCs w:val="0"/>
          <w:sz w:val="22"/>
          <w:szCs w:val="22"/>
          <w:rtl w:val="0"/>
        </w:rPr>
        <w:t>–</w:t>
      </w:r>
      <w:r>
        <w:rPr>
          <w:rStyle w:val="None"/>
          <w:rFonts w:ascii="Verdana" w:hAnsi="Verdana"/>
          <w:b w:val="0"/>
          <w:bCs w:val="0"/>
          <w:sz w:val="22"/>
          <w:szCs w:val="22"/>
          <w:rtl w:val="0"/>
          <w:lang w:val="en-US"/>
        </w:rPr>
        <w:t>258. [Lunar month interpretation of Genesis ages, cited for context].</w:t>
      </w:r>
    </w:p>
    <w:p>
      <w:pPr>
        <w:pStyle w:val="Heading"/>
        <w:rPr>
          <w:rStyle w:val="None"/>
          <w:rFonts w:ascii="Verdana" w:cs="Verdana" w:hAnsi="Verdana" w:eastAsia="Verdana"/>
          <w:b w:val="0"/>
          <w:bCs w:val="0"/>
        </w:rPr>
      </w:pPr>
      <w:r>
        <w:rPr>
          <w:rStyle w:val="None"/>
          <w:rFonts w:ascii="Verdana" w:hAnsi="Verdana"/>
          <w:b w:val="0"/>
          <w:bCs w:val="0"/>
          <w:sz w:val="20"/>
          <w:szCs w:val="20"/>
          <w:rtl w:val="0"/>
          <w:lang w:val="en-US"/>
        </w:rPr>
        <w:t>AI Disclosure: This paper was produced with the assistance of Claude Sonnet 4.6 (Anthropic). All analytical claims, theoretical framing, scholarly judgements, and the Three-Level Compression Model are the author's own. The multi-calendar calculations were verified computationally and checked manually. Post-flood First Dynasty of Kish figures (Section 5.1) have been verified against the ETCSL translation (Jacobsen, 1939)</w:t>
      </w:r>
    </w:p>
    <w:p>
      <w:pPr>
        <w:pStyle w:val="Heading"/>
      </w:pPr>
      <w:r>
        <w:rPr>
          <w:rStyle w:val="None"/>
          <w:rFonts w:ascii="Verdana" w:hAnsi="Verdana" w:hint="default"/>
          <w:b w:val="0"/>
          <w:bCs w:val="0"/>
          <w:i w:val="1"/>
          <w:iCs w:val="1"/>
          <w:sz w:val="20"/>
          <w:szCs w:val="20"/>
          <w:rtl w:val="0"/>
          <w:lang w:val="de-DE"/>
        </w:rPr>
        <w:t xml:space="preserve">© </w:t>
      </w:r>
      <w:r>
        <w:rPr>
          <w:rStyle w:val="None"/>
          <w:rFonts w:ascii="Verdana" w:hAnsi="Verdana"/>
          <w:b w:val="0"/>
          <w:bCs w:val="0"/>
          <w:i w:val="1"/>
          <w:iCs w:val="1"/>
          <w:sz w:val="20"/>
          <w:szCs w:val="20"/>
          <w:rtl w:val="0"/>
          <w:lang w:val="en-US"/>
        </w:rPr>
        <w:t>2026 Anthony Vondoom. Published under Creative Commons CC BY 4.0.</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character" w:styleId="None">
    <w:name w:val="None"/>
  </w:style>
  <w:style w:type="character" w:styleId="Hyperlink.1">
    <w:name w:val="Hyperlink.1"/>
    <w:basedOn w:val="None"/>
    <w:next w:val="Hyperlink.1"/>
    <w:rPr>
      <w:rFonts w:ascii="Verdana" w:cs="Verdana" w:hAnsi="Verdana" w:eastAsia="Verdana"/>
      <w:i w:val="1"/>
      <w:iCs w:val="1"/>
      <w:outline w:val="0"/>
      <w:color w:val="0563c1"/>
      <w:u w:val="none" w:color="0563c1"/>
      <w:lang w:val="en-US"/>
      <w14:textFill>
        <w14:solidFill>
          <w14:srgbClr w14:val="0563C1"/>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300" w:after="140" w:line="240" w:lineRule="auto"/>
      <w:ind w:left="0" w:right="0" w:firstLine="0"/>
      <w:jc w:val="left"/>
      <w:outlineLvl w:val="0"/>
    </w:pPr>
    <w:rPr>
      <w:rFonts w:ascii="Arial" w:cs="Arial" w:hAnsi="Arial" w:eastAsia="Arial"/>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220" w:after="10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3"/>
      <w:szCs w:val="23"/>
      <w:u w:val="none" w:color="000000"/>
      <w:shd w:val="nil" w:color="auto" w:fill="auto"/>
      <w:vertAlign w:val="baseline"/>
      <w:lang w:val="it-IT"/>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