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62"/>
          <w:szCs w:val="62"/>
        </w:rPr>
      </w:pPr>
      <w:r>
        <w:rPr>
          <w:rFonts w:ascii="Arial" w:hAnsi="Arial"/>
          <w:outline w:val="0"/>
          <w:color w:val="2e75b6"/>
          <w:sz w:val="62"/>
          <w:szCs w:val="62"/>
          <w:u w:color="2e75b6"/>
          <w:rtl w:val="0"/>
          <w:lang w:val="en-US"/>
          <w14:textFill>
            <w14:solidFill>
              <w14:srgbClr w14:val="2E75B6"/>
            </w14:solidFill>
          </w14:textFill>
        </w:rPr>
        <w:t>Phenotype Is Geography: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2e75b6"/>
          <w:sz w:val="36"/>
          <w:szCs w:val="36"/>
          <w:u w:color="2e75b6"/>
          <w:rtl w:val="0"/>
          <w:lang w:val="en-US"/>
          <w14:textFill>
            <w14:solidFill>
              <w14:srgbClr w14:val="2E75B6"/>
            </w14:solidFill>
          </w14:textFill>
        </w:rPr>
        <w:t>A DSSM Analysis of Genetic Gradients and Civilizational Divergence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r>
        <w:rPr>
          <w:rFonts w:ascii="Arial" w:hAnsi="Arial"/>
          <w:outline w:val="0"/>
          <w:color w:val="2e75b6"/>
          <w:sz w:val="36"/>
          <w:szCs w:val="36"/>
          <w:u w:color="2e75b6"/>
          <w:rtl w:val="0"/>
          <w:lang w:val="en-US"/>
          <w14:textFill>
            <w14:solidFill>
              <w14:srgbClr w14:val="2E75B6"/>
            </w14:solidFill>
          </w14:textFill>
        </w:rPr>
        <w:t>from Egypt to Kush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outline w:val="0"/>
          <w:color w:val="2e75b6"/>
          <w:sz w:val="36"/>
          <w:szCs w:val="36"/>
          <w:u w:color="2e75b6"/>
          <w14:textFill>
            <w14:solidFill>
              <w14:srgbClr w14:val="2E75B6"/>
            </w14:solidFill>
          </w14:textFill>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8"/>
          <w:szCs w:val="28"/>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i w:val="1"/>
          <w:iCs w:val="1"/>
          <w:sz w:val="24"/>
          <w:szCs w:val="24"/>
          <w:rtl w:val="0"/>
        </w:rPr>
        <w:t>Independent Researcher |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szCs w:val="24"/>
          <w:rtl w:val="0"/>
          <w:lang w:val="it-IT"/>
        </w:rPr>
        <w:t>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szCs w:val="24"/>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szCs w:val="24"/>
          <w:rtl w:val="0"/>
          <w:lang w:val="nl-NL"/>
        </w:rPr>
        <w:t>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Heading"/>
        <w:jc w:val="both"/>
        <w:rPr>
          <w:b w:val="0"/>
          <w:bCs w:val="0"/>
        </w:rPr>
      </w:pPr>
      <w:r>
        <w:rPr>
          <w:b w:val="0"/>
          <w:bCs w:val="0"/>
          <w:rtl w:val="0"/>
          <w:lang w:val="de-DE"/>
        </w:rPr>
        <w:t>Abstract</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Contemporary debates regarding the ethnic and racial identity of ancient Egyptian civilization frequently conflate two analytically distinct variables: phenotypic appearance and symbolic-civilizational identity. This paper argues, using the Deep Symbolic Systems Model (DSSM) as its analytical framework, that phenotypic similarity is a function of geographic proximity and ultraviolet radiation gradients, while civilizational identity is a function of symbolic load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operationalized through the two-dimensional Field Companion Protocol (FCP) scoring instrument. The Nile Valley presents a continuous biological cline from the Mediterranean Delta southward through Upper Egypt, Nubia, and the Horn of Africa. Genomic data from ancient Egyptian mummies (Schuenemann et al., 2017; Nature, 2025) establish that Old Kingdom Egyptians were genetically rooted in North African Neolithic and West Asian ancestry, with negligible sub-Saharan African component. Upper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geographic and symbolic origin point of the pharaonic tradition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carried higher Nilotic ancestry relative to Lower Egyptians, producing darker phenotypes consistent with their higher UV latitude. This gradient confirms, rather than destabilizes, the DSSM argument: the builders of the monuments were Upper Egyptian, their phenotype reflects their latitude, and their symbolic load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14:textFill>
            <w14:solidFill>
              <w14:srgbClr w14:val="000000"/>
            </w14:solidFill>
          </w14:textFill>
        </w:rPr>
        <w:t xml:space="preserve">12/12 FCP at Old Kingdom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is categorically distinct from the Kushite derivative case (6/12 FCP). The Nubian pyramid tradition, built 600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1,800 years after the Egyptian originals, confirms the directionality of symbolic transfer: Egypt to Kush, not the reverse. A comparative test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Greek-Italian phenotypic overlap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formalizes the negative case: populations may share facial morphology while generating entirely independent civilizational trajectories, invalidating any inference from phenotype to civilizational identity. The paper concludes that phenotype is geography; civilization is symbolic infrastructure; and the two are not the same variable.</w:t>
      </w:r>
    </w:p>
    <w:p>
      <w:pPr>
        <w:pStyle w:val="Heading"/>
        <w:jc w:val="both"/>
        <w:rPr>
          <w:b w:val="0"/>
          <w:bCs w:val="0"/>
          <w:i w:val="1"/>
          <w:iCs w:val="1"/>
        </w:rPr>
      </w:pPr>
      <w:r>
        <w:rPr>
          <w:b w:val="0"/>
          <w:bCs w:val="0"/>
          <w:outline w:val="0"/>
          <w:color w:val="000000"/>
          <w:sz w:val="24"/>
          <w:szCs w:val="24"/>
          <w:u w:color="000000"/>
          <w:rtl w:val="0"/>
          <w:lang w:val="en-US"/>
          <w14:textFill>
            <w14:solidFill>
              <w14:srgbClr w14:val="000000"/>
            </w14:solidFill>
          </w14:textFill>
        </w:rPr>
        <w:t xml:space="preserve">Keywords: </w:t>
      </w:r>
      <w:r>
        <w:rPr>
          <w:b w:val="0"/>
          <w:bCs w:val="0"/>
          <w:i w:val="1"/>
          <w:iCs w:val="1"/>
          <w:outline w:val="0"/>
          <w:color w:val="000000"/>
          <w:sz w:val="24"/>
          <w:szCs w:val="24"/>
          <w:u w:color="000000"/>
          <w:rtl w:val="0"/>
          <w:lang w:val="en-US"/>
          <w14:textFill>
            <w14:solidFill>
              <w14:srgbClr w14:val="000000"/>
            </w14:solidFill>
          </w14:textFill>
        </w:rPr>
        <w:t>Cognitive Archaeology, DSSM, Nile Valley, Ancient Egypt, Kush, Phenotype, Genetic Gradient, Symbolic Load, FCP</w:t>
      </w:r>
    </w:p>
    <w:p>
      <w:pPr>
        <w:pStyle w:val="Heading"/>
        <w:jc w:val="both"/>
        <w:rPr>
          <w:b w:val="0"/>
          <w:bCs w:val="0"/>
        </w:rPr>
      </w:pPr>
    </w:p>
    <w:p>
      <w:pPr>
        <w:pStyle w:val="Heading"/>
        <w:jc w:val="both"/>
        <w:rPr>
          <w:b w:val="0"/>
          <w:bCs w:val="0"/>
        </w:rPr>
      </w:pPr>
    </w:p>
    <w:p>
      <w:pPr>
        <w:pStyle w:val="Heading"/>
        <w:jc w:val="both"/>
        <w:rPr>
          <w:b w:val="0"/>
          <w:bCs w:val="0"/>
        </w:rPr>
      </w:pPr>
    </w:p>
    <w:p>
      <w:pPr>
        <w:pStyle w:val="Heading"/>
        <w:jc w:val="both"/>
        <w:rPr>
          <w:b w:val="0"/>
          <w:bCs w:val="0"/>
        </w:rPr>
      </w:pPr>
    </w:p>
    <w:p>
      <w:pPr>
        <w:pStyle w:val="Heading"/>
        <w:jc w:val="both"/>
        <w:rPr>
          <w:b w:val="0"/>
          <w:bCs w:val="0"/>
        </w:rPr>
      </w:pPr>
    </w:p>
    <w:p>
      <w:pPr>
        <w:pStyle w:val="Heading"/>
        <w:jc w:val="both"/>
        <w:rPr>
          <w:b w:val="0"/>
          <w:bCs w:val="0"/>
        </w:rPr>
      </w:pPr>
    </w:p>
    <w:p>
      <w:pPr>
        <w:pStyle w:val="Heading"/>
        <w:jc w:val="both"/>
        <w:rPr>
          <w:b w:val="0"/>
          <w:bCs w:val="0"/>
        </w:rPr>
      </w:pPr>
    </w:p>
    <w:p>
      <w:pPr>
        <w:pStyle w:val="Heading"/>
        <w:jc w:val="both"/>
        <w:rPr>
          <w:b w:val="0"/>
          <w:bCs w:val="0"/>
        </w:rPr>
      </w:pPr>
      <w:r>
        <w:rPr>
          <w:b w:val="0"/>
          <w:bCs w:val="0"/>
          <w:rtl w:val="0"/>
          <w:lang w:val="fr-FR"/>
        </w:rPr>
        <w:t>1. Introduction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Few questions in the history of archaeology have generated more ideological heat and less analytical precision than the question of ancient Egyptian racial and ethnic identity. The contemporary debate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accelerated by social media, documentary film, and identity politics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typically reduces a complex civilizational phenomenon to a single variable: what did the pharaohs look like? This reduction is analytically indefensible, and this paper argues so on two independent grounds.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first ground is genetic. Ancient DNA studies now provide direct empirical evidence of the ancestry composition of ancient Egyptians across multiple periods, including a complete whole-genome sequence from the Old Kingdom period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era of pyramid construction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published in 2025. These data are unambiguous in placing the Egyptian civilizational core within a North African Neolithic and West Asian ancestral framework, with sub-Saharan African ancestry constituting a minor and largely post-Roman addition.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second ground is symbolic. The Deep Symbolic Systems Model (DSSM), introduced in Vondoom (2026), provides a four-stage developmental framework for analyzing civilizational emergence through the recursive stabilization of symbolic systems. Applied to the Nile Valley, DSSM generates a quantitative contrast between Egypt (12/12 FCP at Old Kingdom) and Kush/Nubia (6/12 FCP) that cannot be bridged by phenotypic similarity. The Nubian pyramid tradition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built centuries after the Egyptian originals and at smaller scale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is not evidence of parallel civilizational identity; it is evidence of derivative symbolic adoption, confirming rather than challenging the Egyptian priority.</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This paper introduces a third analytical tool: the comparative negative case. The phenotypic overlap between Greeks and Italians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captured in the Mediterranean folk saying stessa faccia, stessa razza ('same face, same race')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provides a structural parallel. Greeks and Italians do share significant facial morphology as neighboring Mediterranean populations shaped by overlapping UV gradients and historical contact. Yet they generated entirely independent civilizational trajectories, independent empires, and independent symbolic traditions. Nobody infers, from their phenotypic similarity, that Rome built Athens or that Greek civilization was Italian. The Nile Valley presents the same logical structure: phenotypic overlap between Egypt and Nubia is real, explicable by geography, and tells us nothing about symbolic equivalence.</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paper proceeds as follows. Section 2 reviews the genetic gradient data establishing the north-south cline within Egypt and its extension into Nubia. Section 3 explains phenotypic variation as a UV/latitude mechanism, not a civilizational one. Section 4 applies DSSM FCP scoring to contrast Egypt and Kush. Section 5 addresses the Sphinx as an Upper Egyptian phenotypic marker. Section 6 formalizes the Greek-Italian comparative negative case. Section 7 synthesizes the argument.</w:t>
      </w:r>
    </w:p>
    <w:p>
      <w:pPr>
        <w:pStyle w:val="Heading"/>
        <w:jc w:val="both"/>
        <w:rPr>
          <w:b w:val="0"/>
          <w:bCs w:val="0"/>
        </w:rPr>
      </w:pPr>
      <w:r>
        <w:rPr>
          <w:b w:val="0"/>
          <w:bCs w:val="0"/>
          <w:rtl w:val="0"/>
          <w:lang w:val="en-US"/>
        </w:rPr>
        <w:t>2. The Nile Valley Genetic Gradient: Empirical Data</w:t>
      </w:r>
    </w:p>
    <w:p>
      <w:pPr>
        <w:pStyle w:val="Heading 2"/>
        <w:jc w:val="both"/>
        <w:rPr>
          <w:b w:val="0"/>
          <w:bCs w:val="0"/>
        </w:rPr>
      </w:pPr>
      <w:r>
        <w:rPr>
          <w:b w:val="0"/>
          <w:bCs w:val="0"/>
          <w:rtl w:val="0"/>
          <w:lang w:val="nl-NL"/>
        </w:rPr>
        <w:t xml:space="preserve">2.1 Ancient Egyptian DNA </w:t>
      </w:r>
      <w:r>
        <w:rPr>
          <w:b w:val="0"/>
          <w:bCs w:val="0"/>
          <w:rtl w:val="0"/>
          <w:lang w:val="en-US"/>
        </w:rPr>
        <w:t xml:space="preserve">— </w:t>
      </w:r>
      <w:r>
        <w:rPr>
          <w:b w:val="0"/>
          <w:bCs w:val="0"/>
          <w:rtl w:val="0"/>
          <w:lang w:val="de-DE"/>
        </w:rPr>
        <w:t>The Benchmark Studies</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most comprehensive ancient DNA study of Egyptian mummies to date remains Schuenemann et al. (2017), published in Nature Communications. Analyzing 90 mitochondrial genomes and genome-wide data from three individuals at Abusir el-Meleq spanning approximately 1,400 BCE to 400 CE, the study found that ancient Egyptians shared more ancestry with Near Eastern populations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particularly ancient Levantine and Anatolian groups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than with sub-Saharan African populations. Sub-Saharan African ancestry in the ancient sample ranged from 6 to 15%, while modern Egyptians carry 14 to 21%, suggesting an 8% increase introduced predominantly after the Roman period through Nile trade expansion and the trans-Saharan slave trade, which moved an estimated six to seven million sub-Saharan individuals into North Africa over approximately 1,250 years (Schuenemann et al., 2017).</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A critical advance was published in Nature in 2025: the first complete whole-genome sequence from an ancient Egyptian male radiocarbon-dated to 2,855</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fr-FR"/>
          <w14:textFill>
            <w14:solidFill>
              <w14:srgbClr w14:val="000000"/>
            </w14:solidFill>
          </w14:textFill>
        </w:rPr>
        <w:t xml:space="preserve">2,570 BCE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bridging the Early Dynastic and Old Kingdom periods, and thus directly contemporaneous with the pyramid-building pharaohs. This individual's genome is best described as approximately 80% North African Neolithic ancestry and 20% eastern Fertile Crescent (Mesopotamian region) ancestry, with no detectable sub-Saharan African component (Nature, 2025). This is the direct genomic profile of the population that built the pyramids.</w:t>
      </w:r>
    </w:p>
    <w:p>
      <w:pPr>
        <w:pStyle w:val="Heading 2"/>
        <w:jc w:val="both"/>
        <w:rPr>
          <w:b w:val="0"/>
          <w:bCs w:val="0"/>
        </w:rPr>
      </w:pPr>
      <w:r>
        <w:rPr>
          <w:b w:val="0"/>
          <w:bCs w:val="0"/>
          <w:rtl w:val="0"/>
          <w:lang w:val="en-US"/>
        </w:rPr>
        <w:t>2.2 The North-South Gradient Within Egypt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2017 study sampled Middle Egypt (Abusir el-Meleq), which introduces a geographic caveat with important implications. DNA studies of mummies reveal that Lower (northern) Egyptians clustered most closely with Levantine and Mediterranean populations, while Upper (southern) Egyptians showed closer genetic affinity to Northeast Africans including Nubians and Sudanese (Egypt Tours Portal, 2025). This gradient is not a complication for the present argument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it is a confirmation of it.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critical point is that the pharaonic tradition originated in Upper Egypt. The 1st Dynasty was Thinite; the 3rd Dynasty (Djoser, Imhotep) was Upper Egyptian; the 4th Dynasty pharaohs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de-DE"/>
          <w14:textFill>
            <w14:solidFill>
              <w14:srgbClr w14:val="000000"/>
            </w14:solidFill>
          </w14:textFill>
        </w:rPr>
        <w:t xml:space="preserve">Sneferu, Khufu, Khafre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were direct descendants of that Upper Egyptian royal line. The power centers of Predynastic Egypt were Hierakonpolis, Naqada, and Thinis/Abydos, all in Upper Egypt (Vondoom, 2026). Darker phenotypes among Upper Egyptians relative to Lower Egyptians are therefore exactly what DSSM predicts: the symbolic engine of Egyptian civilization was geographically located at higher UV latitudes, producing populations with correspondingly deeper skin pigmentation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not through sub-Saharan ancestry, but through the UV mechanism described in Section 3.</w:t>
      </w:r>
    </w:p>
    <w:p>
      <w:pPr>
        <w:pStyle w:val="Heading 2"/>
        <w:jc w:val="both"/>
        <w:rPr>
          <w:b w:val="0"/>
          <w:bCs w:val="0"/>
        </w:rPr>
      </w:pPr>
    </w:p>
    <w:p>
      <w:pPr>
        <w:pStyle w:val="Heading 2"/>
        <w:jc w:val="both"/>
        <w:rPr>
          <w:b w:val="0"/>
          <w:bCs w:val="0"/>
        </w:rPr>
      </w:pPr>
      <w:r>
        <w:rPr>
          <w:b w:val="0"/>
          <w:bCs w:val="0"/>
          <w:i w:val="1"/>
          <w:iCs w:val="1"/>
          <w:outline w:val="0"/>
          <w:color w:val="000000"/>
          <w:sz w:val="22"/>
          <w:szCs w:val="22"/>
          <w:u w:color="000000"/>
          <w:rtl w:val="0"/>
          <w:lang w:val="en-US"/>
          <w14:textFill>
            <w14:solidFill>
              <w14:srgbClr w14:val="000000"/>
            </w14:solidFill>
          </w14:textFill>
        </w:rPr>
        <w:t>Table 1. Comparative Genetic Ancestry Profiles Across the Nile Valley and Sub-Saharan Africa</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1500"/>
        <w:gridCol w:w="1500"/>
        <w:gridCol w:w="1300"/>
        <w:gridCol w:w="1100"/>
        <w:gridCol w:w="1560"/>
      </w:tblGrid>
      <w:tr>
        <w:tblPrEx>
          <w:shd w:val="clear" w:color="auto" w:fill="4f81bd"/>
        </w:tblPrEx>
        <w:trPr>
          <w:trHeight w:val="808" w:hRule="atLeast"/>
          <w:tblHeader/>
        </w:trPr>
        <w:tc>
          <w:tcPr>
            <w:tcW w:type="dxa" w:w="24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fr-FR"/>
                <w14:textFill>
                  <w14:solidFill>
                    <w14:srgbClr w14:val="FFFFFF"/>
                  </w14:solidFill>
                </w14:textFill>
              </w:rPr>
              <w:t>Population</w:t>
            </w:r>
          </w:p>
        </w:tc>
        <w:tc>
          <w:tcPr>
            <w:tcW w:type="dxa" w:w="15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N.African/Neolithic %</w:t>
            </w:r>
          </w:p>
        </w:tc>
        <w:tc>
          <w:tcPr>
            <w:tcW w:type="dxa" w:w="15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Near Eastern/W.Asian %</w:t>
            </w:r>
          </w:p>
        </w:tc>
        <w:tc>
          <w:tcPr>
            <w:tcW w:type="dxa" w:w="13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b w:val="1"/>
                <w:bCs w:val="1"/>
                <w:outline w:val="0"/>
                <w:color w:val="ffffff"/>
                <w:sz w:val="22"/>
                <w:szCs w:val="22"/>
                <w:u w:color="ffffff"/>
                <w:shd w:val="nil" w:color="auto" w:fill="auto"/>
                <w:rtl w:val="0"/>
                <w14:textFill>
                  <w14:solidFill>
                    <w14:srgbClr w14:val="FFFFFF"/>
                  </w14:solidFill>
                </w14:textFill>
              </w:rPr>
              <w:t>Sub-Saharan %</w:t>
            </w:r>
          </w:p>
        </w:tc>
        <w:tc>
          <w:tcPr>
            <w:tcW w:type="dxa" w:w="11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European %</w:t>
            </w:r>
          </w:p>
        </w:tc>
        <w:tc>
          <w:tcPr>
            <w:tcW w:type="dxa" w:w="156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Source</w:t>
            </w:r>
          </w:p>
        </w:tc>
      </w:tr>
      <w:tr>
        <w:tblPrEx>
          <w:shd w:val="clear" w:color="auto" w:fill="ced7e7"/>
        </w:tblPrEx>
        <w:trPr>
          <w:trHeight w:val="741"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fr-FR"/>
              </w:rPr>
              <w:t xml:space="preserve">Ancient Egypt </w:t>
            </w:r>
            <w:r>
              <w:rPr>
                <w:rFonts w:ascii="Arial" w:hAnsi="Arial" w:hint="default"/>
                <w:sz w:val="20"/>
                <w:szCs w:val="20"/>
                <w:u w:color="000000"/>
                <w:shd w:val="nil" w:color="auto" w:fill="auto"/>
                <w:rtl w:val="0"/>
                <w:lang w:val="en-US"/>
              </w:rPr>
              <w:t xml:space="preserve">— </w:t>
            </w:r>
            <w:r>
              <w:rPr>
                <w:rFonts w:ascii="Arial" w:hAnsi="Arial"/>
                <w:sz w:val="20"/>
                <w:szCs w:val="20"/>
                <w:u w:color="000000"/>
                <w:shd w:val="nil" w:color="auto" w:fill="auto"/>
                <w:rtl w:val="0"/>
                <w:lang w:val="en-US"/>
              </w:rPr>
              <w:t>Old Kingdom (~2855</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fr-FR"/>
              </w:rPr>
              <w:t>2570 BCE)</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~80%</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~20%</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fr-FR"/>
              </w:rPr>
              <w:t>Nature 2025</w:t>
            </w:r>
          </w:p>
        </w:tc>
      </w:tr>
      <w:tr>
        <w:tblPrEx>
          <w:shd w:val="clear" w:color="auto" w:fill="ced7e7"/>
        </w:tblPrEx>
        <w:trPr>
          <w:trHeight w:val="741"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fr-FR"/>
              </w:rPr>
              <w:t xml:space="preserve">Ancient Egypt </w:t>
            </w:r>
            <w:r>
              <w:rPr>
                <w:rFonts w:ascii="Arial" w:hAnsi="Arial" w:hint="default"/>
                <w:sz w:val="20"/>
                <w:szCs w:val="20"/>
                <w:u w:color="000000"/>
                <w:shd w:val="nil" w:color="auto" w:fill="auto"/>
                <w:rtl w:val="0"/>
                <w:lang w:val="en-US"/>
              </w:rPr>
              <w:t xml:space="preserve">— </w:t>
            </w:r>
            <w:r>
              <w:rPr>
                <w:rFonts w:ascii="Arial" w:hAnsi="Arial"/>
                <w:sz w:val="20"/>
                <w:szCs w:val="20"/>
                <w:u w:color="000000"/>
                <w:shd w:val="nil" w:color="auto" w:fill="auto"/>
                <w:rtl w:val="0"/>
                <w:lang w:val="en-US"/>
              </w:rPr>
              <w:t>New Kingdom to Roman (1400 BCE</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it-IT"/>
              </w:rPr>
              <w:t>400 CE)</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fr-FR"/>
              </w:rPr>
              <w:t>dominant</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fr-FR"/>
              </w:rPr>
              <w:t>dominant</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6</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15%</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trace</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rPr>
              <w:t>Schuenemann et al. 2017</w:t>
            </w:r>
          </w:p>
        </w:tc>
      </w:tr>
      <w:tr>
        <w:tblPrEx>
          <w:shd w:val="clear" w:color="auto" w:fill="ced7e7"/>
        </w:tblPrEx>
        <w:trPr>
          <w:trHeight w:val="216"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nl-NL"/>
              </w:rPr>
              <w:t>Modern Egyptians</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~60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65%</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~17</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20%</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14</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21%</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some</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rPr>
              <w:t>Gad et al. 2020</w:t>
            </w:r>
          </w:p>
        </w:tc>
      </w:tr>
      <w:tr>
        <w:tblPrEx>
          <w:shd w:val="clear" w:color="auto" w:fill="ced7e7"/>
        </w:tblPrEx>
        <w:trPr>
          <w:trHeight w:val="741"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rPr>
              <w:t>Nubia / Sudan</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~70% (N.African/ME combined)</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included</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~30% Nilotic</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fr-FR"/>
              </w:rPr>
              <w:t>Sci. Reports 2015</w:t>
            </w:r>
          </w:p>
        </w:tc>
      </w:tr>
      <w:tr>
        <w:tblPrEx>
          <w:shd w:val="clear" w:color="auto" w:fill="ced7e7"/>
        </w:tblPrEx>
        <w:trPr>
          <w:trHeight w:val="479"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it-IT"/>
              </w:rPr>
              <w:t>Ethiopia</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~40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50%</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~20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30%</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~30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40%</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rPr>
              <w:t>AGVP; Pagani et al.</w:t>
            </w:r>
          </w:p>
        </w:tc>
      </w:tr>
      <w:tr>
        <w:tblPrEx>
          <w:shd w:val="clear" w:color="auto" w:fill="ced7e7"/>
        </w:tblPrEx>
        <w:trPr>
          <w:trHeight w:val="479"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rPr>
              <w:t>Kenya (Bantu)</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~5%</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~11%</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~80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85%</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Science Advances 2020</w:t>
            </w:r>
          </w:p>
        </w:tc>
      </w:tr>
      <w:tr>
        <w:tblPrEx>
          <w:shd w:val="clear" w:color="auto" w:fill="ced7e7"/>
        </w:tblPrEx>
        <w:trPr>
          <w:trHeight w:val="741"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nl-NL"/>
              </w:rPr>
              <w:t>Nigeria (Yoruba)</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~99%+</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it-IT"/>
              </w:rPr>
              <w:t>1000 Genomes; AGVP</w:t>
            </w:r>
          </w:p>
        </w:tc>
      </w:tr>
      <w:tr>
        <w:tblPrEx>
          <w:shd w:val="clear" w:color="auto" w:fill="ced7e7"/>
        </w:tblPrEx>
        <w:trPr>
          <w:trHeight w:val="479" w:hRule="atLeast"/>
        </w:trPr>
        <w:tc>
          <w:tcPr>
            <w:tcW w:type="dxa" w:w="24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South Africa (Bantu)</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5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c>
          <w:tcPr>
            <w:tcW w:type="dxa" w:w="13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~90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95%</w:t>
            </w:r>
          </w:p>
        </w:tc>
        <w:tc>
          <w:tcPr>
            <w:tcW w:type="dxa" w:w="1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~5%</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Science Advances 2023</w:t>
            </w:r>
          </w:p>
        </w:tc>
      </w:tr>
    </w:tbl>
    <w:p>
      <w:pPr>
        <w:pStyle w:val="Heading 2"/>
        <w:widowControl w:val="0"/>
        <w:jc w:val="both"/>
        <w:rPr>
          <w:b w:val="0"/>
          <w:bCs w:val="0"/>
        </w:rPr>
      </w:pPr>
    </w:p>
    <w:p>
      <w:pPr>
        <w:pStyle w:val="Heading 2"/>
        <w:widowControl w:val="0"/>
        <w:jc w:val="both"/>
        <w:rPr>
          <w:b w:val="0"/>
          <w:bCs w:val="0"/>
        </w:rPr>
      </w:pPr>
      <w:r>
        <w:rPr>
          <w:b w:val="0"/>
          <w:bCs w:val="0"/>
          <w:i w:val="1"/>
          <w:iCs w:val="1"/>
          <w:outline w:val="0"/>
          <w:color w:val="000000"/>
          <w:sz w:val="20"/>
          <w:szCs w:val="20"/>
          <w:u w:color="000000"/>
          <w:rtl w:val="0"/>
          <w:lang w:val="en-US"/>
          <w14:textFill>
            <w14:solidFill>
              <w14:srgbClr w14:val="000000"/>
            </w14:solidFill>
          </w14:textFill>
        </w:rPr>
        <w:t>Note: Percentages are approximate ranges derived from published ADMIXTURE analyses. Old Kingdom figure represents the single available whole-genome from this period. Modern population figures represent population averages with individual variation.</w:t>
      </w:r>
    </w:p>
    <w:p>
      <w:pPr>
        <w:pStyle w:val="Heading 2"/>
        <w:jc w:val="both"/>
        <w:rPr>
          <w:b w:val="0"/>
          <w:bCs w:val="0"/>
        </w:rPr>
      </w:pPr>
      <w:r>
        <w:rPr>
          <w:b w:val="0"/>
          <w:bCs w:val="0"/>
          <w:rtl w:val="0"/>
          <w:lang w:val="en-US"/>
        </w:rPr>
        <w:t>2.3 Nubian Genetic Profile as Intermediate Position</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Scientific Reports (2015) analysis of East African population genetics found that the Northeast African cluster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including Beja, Ethiopians, Arabs, and Nubians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shows approximately 70% North African/Middle Eastern component as its dominant ancestry, with the remaining proportion composed of Nilotic and sub-Saharan components. A Nature Communications (2021) study of Christian-period Nubia at Kulubnarti confirmed that Nubians spread along a genetic cline between Nilotic and West Eurasian ancestry, with no systematic differentiation between population groups. This places Nubia/Sudan in an intermediate position on the same gradient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not in the sub-Saharan cluster that the Afrocentric argument assumes, and not identical to the Egyptian profile either.</w:t>
      </w:r>
    </w:p>
    <w:p>
      <w:pPr>
        <w:pStyle w:val="Heading"/>
        <w:jc w:val="both"/>
        <w:rPr>
          <w:b w:val="0"/>
          <w:bCs w:val="0"/>
        </w:rPr>
      </w:pPr>
    </w:p>
    <w:p>
      <w:pPr>
        <w:pStyle w:val="Heading"/>
        <w:jc w:val="both"/>
        <w:rPr>
          <w:b w:val="0"/>
          <w:bCs w:val="0"/>
        </w:rPr>
      </w:pPr>
    </w:p>
    <w:p>
      <w:pPr>
        <w:pStyle w:val="Heading"/>
        <w:jc w:val="both"/>
        <w:rPr>
          <w:b w:val="0"/>
          <w:bCs w:val="0"/>
        </w:rPr>
      </w:pPr>
      <w:r>
        <w:rPr>
          <w:b w:val="0"/>
          <w:bCs w:val="0"/>
          <w:rtl w:val="0"/>
          <w:lang w:val="en-US"/>
        </w:rPr>
        <w:t>3. Phenotype as Geography: The UV-Latitude Mechanism</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Skin pigmentation is a polygenic trait shaped primarily by ultraviolet radiation exposure. As populations dispersed from Africa into Eurasia, reduced UV environments selected for lighter pigmentation alleles, while high-UV equatorial and subtropical environments maintained or intensified melanin expression (Lasisi &amp; Shriver, 2018). The mechanism is well-established: UV exposure degrades folate essential for DNA synthesis, selecting for melanin-producing alleles in high-UV environments; conversely, low UV environments select for lighter skin to enable vitamin D photosynthesis.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craniometric study by Brace (1993) in the American Journal of Physical Anthropology provides direct empirical confirmation of this gradient in the Nile Valley: adjacent people in the Nile valley show similarities in trivial morphological traits in an unbroken series from the Delta in the north southward through Nubia and all the way to Somalia at the equator, while the gradient in skin color and body proportions reflects long-term adaptive response to selective forces appropriate to the latitude where they occur. This is not a racial boundary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it is a continuous geographic cline driven by UV physics.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implication for the present argument is direct: Upper Egyptians, residing at approximately 24</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26</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pt-PT"/>
          <w14:textFill>
            <w14:solidFill>
              <w14:srgbClr w14:val="000000"/>
            </w14:solidFill>
          </w14:textFill>
        </w:rPr>
        <w:t xml:space="preserve">N latitude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higher UV than the Delta at 30</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N, lower UV than equatorial sub-Saharan Africa at 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10</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de-DE"/>
          <w14:textFill>
            <w14:solidFill>
              <w14:srgbClr w14:val="000000"/>
            </w14:solidFill>
          </w14:textFill>
        </w:rPr>
        <w:t xml:space="preserve">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predictably exhibited skin pigmentation intermediate between Mediterranean Egyptians and sub-Saharan populations. This is UV physics, not ethnic identity. The same mechanism that makes southern Italians darker than northern Swedes does not make them ethnically African; the same mechanism that makes Upper Egyptians darker than Lower Egyptians does not make them sub-Saharan African.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Crucially, the Schuenemann et al. (2017) genomic analysis detected a derived allele at the SLC24A5 locus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associated with lighter skin pigmentation and at high frequency in Neolithic Anatolia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in ancient Egyptian samples, consistent with their predominant Near Eastern ancestral affinity. The skin pigmentation genetics of ancient Egyptians therefore reflects their ancestry, not a sub-Saharan origin.</w:t>
      </w:r>
    </w:p>
    <w:p>
      <w:pPr>
        <w:pStyle w:val="Heading 2"/>
        <w:jc w:val="both"/>
        <w:rPr>
          <w:b w:val="0"/>
          <w:bCs w:val="0"/>
        </w:rPr>
      </w:pPr>
      <w:r>
        <w:rPr>
          <w:b w:val="0"/>
          <w:bCs w:val="0"/>
          <w:rtl w:val="0"/>
          <w:lang w:val="en-US"/>
        </w:rPr>
        <w:t>3.2 The Green Sahara Correction: Climate Context at 8,000 BCE</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A critical variable is frequently absent from discussions of ancient Egyptian skin pigmentation: the climate Egypt actually had during the period in question. The African Humid Period (AHP) spanned approximately 14,600 to 5,000 years ago (Encyclopedia MDPI, 2022). During this time, northern Africa underwent a radical transformation: the Sahara was nearly completely covered by vegetation, with tropical plants occurring as far north as 23</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N, supported by substantially increased rainfall from a strengthened African monsoon (Claussen et al., 2017). Egypt at 8,000 BCE was not the hyper-arid desert it is today. It was a savannah-lake landscape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vegetated, humid, with significantly different cloud cover, albedo, and atmospheric scattering than the modern environment.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The pigmentation implications are direct. Melanin production is selected for under high direct UV radiation. Vegetation cover, cloud cover, and atmospheric moisture all attenuate UV reaching the skin surface. A population living in a well-vegetated, humid savannah at 25</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30</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N is experiencing fundamentally lower effective UV load than a population in modern hyper-arid Egypt under cloudless skies and zero vegetation albedo. The selection pressure for deep melanin production at 8,000 BCE Egypt was measurably lower than it is today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meaning the claim that ancient Egyptians must have been deeply dark-skinned due to their climate is not merely genetically wrong, it is environmentally anachronistic. It projects the UV conditions of the modern Saharan desert onto a population that lived in what was climatologically a subtropical savannah.</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The Green Sahara ended approximately 5,000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6,000 years ago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precisely the transition period during which the Badarian and Naqada cultures were emerging and generating the symbolic foundations of pharaonic civilization (Vondoom, 2026). The populations that produced the Old Kingdom pyramid builders had undergone some millennia of increasing UV exposure as the landscape dried, but they had done so from a baseline of lower melanin selection pressure, and carrying the SLC24A5 lighter-skin allele inherited from their Near Eastern Neolithic ancestry component. The result is exactly the intermediate reddish-brown phenotype the Egyptian artistic record preserves.</w:t>
      </w:r>
    </w:p>
    <w:p>
      <w:pPr>
        <w:pStyle w:val="Heading 2"/>
        <w:jc w:val="both"/>
        <w:rPr>
          <w:b w:val="0"/>
          <w:bCs w:val="0"/>
        </w:rPr>
      </w:pPr>
    </w:p>
    <w:p>
      <w:pPr>
        <w:pStyle w:val="Heading 2"/>
        <w:jc w:val="both"/>
        <w:rPr>
          <w:b w:val="0"/>
          <w:bCs w:val="0"/>
        </w:rPr>
      </w:pPr>
      <w:r>
        <w:rPr>
          <w:b w:val="0"/>
          <w:bCs w:val="0"/>
          <w:i w:val="1"/>
          <w:iCs w:val="1"/>
          <w:outline w:val="0"/>
          <w:color w:val="000000"/>
          <w:sz w:val="22"/>
          <w:szCs w:val="22"/>
          <w:u w:color="000000"/>
          <w:rtl w:val="0"/>
          <w:lang w:val="en-US"/>
          <w14:textFill>
            <w14:solidFill>
              <w14:srgbClr w14:val="000000"/>
            </w14:solidFill>
          </w14:textFill>
        </w:rPr>
        <w:t>Table 2. UV Latitude and Expected Melanin Expression: Nile Valley and Comparative Populations</w:t>
      </w:r>
    </w:p>
    <w:tbl>
      <w:tblPr>
        <w:tblW w:w="84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00"/>
        <w:gridCol w:w="1440"/>
        <w:gridCol w:w="1440"/>
        <w:gridCol w:w="1440"/>
        <w:gridCol w:w="2040"/>
      </w:tblGrid>
      <w:tr>
        <w:tblPrEx>
          <w:shd w:val="clear" w:color="auto" w:fill="4f81bd"/>
        </w:tblPrEx>
        <w:trPr>
          <w:trHeight w:val="808" w:hRule="atLeast"/>
          <w:tblHeader/>
        </w:trPr>
        <w:tc>
          <w:tcPr>
            <w:tcW w:type="dxa" w:w="21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fr-FR"/>
                <w14:textFill>
                  <w14:solidFill>
                    <w14:srgbClr w14:val="FFFFFF"/>
                  </w14:solidFill>
                </w14:textFill>
              </w:rPr>
              <w:t>Population</w:t>
            </w:r>
          </w:p>
        </w:tc>
        <w:tc>
          <w:tcPr>
            <w:tcW w:type="dxa" w:w="144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Approx. Latitude</w:t>
            </w:r>
          </w:p>
        </w:tc>
        <w:tc>
          <w:tcPr>
            <w:tcW w:type="dxa" w:w="144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de-DE"/>
                <w14:textFill>
                  <w14:solidFill>
                    <w14:srgbClr w14:val="FFFFFF"/>
                  </w14:solidFill>
                </w14:textFill>
              </w:rPr>
              <w:t>UV Index Zone</w:t>
            </w:r>
          </w:p>
        </w:tc>
        <w:tc>
          <w:tcPr>
            <w:tcW w:type="dxa" w:w="144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Expected Melanin</w:t>
            </w:r>
          </w:p>
        </w:tc>
        <w:tc>
          <w:tcPr>
            <w:tcW w:type="dxa" w:w="204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it-IT"/>
                <w14:textFill>
                  <w14:solidFill>
                    <w14:srgbClr w14:val="FFFFFF"/>
                  </w14:solidFill>
                </w14:textFill>
              </w:rPr>
              <w:t>Genetic Sub-Saharan Component</w:t>
            </w:r>
          </w:p>
        </w:tc>
      </w:tr>
      <w:tr>
        <w:tblPrEx>
          <w:shd w:val="clear" w:color="auto" w:fill="ced7e7"/>
        </w:tblPrEx>
        <w:trPr>
          <w:trHeight w:val="216"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it-IT"/>
              </w:rPr>
              <w:t>Scandinavians</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55</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70</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Low</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Very light</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Northern Italians / Greeks</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42</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46</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de-DE"/>
              </w:rPr>
              <w:t>Moderate</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Light-medium</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Southern Italians / Greeks</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37</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41</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Moderate-high</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Medium</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~0%</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nl-NL"/>
              </w:rPr>
              <w:t>Lower Egyptians (Delta)</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30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31</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High</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pt-PT"/>
              </w:rPr>
              <w:t>Medium-dark</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~6</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10%</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rPr>
              <w:t>Upper Egyptians (Luxor/Aswan)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24</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26</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Very high</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Dark</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higher</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Nubians / Northern Sudan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18</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22</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Very high</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Very dark</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~30%</w:t>
            </w:r>
          </w:p>
        </w:tc>
      </w:tr>
      <w:tr>
        <w:tblPrEx>
          <w:shd w:val="clear" w:color="auto" w:fill="ced7e7"/>
        </w:tblPrEx>
        <w:trPr>
          <w:trHeight w:val="216"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it-IT"/>
              </w:rPr>
              <w:t>Ethiopians</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8</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15</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de-DE"/>
              </w:rPr>
              <w:t>Extreme</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en-US"/>
              </w:rPr>
              <w:t>Very dark</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~30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40%</w:t>
            </w:r>
          </w:p>
        </w:tc>
      </w:tr>
      <w:tr>
        <w:tblPrEx>
          <w:shd w:val="clear" w:color="auto" w:fill="ced7e7"/>
        </w:tblPrEx>
        <w:trPr>
          <w:trHeight w:val="479" w:hRule="atLeast"/>
        </w:trPr>
        <w:tc>
          <w:tcPr>
            <w:tcW w:type="dxa" w:w="21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Nigerians / West Africans</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5</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10</w:t>
            </w:r>
            <w:r>
              <w:rPr>
                <w:rFonts w:ascii="Arial" w:hAnsi="Arial" w:hint="default"/>
                <w:sz w:val="20"/>
                <w:szCs w:val="20"/>
                <w:u w:color="000000"/>
                <w:shd w:val="nil" w:color="auto" w:fill="auto"/>
                <w:rtl w:val="0"/>
                <w:lang w:val="it-IT"/>
              </w:rPr>
              <w:t>°</w:t>
            </w:r>
            <w:r>
              <w:rPr>
                <w:rFonts w:ascii="Arial" w:hAnsi="Arial"/>
                <w:sz w:val="20"/>
                <w:szCs w:val="20"/>
                <w:u w:color="000000"/>
                <w:shd w:val="nil" w:color="auto" w:fill="auto"/>
                <w:rtl w:val="0"/>
              </w:rPr>
              <w:t>N</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lang w:val="de-DE"/>
              </w:rPr>
              <w:t>Extreme</w:t>
            </w:r>
          </w:p>
        </w:tc>
        <w:tc>
          <w:tcPr>
            <w:tcW w:type="dxa" w:w="14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0"/>
                <w:szCs w:val="20"/>
                <w:u w:color="000000"/>
                <w:shd w:val="nil" w:color="auto" w:fill="auto"/>
                <w:rtl w:val="0"/>
              </w:rPr>
              <w:t>Darkest</w:t>
            </w:r>
          </w:p>
        </w:tc>
        <w:tc>
          <w:tcPr>
            <w:tcW w:type="dxa" w:w="20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0"/>
                <w:szCs w:val="20"/>
                <w:u w:color="000000"/>
                <w:shd w:val="nil" w:color="auto" w:fill="auto"/>
                <w:rtl w:val="0"/>
                <w:lang w:val="en-US"/>
              </w:rPr>
              <w:t>~99%</w:t>
            </w:r>
          </w:p>
        </w:tc>
      </w:tr>
    </w:tbl>
    <w:p>
      <w:pPr>
        <w:pStyle w:val="Heading 2"/>
        <w:widowControl w:val="0"/>
        <w:jc w:val="both"/>
        <w:rPr>
          <w:b w:val="0"/>
          <w:bCs w:val="0"/>
        </w:rPr>
      </w:pPr>
    </w:p>
    <w:p>
      <w:pPr>
        <w:pStyle w:val="Heading 2"/>
        <w:widowControl w:val="0"/>
        <w:jc w:val="both"/>
        <w:rPr>
          <w:b w:val="0"/>
          <w:bCs w:val="0"/>
        </w:rPr>
      </w:pPr>
      <w:r>
        <w:rPr>
          <w:b w:val="0"/>
          <w:bCs w:val="0"/>
          <w:i w:val="1"/>
          <w:iCs w:val="1"/>
          <w:outline w:val="0"/>
          <w:color w:val="000000"/>
          <w:sz w:val="20"/>
          <w:szCs w:val="20"/>
          <w:u w:color="000000"/>
          <w:rtl w:val="0"/>
          <w:lang w:val="en-US"/>
          <w14:textFill>
            <w14:solidFill>
              <w14:srgbClr w14:val="000000"/>
            </w14:solidFill>
          </w14:textFill>
        </w:rPr>
        <w:t>Note: Melanin expression describes expected population averages, not individuals. Sub-Saharan component figures are approximate from ADMIXTURE analyses cited in Table 1.</w:t>
      </w:r>
    </w:p>
    <w:p>
      <w:pPr>
        <w:pStyle w:val="Heading"/>
        <w:jc w:val="both"/>
        <w:rPr>
          <w:b w:val="0"/>
          <w:bCs w:val="0"/>
        </w:rPr>
      </w:pPr>
      <w:r>
        <w:rPr>
          <w:b w:val="0"/>
          <w:bCs w:val="0"/>
          <w:rtl w:val="0"/>
          <w:lang w:val="en-US"/>
        </w:rPr>
        <w:t>4. Symbolic Load Divergence: Egypt and Kush through the DSSM Lens</w:t>
      </w:r>
    </w:p>
    <w:p>
      <w:pPr>
        <w:pStyle w:val="Heading 2"/>
        <w:jc w:val="both"/>
        <w:rPr>
          <w:b w:val="0"/>
          <w:bCs w:val="0"/>
        </w:rPr>
      </w:pPr>
      <w:r>
        <w:rPr>
          <w:b w:val="0"/>
          <w:bCs w:val="0"/>
          <w:rtl w:val="0"/>
          <w:lang w:val="en-US"/>
        </w:rPr>
        <w:t>4.1 DSSM Framework and FCP Scoring</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The Deep Symbolic Systems Model (Vondoom, 2026) proposes that civilizational emergence results from the recursive stabilization of embodied practices into durable symbolic systems through four stages: embodied symbolic familiarity, ritualized repetition, material amplification, and cognitive offloading into institutional structures. Stabilization is assessed through the two-dimensional Field Companion Protocol (FCP), which scores each of six observables independently on Evidence Strength (E) and Symbolic Specificity (S) axes, combining them through a minimum rule (final = min[E,S]) to prevent evidential robustness from compensating for symbolic ambiguity. Maximum score is 12/12.</w:t>
      </w:r>
    </w:p>
    <w:p>
      <w:pPr>
        <w:pStyle w:val="Heading 2"/>
        <w:jc w:val="both"/>
        <w:rPr>
          <w:b w:val="0"/>
          <w:bCs w:val="0"/>
        </w:rPr>
      </w:pPr>
      <w:r>
        <w:rPr>
          <w:b w:val="0"/>
          <w:bCs w:val="0"/>
          <w:outline w:val="0"/>
          <w:color w:val="000000"/>
          <w:sz w:val="24"/>
          <w:szCs w:val="24"/>
          <w:u w:color="000000"/>
          <w:rtl w:val="0"/>
          <w:lang w:val="nl-NL"/>
          <w14:textFill>
            <w14:solidFill>
              <w14:srgbClr w14:val="000000"/>
            </w14:solidFill>
          </w14:textFill>
        </w:rPr>
        <w:t xml:space="preserve">The Egyptian FCP trajectory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4.5/12 at Badarian (c. 4500 BCE), rising continuously to 12/12 at Old Kingdom (c. 2650 BCE)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reflects genuine evidential variance rather than circular confirmation. The score of 12/12 at Old Kingdom is not granted by assumption; it is earned by the convergence of multiple independent evidence streams: administrative papyri, worker settlement archaeology, mastaba programs, pyramid complex organization, and cosmological-political-ritual symbolism all scoring 2/2 on both E and S dimensions.</w:t>
      </w:r>
    </w:p>
    <w:p>
      <w:pPr>
        <w:pStyle w:val="Heading 2"/>
        <w:jc w:val="both"/>
        <w:rPr>
          <w:b w:val="0"/>
          <w:bCs w:val="0"/>
        </w:rPr>
      </w:pPr>
      <w:r>
        <w:rPr>
          <w:b w:val="0"/>
          <w:bCs w:val="0"/>
          <w:rtl w:val="0"/>
          <w:lang w:val="en-US"/>
        </w:rPr>
        <w:t>4.2 Kush as Derivative Symbolic Adoption</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Kingdom of Kush existed from approximately 2500 BCE to 350 CE. Its rule over Egypt as the 25th Dynasty lasted approximately 747 to 656 BCE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roughly 91 years, nearly 1,800 years after Khufu reigned. During their rule of Egypt, the Kushite pharaohs absorbed Egyptian funerary and symbolic traditions and subsequently reproduced the pyramid form at Meroe, Nuri, and El-Kurru. Sudan today contains over 200 pyramid structures, more by count than Egypt.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From a DSSM perspective, this pattern represents Stage 2</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3 symbolic adoption: the form is reproduced without the full symbolic ecology that generated it. Egyptian pyramids are not containers; they are nodes of a complete symbolic system integrating solar theology, ma'at cosmology, kingship legitimacy, afterlife infrastructure, administrative apparatus, and funerary ritual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product of the multi-millennium symbolic accumulation traced in the FCP trajectory above. Nubian pyramids reproduce the architectural form while the underlying symbolic ecology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absent from the Kushite FCP profile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does not transfer. This is the architectural equivalent of translating a text's words while losing its grammar: the surface is present, the generative structure is not.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Nubian pyramids are steeper, smaller, and later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these are not incidental features but DSSM-predictable signatures of derivative adoption. A community that adopts a symbolic form without the Stage 1</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3 symbolic infrastructure that generated it produces a structurally thinner version of the form, because the form is not being regenerated by the same symbolic pressure that produced the original. Egypt's Old Kingdom pyramids were the material compression of tens of millennia of accumulated symbolic load (Vondoom, 2026); Nubian pyramids are the reproduction of a recognized form by a neighboring polity that encountered it at peak expression and replicated its external structure.</w:t>
      </w:r>
    </w:p>
    <w:p>
      <w:pPr>
        <w:pStyle w:val="Heading 2"/>
        <w:jc w:val="both"/>
        <w:rPr>
          <w:b w:val="0"/>
          <w:bCs w:val="0"/>
        </w:rPr>
      </w:pPr>
    </w:p>
    <w:p>
      <w:pPr>
        <w:pStyle w:val="Heading 2"/>
        <w:jc w:val="both"/>
        <w:rPr>
          <w:b w:val="0"/>
          <w:bCs w:val="0"/>
        </w:rPr>
      </w:pPr>
      <w:r>
        <w:rPr>
          <w:b w:val="0"/>
          <w:bCs w:val="0"/>
          <w:i w:val="1"/>
          <w:iCs w:val="1"/>
          <w:outline w:val="0"/>
          <w:color w:val="000000"/>
          <w:sz w:val="22"/>
          <w:szCs w:val="22"/>
          <w:u w:color="000000"/>
          <w:rtl w:val="0"/>
          <w:lang w:val="en-US"/>
          <w14:textFill>
            <w14:solidFill>
              <w14:srgbClr w14:val="000000"/>
            </w14:solidFill>
          </w14:textFill>
        </w:rPr>
        <w:t>Table 3. DSSM FCP Comparison: Egypt and Kush</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20"/>
        <w:gridCol w:w="3120"/>
        <w:gridCol w:w="3120"/>
      </w:tblGrid>
      <w:tr>
        <w:tblPrEx>
          <w:shd w:val="clear" w:color="auto" w:fill="4f81bd"/>
        </w:tblPrEx>
        <w:trPr>
          <w:trHeight w:val="235" w:hRule="atLeast"/>
          <w:tblHeader/>
        </w:trPr>
        <w:tc>
          <w:tcPr>
            <w:tcW w:type="dxa" w:w="312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fr-FR"/>
                <w14:textFill>
                  <w14:solidFill>
                    <w14:srgbClr w14:val="FFFFFF"/>
                  </w14:solidFill>
                </w14:textFill>
              </w:rPr>
              <w:t>Variable</w:t>
            </w:r>
          </w:p>
        </w:tc>
        <w:tc>
          <w:tcPr>
            <w:tcW w:type="dxa" w:w="312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outline w:val="0"/>
                <w:color w:val="ffffff"/>
                <w:sz w:val="22"/>
                <w:szCs w:val="22"/>
                <w:u w:color="ffffff"/>
                <w:shd w:val="nil" w:color="auto" w:fill="auto"/>
                <w:rtl w:val="0"/>
                <w14:textFill>
                  <w14:solidFill>
                    <w14:srgbClr w14:val="FFFFFF"/>
                  </w14:solidFill>
                </w14:textFill>
              </w:rPr>
              <w:t>Egypt (Old Kingdom)</w:t>
            </w:r>
          </w:p>
        </w:tc>
        <w:tc>
          <w:tcPr>
            <w:tcW w:type="dxa" w:w="312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Kush (Peak, ~700</w:t>
            </w:r>
            <w:r>
              <w:rPr>
                <w:rFonts w:ascii="Arial" w:hAnsi="Arial" w:hint="default"/>
                <w:b w:val="1"/>
                <w:bCs w:val="1"/>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lang w:val="fr-FR"/>
                <w14:textFill>
                  <w14:solidFill>
                    <w14:srgbClr w14:val="FFFFFF"/>
                  </w14:solidFill>
                </w14:textFill>
              </w:rPr>
              <w:t>300 BCE)</w:t>
            </w:r>
          </w:p>
        </w:tc>
      </w:tr>
      <w:tr>
        <w:tblPrEx>
          <w:shd w:val="clear" w:color="auto" w:fill="ced7e7"/>
        </w:tblPrEx>
        <w:trPr>
          <w:trHeight w:val="216"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pt-PT"/>
              </w:rPr>
              <w:t>FCP Total Score</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rPr>
              <w:t>12/12</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~6/12</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pt-PT"/>
              </w:rPr>
              <w:t>DSSM Stage</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Stage 4 (full cognitive offloading)</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da-DK"/>
              </w:rPr>
              <w:t>Stage 2</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en-US"/>
              </w:rPr>
              <w:t>3 (partial material amplification)</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Writing system</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Full hieroglyphic + administrative script</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Meroitic (partially deciphered; later)</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fr-FR"/>
              </w:rPr>
              <w:t>Monument tradition</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fr-FR"/>
              </w:rPr>
              <w:t xml:space="preserve">Indigenous origin (Badarian </w:t>
            </w:r>
            <w:r>
              <w:rPr>
                <w:rFonts w:ascii="Arial" w:hAnsi="Arial" w:hint="default"/>
                <w:sz w:val="20"/>
                <w:szCs w:val="20"/>
                <w:u w:color="000000"/>
                <w:shd w:val="nil" w:color="auto" w:fill="auto"/>
                <w:rtl w:val="0"/>
              </w:rPr>
              <w:t xml:space="preserve">→ </w:t>
            </w:r>
            <w:r>
              <w:rPr>
                <w:rFonts w:ascii="Arial" w:hAnsi="Arial"/>
                <w:sz w:val="20"/>
                <w:szCs w:val="20"/>
                <w:u w:color="000000"/>
                <w:shd w:val="nil" w:color="auto" w:fill="auto"/>
                <w:rtl w:val="0"/>
              </w:rPr>
              <w:t>Old Kingdom)</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Derivative adoption (post-25th Dynasty)</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Pyramid chronology</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fr-FR"/>
              </w:rPr>
              <w:t>c. 2650 BCE (Djoser Step Pyramid)</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rPr>
              <w:t>c. 700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pt-PT"/>
              </w:rPr>
              <w:t>300 BCE (Meroe)</w:t>
            </w:r>
          </w:p>
        </w:tc>
      </w:tr>
      <w:tr>
        <w:tblPrEx>
          <w:shd w:val="clear" w:color="auto" w:fill="ced7e7"/>
        </w:tblPrEx>
        <w:trPr>
          <w:trHeight w:val="216"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Pyramid scale</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Great Pyramid: 138m height</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sv-SE"/>
              </w:rPr>
              <w:t>Meroe: avg 20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en-US"/>
              </w:rPr>
              <w:t>30m height</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Pyramid angle</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~51</w:t>
            </w:r>
            <w:r>
              <w:rPr>
                <w:rFonts w:ascii="Arial" w:hAnsi="Arial" w:hint="default"/>
                <w:sz w:val="20"/>
                <w:szCs w:val="20"/>
                <w:u w:color="000000"/>
                <w:shd w:val="nil" w:color="auto" w:fill="auto"/>
                <w:rtl w:val="0"/>
                <w:lang w:val="it-IT"/>
              </w:rPr>
              <w:t xml:space="preserve">° </w:t>
            </w:r>
            <w:r>
              <w:rPr>
                <w:rFonts w:ascii="Arial" w:hAnsi="Arial"/>
                <w:sz w:val="20"/>
                <w:szCs w:val="20"/>
                <w:u w:color="000000"/>
                <w:shd w:val="nil" w:color="auto" w:fill="auto"/>
                <w:rtl w:val="0"/>
                <w:lang w:val="nl-NL"/>
              </w:rPr>
              <w:t>(Egyptian)</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~65</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rPr>
              <w:t>70</w:t>
            </w:r>
            <w:r>
              <w:rPr>
                <w:rFonts w:ascii="Arial" w:hAnsi="Arial" w:hint="default"/>
                <w:sz w:val="20"/>
                <w:szCs w:val="20"/>
                <w:u w:color="000000"/>
                <w:shd w:val="nil" w:color="auto" w:fill="auto"/>
                <w:rtl w:val="0"/>
                <w:lang w:val="it-IT"/>
              </w:rPr>
              <w:t xml:space="preserve">° </w:t>
            </w:r>
            <w:r>
              <w:rPr>
                <w:rFonts w:ascii="Arial" w:hAnsi="Arial"/>
                <w:sz w:val="20"/>
                <w:szCs w:val="20"/>
                <w:u w:color="000000"/>
                <w:shd w:val="nil" w:color="auto" w:fill="auto"/>
                <w:rtl w:val="0"/>
                <w:lang w:val="en-US"/>
              </w:rPr>
              <w:t>(steeper; less symbolic load)</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Symbolic depth</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Solar theology, ma'at, kingship, afterlife fully integrated</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Egyptian forms adopted without full symbolic ecology</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State formation</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c. 3100 BCE (Early Dynastic)</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rPr>
              <w:t>c. 800</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pt-PT"/>
              </w:rPr>
              <w:t>750 BCE (Napata kingdom)</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rPr>
              <w:t>Rule over Egypt</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it-IT"/>
              </w:rPr>
              <w:t>N/A (originator)</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25th Dynasty 747</w:t>
            </w:r>
            <w:r>
              <w:rPr>
                <w:rFonts w:ascii="Arial" w:hAnsi="Arial" w:hint="default"/>
                <w:sz w:val="20"/>
                <w:szCs w:val="20"/>
                <w:u w:color="000000"/>
                <w:shd w:val="nil" w:color="auto" w:fill="auto"/>
                <w:rtl w:val="0"/>
              </w:rPr>
              <w:t>–</w:t>
            </w:r>
            <w:r>
              <w:rPr>
                <w:rFonts w:ascii="Arial" w:hAnsi="Arial"/>
                <w:sz w:val="20"/>
                <w:szCs w:val="20"/>
                <w:u w:color="000000"/>
                <w:shd w:val="nil" w:color="auto" w:fill="auto"/>
                <w:rtl w:val="0"/>
                <w:lang w:val="en-US"/>
              </w:rPr>
              <w:t>656 BCE (~91 years)</w:t>
            </w:r>
          </w:p>
        </w:tc>
      </w:tr>
      <w:tr>
        <w:tblPrEx>
          <w:shd w:val="clear" w:color="auto" w:fill="ced7e7"/>
        </w:tblPrEx>
        <w:trPr>
          <w:trHeight w:val="479"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Genetic connectivity</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it-IT"/>
              </w:rPr>
              <w:t>High (trade node: Levantine, Anatolian, Nubian, Libyan inputs)</w:t>
            </w:r>
          </w:p>
        </w:tc>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Lower (more isolated; higher genetic homogeneity)</w:t>
            </w:r>
          </w:p>
        </w:tc>
      </w:tr>
    </w:tbl>
    <w:p>
      <w:pPr>
        <w:pStyle w:val="Heading 2"/>
        <w:widowControl w:val="0"/>
        <w:jc w:val="both"/>
        <w:rPr>
          <w:b w:val="0"/>
          <w:bCs w:val="0"/>
        </w:rPr>
      </w:pPr>
    </w:p>
    <w:p>
      <w:pPr>
        <w:pStyle w:val="Heading 2"/>
        <w:widowControl w:val="0"/>
        <w:jc w:val="both"/>
        <w:rPr>
          <w:b w:val="0"/>
          <w:bCs w:val="0"/>
        </w:rPr>
      </w:pPr>
      <w:r>
        <w:rPr>
          <w:b w:val="0"/>
          <w:bCs w:val="0"/>
          <w:i w:val="1"/>
          <w:iCs w:val="1"/>
          <w:outline w:val="0"/>
          <w:color w:val="000000"/>
          <w:sz w:val="20"/>
          <w:szCs w:val="20"/>
          <w:u w:color="000000"/>
          <w:rtl w:val="0"/>
          <w:lang w:val="en-US"/>
          <w14:textFill>
            <w14:solidFill>
              <w14:srgbClr w14:val="000000"/>
            </w14:solidFill>
          </w14:textFill>
        </w:rPr>
        <w:t>Note: Kush FCP score is an approximation. Full systematic FCP analysis of the Kushite archaeological record is identified as a priority for future DSSM research.</w:t>
      </w:r>
    </w:p>
    <w:p>
      <w:pPr>
        <w:pStyle w:val="Heading 2"/>
        <w:jc w:val="both"/>
        <w:rPr>
          <w:b w:val="0"/>
          <w:bCs w:val="0"/>
        </w:rPr>
      </w:pPr>
      <w:r>
        <w:rPr>
          <w:b w:val="0"/>
          <w:bCs w:val="0"/>
          <w:rtl w:val="0"/>
          <w:lang w:val="en-US"/>
        </w:rPr>
        <w:t>4.3 Capability Without Need: The DSSM Explanation for Kushite Pyramid Scale</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Nubian pyramids demonstrate something precise and important: the human capacity to build pyramid-shaped structures existed across the Nile Valley. Moving and stacking stone at scale was within Kushite capability. The structures at Meroe, Nuri, and El-Kurru are real monuments built by real people exercising real organizational capacity. This point must be conceded clearly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it is the correct starting point for the DSSM analysis, because it shifts the question from 'could they?' to 'why didn't they achieve it at Egyptian scale and depth?'</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DSSM answer is: because they did not need to. The Egyptian pyramid tradition was not a voluntary cultural choice or an expression of ambition. It was the material output of an endogenous symbolic pressure that Kush never experienced. Vondoom (2026, Paper 61) documents this mechanism in detail through the construction history of the Great Pyramid of Khufu. Egypt's pyramid-building capacity was not invented at Giza. It was accumulated across a two-century institutional learning sequence: the mastaba tradition of the Early Dynastic period (Stage 2 ritualized repetition of structural knowledge); the Step Pyramid of Djoser at Saqqara, c. 2650 BCE, the first large-scale stone construction project in Egypt (Stage 3 material amplification onset); the three-pyramid sequence of Sneferu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14:textFill>
            <w14:solidFill>
              <w14:srgbClr w14:val="000000"/>
            </w14:solidFill>
          </w14:textFill>
        </w:rPr>
        <w:t xml:space="preserve">Meidum, Bent Pyramid at Dahshur, Red Pyramid at Dahshur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in which each project refined the technical and administrative approach and built generational institutional knowledge; and finally the Great Pyramid of Khufu, built by a workforce of approximately 20,000 permanent skilled workers supported by a complete administrative infrastructure, waterway logistics along the Ahramat paleochannel, and the accumulated experience of every prior project (Lehner and Hawass, 1997; Ghoneim et al., 2024; Tallet, 2017).</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This two-century learning sequence was not run voluntarily. It was driven by the Stage 3 symbolic pressure identified in the DSSM transmission fidelity model (Vondoom, 2026): when Egypt's Naqada II communities exceeded the approximately 500-individual effective community size threshold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14:textFill>
            <w14:solidFill>
              <w14:srgbClr w14:val="000000"/>
            </w14:solidFill>
          </w14:textFill>
        </w:rPr>
        <w:t>Hassan (1985) estimates 2,000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5,000 individuals at Hierakonpolis by c. 3500 BCE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face-to-face symbolic transmission became structurally insufficient, and externalization into durable, spatially fixed, publicly legible material forms became an adaptive necessity. The symbolic load that accumulated over millennia from the Upper Paleolithic through the Predynastic had to go somewhere. It went into stone.</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Kush never ran this sequence because it never faced this pressure. Its effective community sizes remained below the Stage 3 threshold for the relevant period. Its symbolic load, while genuine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 DSSM FCP analysis assigns Kush a Stage 2</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3 score, not zero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never saturated to the point that required the specific institutional machinery Egypt developed across two centuries. When Kushite builders eventually constructed pyramids at Meroe, they were not running their own version of the Djoser-Sneferu-Khufu sequence. They were reproducing a form they had encountered at peak expression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first during the 25th Dynasty rule of Egypt, when Kushite pharaohs encountered and absorbed Egyptian funerary symbolism directly, and subsequently in the post-dynastic period. The steep angles, small bases, and reduced scale of the Nubian pyramids are not evidence of lesser ambition or lesser intelligence. They are the architectural signature of a population that adopted a symbolic form without the endogenous pressure that generated the original over two centuries of institutional accumulation.</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Khufu paper (Vondoom, 2026, Paper 61) states this principle directly in its conclusion: what the construction of the Great Pyramid required was not extraordinary technology but extraordinary coordination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that coordination capacity developed continuously, from Djoser's administration of the first large-scale stone project, through Sneferu's three-pyramid learning sequence, to Khufu's institutionally mature operation at Giza. The Nubian builders never accumulated that coordination depth not because they were incapable but because nothing in their symbolic or demographic history required them to. Capability without need produces imitation. Need without the accumulated capability produces failure. Egypt, uniquely in the Nile Valley, had both the need and the accumulated two-century institutional response to it.</w:t>
      </w:r>
    </w:p>
    <w:p>
      <w:pPr>
        <w:pStyle w:val="Heading"/>
        <w:jc w:val="both"/>
        <w:rPr>
          <w:b w:val="0"/>
          <w:bCs w:val="0"/>
        </w:rPr>
      </w:pPr>
      <w:r>
        <w:rPr>
          <w:b w:val="0"/>
          <w:bCs w:val="0"/>
          <w:rtl w:val="0"/>
          <w:lang w:val="en-US"/>
        </w:rPr>
        <w:t>5. The Sphinx and the Upper Egyptian Phenotype</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Great Sphinx of Giza is conventionally attributed to Khafre (c. 2558</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2532 BCE), with its facial features widely considered to represent the pharaoh himself or a composite royal ideal. Geological water erosion evidence (Schoch, 1992) has led some researchers to argue for a substantially earlier construction date, potentially in the range of 5000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7000 BCE. Whether one accepts the conventional Old Kingdom attribution or the earlier geological dating, the relevant question for the present argument is the same: whose face does it represent, and where did those people come from?</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answer is Upper Egypt. The pharaonic tradition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1st Dynasty (Thinite), 3rd Dynasty (Djoser, Imhotep), 4th Dynasty (Sneferu, Khufu, Khafre)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traced its political and symbolic origins to Upper Egyptian centers: Hierakonpolis, Naqada, Thinis/Abydos. The FCP trajectory in Vondoom (2026) documents this directly: the symbolic engine of Egyptian civilization ran through precisely these sites from Stage 1 through Stage 4. The people who built the Sphinx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whatever its precise date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were Upper Egyptians.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Upper Egyptians, as established in Section 2, had darker phenotypes than Lower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closer to the Nilotic end of the geographic gradient, carrying higher Northeast African/Nilotic ancestry, shaped by their 24</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26</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N UV latitude. The Sphinx's facial morphology therefore reflects Upper Egyptian phenotype precisely. This is not a concession to the Afrocentric argument; it is its refutation by precision. The Afrocentric claim requires that the Sphinx represents a sub-Saharan West or Southern African phenotype. The genetic and geographic data establish that the face represents an Upper Egyptian phenotype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Northeast African/Nilotic on the geographic gradient, categorically distinct from the West African or Southern African populations the Afrocentric argument conflates with it.</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Upper Egyptians, as established in Section 2, had darker phenotypes than Lower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closer to the Nilotic end of the geographic gradient, carrying higher Northeast African/Nilotic ancestry, shaped by their 24</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26</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N UV latitude. The Sphinx's facial morphology therefore reflects Upper Egyptian phenotype precisely. This is not a concession to the Afrocentric argument; it is its refutation by precision. The Afrocentric claim requires that the Sphinx represents a sub-Saharan West or Southern African phenotype. The genetic and geographic data establish that the face represents an Upper Egyptian phenotype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Northeast African/Nilotic on the geographic gradient, categorically distinct from the West African or Southern African populations the Afrocentric argument conflates with it.</w:t>
      </w:r>
    </w:p>
    <w:p>
      <w:pPr>
        <w:pStyle w:val="Heading 2"/>
        <w:jc w:val="both"/>
        <w:rPr>
          <w:b w:val="0"/>
          <w:bCs w:val="0"/>
        </w:rPr>
      </w:pPr>
      <w:r>
        <w:rPr>
          <w:b w:val="0"/>
          <w:bCs w:val="0"/>
          <w:rtl w:val="0"/>
          <w:lang w:val="en-US"/>
        </w:rPr>
        <w:t>5.2 The Egyptian Artistic Convention: Reddish-Brown vs. Black</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most direct evidence for the distinction between Egyptian and Nubian phenotypes is the Egyptians' own systematic pictorial record. Ancient Egyptian artistic convention employed a precise and consistent color vocabulary for human skin tones. Male Egyptians were rendered in red ochre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 reddish-brown intermediate pigment. Women were rendered in lighter yellow-ochre tones, reflecting the convention of depicting indoor versus outdoor complexions. Crucially, Nubians were painted specifically in black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 categorically distinct color that the Egyptian artistic vocabulary reserved explicitly for people of Nubian identity.</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This distinction is not incidental. It appears across centuries of artistic production, in contexts ranging from the Predynastic period through the New Kingdom and beyond. The canonical example is the 'Table of Nations' in the tomb of Seti I at Thebes: four human types rendered in four distinct color registers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Egyptians in reddish-brown, Nubians in black, Levantines in lighter tones, Libyans in yet another register. The Egyptians were not operating with a binary black/white schema; they employed a differentiated chromatic vocabulary that mapped observed phenotypic reality onto artistic convention with demonstrable consistency. The specific use of black for Nubians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and reddish-brown for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was a deliberate, institutionally maintained distinction, not an aesthetic accident. A civilization capable of the symbolic precision documented in Vondoom (2026) was fully capable of encoding what it observed.</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famous painted limestone statues of Rahotep and Nofret (early 4th Dynasty, Cairo Museum) provide a vivid illustration. Rahotep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 royal prince and high priest, son of Sneferu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is rendered in the standard reddish-brown male tone. Nofret is rendered in the lighter female tone. Both statues, excavated at Meidum, date to the generation immediately preceding Khufu and Khafre. They show exactly the intermediate phenotype that the genomic, climatic, and geographic data independently predict for an Upper Egyptian population of North African Neolithic and Near Eastern ancestral composition, shaped by a transitional UV environment at the close of the Green Sahara.</w:t>
      </w:r>
    </w:p>
    <w:p>
      <w:pPr>
        <w:pStyle w:val="Heading 2"/>
        <w:jc w:val="both"/>
        <w:rPr>
          <w:b w:val="0"/>
          <w:bCs w:val="0"/>
        </w:rPr>
      </w:pPr>
    </w:p>
    <w:p>
      <w:pPr>
        <w:pStyle w:val="Heading 2"/>
        <w:jc w:val="both"/>
        <w:rPr>
          <w:b w:val="0"/>
          <w:bCs w:val="0"/>
        </w:rPr>
      </w:pPr>
    </w:p>
    <w:p>
      <w:pPr>
        <w:pStyle w:val="Heading 2"/>
        <w:jc w:val="both"/>
        <w:rPr>
          <w:b w:val="0"/>
          <w:bCs w:val="0"/>
        </w:rPr>
      </w:pPr>
      <w:r>
        <w:rPr>
          <w:b w:val="0"/>
          <w:bCs w:val="0"/>
          <w:rtl w:val="0"/>
          <w:lang w:val="en-US"/>
        </w:rPr>
        <w:t>5.3 Djedefre and the 4th Dynasty Phenotypic Record</w:t>
      </w:r>
    </w:p>
    <w:p>
      <w:pPr>
        <w:pStyle w:val="Heading 2"/>
        <w:jc w:val="both"/>
        <w:rPr>
          <w:b w:val="0"/>
          <w:bCs w:val="0"/>
        </w:rPr>
      </w:pPr>
      <w:r>
        <w:rPr>
          <w:b w:val="0"/>
          <w:bCs w:val="0"/>
          <w:outline w:val="0"/>
          <w:color w:val="000000"/>
          <w:sz w:val="24"/>
          <w:szCs w:val="24"/>
          <w:u w:color="000000"/>
          <w:rtl w:val="0"/>
          <w14:textFill>
            <w14:solidFill>
              <w14:srgbClr w14:val="000000"/>
            </w14:solidFill>
          </w14:textFill>
        </w:rPr>
        <w:t xml:space="preserve">Djedefre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son of Khufu, brother of Khafre, and therefore uncle of Menkaure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reigned briefly between Khufu and Khafre (c. 2566</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2558 BCE) and built his pyramid at Abu Rawash, north of Giza. The surviving sculptural fragments from Abu Rawash, including a quartzite head now in the Louvre, show traces of the standard reddish-brown paint applied to royal male statuary of the period. This is not a portrait of sub-Saharan African phenotype; it is the reddish-brown intermediate that the Egyptian artistic vocabulary consistently applied to Egyptian male subjects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 same tone used for Rahotep, for the Menkaure triads, and for the vast majority of male figures across the 4th Dynasty artistic record.</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significance of the Djedefre record for Menkaure is genealogical and phenotypic simultaneously. Menkaure inherited his facial morphology from an Upper Egyptian royal lineage running through Khufu, Sneferu, and the Thinite dynasty before them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a lineage whose geographic roots are in the Nilotic gradient zone of Upper Egypt, producing the broader facial features visible in the Sphinx and in 4th Dynasty statuary. He inherited his skin tone from the same ancestry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North African Neolithic and Near Eastern Neolithic components, expressed in a transitional UV environment, and conventionally rendered in the reddish-brown that distinguished Egyptians from their black-rendered Nubian neighbors in the Egyptian pictorial canon.</w:t>
      </w:r>
    </w:p>
    <w:p>
      <w:pPr>
        <w:pStyle w:val="Heading 2"/>
        <w:jc w:val="both"/>
        <w:rPr>
          <w:b w:val="0"/>
          <w:bCs w:val="0"/>
        </w:rPr>
      </w:pPr>
      <w:r>
        <w:rPr>
          <w:b w:val="0"/>
          <w:bCs w:val="0"/>
          <w:rtl w:val="0"/>
          <w:lang w:val="en-US"/>
        </w:rPr>
        <w:t>5.4 Four Converging Lines: The Composite Phenotypic Portrait</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The phenotypic portrait of the Old Kingdom pharaohs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Menkaure specifically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is not derived from any single line of evidence but from the convergence of four independent sources, each pointing to the same intermediate reddish-brown phenotype:</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First, the genetic record: 80% North African Neolithic and 20% West Asian ancestry, with the SLC24A5 lighter-skin allele present, in a population of overwhelmingly non-sub-Saharan composition. Second, the climatic record: the Green Sahara's reduced UV load at 8,000 BCE transitioning gradually to drier conditions by 3,000</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fr-FR"/>
          <w14:textFill>
            <w14:solidFill>
              <w14:srgbClr w14:val="000000"/>
            </w14:solidFill>
          </w14:textFill>
        </w:rPr>
        <w:t xml:space="preserve">2,500 BCE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producing lower melanin selection pressure than modern desert Egypt implies. Third, the geographic record: Upper Egyptian latitude (24</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14:textFill>
            <w14:solidFill>
              <w14:srgbClr w14:val="000000"/>
            </w14:solidFill>
          </w14:textFill>
        </w:rPr>
        <w:t>26</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N) on a continuous gradient, darker than Lower Egyptians, categorically distinct from equatorial sub-Saharan populations. Fourth, the artistic record: a consistent, institutionally maintained convention rendering Egyptian males in reddish-brown and Nubians specifically in black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 distinction the Egyptians themselves encoded across centuries of visual production.</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No single one of these lines is sufficient alone. Together they are decisive. The face of the Sphinx is the face of the people who made it: Upper Egyptians, African on the Nile Valley gradient, reddish-brown in tone, and irreducible to either the sub-Saharan black or the modern Near Eastern light that competing ideological claims try to impose on the record.</w:t>
      </w:r>
    </w:p>
    <w:p>
      <w:pPr>
        <w:pStyle w:val="Heading 2"/>
        <w:jc w:val="both"/>
        <w:rPr>
          <w:b w:val="0"/>
          <w:bCs w:val="0"/>
        </w:rPr>
      </w:pPr>
    </w:p>
    <w:p>
      <w:pPr>
        <w:pStyle w:val="Heading 2"/>
        <w:jc w:val="both"/>
        <w:rPr>
          <w:b w:val="0"/>
          <w:bCs w:val="0"/>
        </w:rPr>
      </w:pPr>
      <w:r>
        <w:rPr>
          <w:b w:val="0"/>
          <w:bCs w:val="0"/>
          <w:rtl w:val="0"/>
          <w:lang w:val="en-US"/>
        </w:rPr>
        <w:t>5.4 A Note on the Ramesses III Haplogroup Finding</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Hawass et al. (2012), in a forensic and genetic study of Ramesses III and an unknown mummy believed to be his son Pentawer (20th Dynasty, c. 1186</w:t>
      </w:r>
      <w:r>
        <w:rPr>
          <w:b w:val="0"/>
          <w:bCs w:val="0"/>
          <w:outline w:val="0"/>
          <w:color w:val="000000"/>
          <w:sz w:val="24"/>
          <w:szCs w:val="24"/>
          <w:u w:color="000000"/>
          <w:rtl w:val="0"/>
          <w14:textFill>
            <w14:solidFill>
              <w14:srgbClr w14:val="000000"/>
            </w14:solidFill>
          </w14:textFill>
        </w:rPr>
        <w:t>–</w:t>
      </w:r>
      <w:r>
        <w:rPr>
          <w:b w:val="0"/>
          <w:bCs w:val="0"/>
          <w:outline w:val="0"/>
          <w:color w:val="000000"/>
          <w:sz w:val="24"/>
          <w:szCs w:val="24"/>
          <w:u w:color="000000"/>
          <w:rtl w:val="0"/>
          <w:lang w:val="en-US"/>
          <w14:textFill>
            <w14:solidFill>
              <w14:srgbClr w14:val="000000"/>
            </w14:solidFill>
          </w14:textFill>
        </w:rPr>
        <w:t xml:space="preserve">1155 BCE), identified Y-chromosomal haplogroup E1b1a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 haplogroup with high modern frequencies in West and Central Africa. This result has been widely cited in popular discourse as evidence of sub-Saharan pharaonic identity. The correct interpretation requires three clarifications.</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First, Ramesses III reigned approximately 1,400 years after Khufu and Khafre. The 20th Dynasty is not the 4th Dynasty; equating their ancestry is chronologically indefensible. Second, the E haplogroup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including both the E1b1a and E1b1b subclades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originated in Northeast Africa and the Nile corridor and diversified across the continent from that origin point. The presence of E1b1a in a single New Kingdom ruler reflects Nile Valley ancestry, not West African ancestry. Third, and most decisively, Y-chromosome haplogroups represent a single patrilineal line and constitute a negligible fraction of total genomic ancestry. They cannot substitute for whole-genome autosomal analysis. The Old Kingdom whole-genome sequence (Abdelhamid et al., 2025)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only complete genome from the pyramid-building period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shows 80% North African Neolithic and 20% West Asian ancestry with zero detectable sub-Saharan component. That is the data that governs the argument about the pyramid builders.</w:t>
      </w:r>
    </w:p>
    <w:p>
      <w:pPr>
        <w:pStyle w:val="Heading 2"/>
        <w:jc w:val="both"/>
        <w:rPr>
          <w:b w:val="0"/>
          <w:bCs w:val="0"/>
        </w:rPr>
      </w:pPr>
      <w:r>
        <w:rPr>
          <w:b w:val="0"/>
          <w:bCs w:val="0"/>
          <w:outline w:val="0"/>
          <w:color w:val="000000"/>
          <w:sz w:val="24"/>
          <w:szCs w:val="24"/>
          <w:u w:color="000000"/>
          <w:rtl w:val="0"/>
          <w:lang w:val="en-US"/>
          <w14:textFill>
            <w14:solidFill>
              <w14:srgbClr w14:val="000000"/>
            </w14:solidFill>
          </w14:textFill>
        </w:rPr>
        <w:t xml:space="preserve">It is worth noting that Hawass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Egypt's foremost archaeologist and a consistent defender of Egyptian civilizational heritage against misappropriation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has himself been explicit that the genetic data does not support sub-Saharan claims about pharaonic identity. The Tutankhamun family study (Hawass et al., 2010) and the CT imaging of New Kingdom royal mummies (Hawass &amp; Saleem, 2016) together constitute the most comprehensive direct examination of royal mummies conducted by Egyptian scientists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neither study supports a sub-Saharan origin for the pharaonic line.</w:t>
      </w:r>
    </w:p>
    <w:p>
      <w:pPr>
        <w:pStyle w:val="Heading"/>
        <w:jc w:val="both"/>
        <w:rPr>
          <w:b w:val="0"/>
          <w:bCs w:val="0"/>
        </w:rPr>
      </w:pPr>
      <w:r>
        <w:rPr>
          <w:b w:val="0"/>
          <w:bCs w:val="0"/>
          <w:rtl w:val="0"/>
          <w:lang w:val="it-IT"/>
        </w:rPr>
        <w:t>6. The Comparative Negative Case: Stessa Faccia, Diversa Civilt</w:t>
      </w:r>
      <w:r>
        <w:rPr>
          <w:b w:val="0"/>
          <w:bCs w:val="0"/>
          <w:rtl w:val="0"/>
        </w:rPr>
        <w:t>à</w:t>
      </w:r>
    </w:p>
    <w:p>
      <w:pPr>
        <w:pStyle w:val="Heading"/>
        <w:jc w:val="both"/>
        <w:rPr>
          <w:b w:val="0"/>
          <w:bCs w:val="0"/>
        </w:rPr>
      </w:pPr>
      <w:r>
        <w:rPr>
          <w:b w:val="0"/>
          <w:bCs w:val="0"/>
          <w:outline w:val="0"/>
          <w:color w:val="000000"/>
          <w:sz w:val="24"/>
          <w:szCs w:val="24"/>
          <w:u w:color="000000"/>
          <w:rtl w:val="0"/>
          <w:lang w:val="it-IT"/>
          <w14:textFill>
            <w14:solidFill>
              <w14:srgbClr w14:val="000000"/>
            </w14:solidFill>
          </w14:textFill>
        </w:rPr>
        <w:t xml:space="preserve">The Mediterranean folk expression stessa faccia, stessa razza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'same face, same race'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captures the popular intuition that phenotypic similarity implies shared identity. The saying is applied, typically humorously, to Greeks and Italians, who do share significant facial morphology as neighboring Mediterranean populations shaped by overlapping UV gradients, shared ancient population movements, and centuries of contact. It encodes the inference pattern that the Afrocentric argument applies to Egypt and sub-Saharan Africa: similar appearance implies shared civilizational identity.</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Greek-Italian case provides a structurally clean negative test of this inference, because the empirical record is unambiguous. Greeks and Italians share phenotypic overlap. Both generated empires independently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Macedonian-Hellenistic empire and the Roman empire. Both produced monumental architecture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 Parthenon and the Pantheon. Both developed writing systems, legal institutions, philosophical traditions, and religious architectures. They share Mediterranean ancestry and UV gradient outcomes. And yet: Roman civilization was not Greek civilization. Rome did not build Athens. Greece did not build Rome. The phenotypic overlap is a function of geographic proximity; the civilizational divergence is a function of independent symbolic trajectories.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Nile Valley presents the same logical structure with one additional asymmetry: Egypt and Kush are not symmetric cases. Greece and Rome were roughly contemporaneous civilizational peers that influenced each other bidirectionally. Egypt and Kush were not: Egypt preceded Kush by millennia, generated the symbolic tradition that Kush later adopted, and produced FCP scores more than double those of the Kushite case. The directionality of influence runs from Egypt to Kush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confirmed by the chronology of the pyramid traditions, by the 25th Dynasty pharaohs' adoption of Egyptian symbolic forms upon conquering Egypt, and by the DSSM FCP contrast.</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analogy to the Greek-Italian case is therefore a stessa faccia, diversa civilt</w:t>
      </w:r>
      <w:r>
        <w:rPr>
          <w:b w:val="0"/>
          <w:bCs w:val="0"/>
          <w:outline w:val="0"/>
          <w:color w:val="000000"/>
          <w:sz w:val="24"/>
          <w:szCs w:val="24"/>
          <w:u w:color="000000"/>
          <w:rtl w:val="0"/>
          <w:lang w:val="en-US"/>
          <w14:textFill>
            <w14:solidFill>
              <w14:srgbClr w14:val="000000"/>
            </w14:solidFill>
          </w14:textFill>
        </w:rPr>
        <w:t xml:space="preserve">à — </w:t>
      </w:r>
      <w:r>
        <w:rPr>
          <w:b w:val="0"/>
          <w:bCs w:val="0"/>
          <w:outline w:val="0"/>
          <w:color w:val="000000"/>
          <w:sz w:val="24"/>
          <w:szCs w:val="24"/>
          <w:u w:color="000000"/>
          <w:rtl w:val="0"/>
          <w:lang w:val="en-US"/>
          <w14:textFill>
            <w14:solidFill>
              <w14:srgbClr w14:val="000000"/>
            </w14:solidFill>
          </w14:textFill>
        </w:rPr>
        <w:t xml:space="preserve">same face, different civilization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formalized as follows. Phenotypic similarity is evidence of geographic proximity and shared UV gradient. It is not evidence of shared civilizational identity, shared symbolic ancestry, or equivalent symbolic load. The inference from 'they look similar' to 'they built the same thing' is a category error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 substitution of a geographic variable for a symbolic one.</w:t>
      </w:r>
    </w:p>
    <w:p>
      <w:pPr>
        <w:pStyle w:val="Heading"/>
        <w:jc w:val="both"/>
        <w:rPr>
          <w:b w:val="0"/>
          <w:bCs w:val="0"/>
        </w:rPr>
      </w:pPr>
    </w:p>
    <w:p>
      <w:pPr>
        <w:pStyle w:val="Heading"/>
        <w:jc w:val="both"/>
        <w:rPr>
          <w:b w:val="0"/>
          <w:bCs w:val="0"/>
        </w:rPr>
      </w:pPr>
      <w:r>
        <w:rPr>
          <w:b w:val="0"/>
          <w:bCs w:val="0"/>
          <w:i w:val="1"/>
          <w:iCs w:val="1"/>
          <w:outline w:val="0"/>
          <w:color w:val="000000"/>
          <w:sz w:val="22"/>
          <w:szCs w:val="22"/>
          <w:u w:color="000000"/>
          <w:rtl w:val="0"/>
          <w:lang w:val="en-US"/>
          <w14:textFill>
            <w14:solidFill>
              <w14:srgbClr w14:val="000000"/>
            </w14:solidFill>
          </w14:textFill>
        </w:rPr>
        <w:t>Table 4. Comparative Test: Phenotypic Overlap vs. Civilizational Independence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3280"/>
        <w:gridCol w:w="3280"/>
      </w:tblGrid>
      <w:tr>
        <w:tblPrEx>
          <w:shd w:val="clear" w:color="auto" w:fill="4f81bd"/>
        </w:tblPrEx>
        <w:trPr>
          <w:trHeight w:val="522" w:hRule="atLeast"/>
          <w:tblHeader/>
        </w:trPr>
        <w:tc>
          <w:tcPr>
            <w:tcW w:type="dxa" w:w="280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fr-FR"/>
                <w14:textFill>
                  <w14:solidFill>
                    <w14:srgbClr w14:val="FFFFFF"/>
                  </w14:solidFill>
                </w14:textFill>
              </w:rPr>
              <w:t>Variable</w:t>
            </w:r>
          </w:p>
        </w:tc>
        <w:tc>
          <w:tcPr>
            <w:tcW w:type="dxa" w:w="328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it-IT"/>
                <w14:textFill>
                  <w14:solidFill>
                    <w14:srgbClr w14:val="FFFFFF"/>
                  </w14:solidFill>
                </w14:textFill>
              </w:rPr>
              <w:t>Greece / Italy (Positive case)</w:t>
            </w:r>
          </w:p>
        </w:tc>
        <w:tc>
          <w:tcPr>
            <w:tcW w:type="dxa" w:w="3280"/>
            <w:tcBorders>
              <w:top w:val="single" w:color="999999" w:sz="1" w:space="0" w:shadow="0" w:frame="0"/>
              <w:left w:val="single" w:color="999999" w:sz="1" w:space="0" w:shadow="0" w:frame="0"/>
              <w:bottom w:val="single" w:color="cccccc" w:sz="1" w:space="0" w:shadow="0" w:frame="0"/>
              <w:right w:val="single" w:color="999999" w:sz="1" w:space="0" w:shadow="0" w:frame="0"/>
            </w:tcBorders>
            <w:shd w:val="clear" w:color="auto" w:fill="2e75b6"/>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outline w:val="0"/>
                <w:color w:val="ffffff"/>
                <w:sz w:val="22"/>
                <w:szCs w:val="22"/>
                <w:u w:color="ffffff"/>
                <w:shd w:val="nil" w:color="auto" w:fill="auto"/>
                <w:rtl w:val="0"/>
                <w:lang w:val="en-US"/>
                <w14:textFill>
                  <w14:solidFill>
                    <w14:srgbClr w14:val="FFFFFF"/>
                  </w14:solidFill>
                </w14:textFill>
              </w:rPr>
              <w:t>Egypt / Kush (Asymmetric case)</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Phenotypic overlap</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it-IT"/>
              </w:rPr>
              <w:t>Significant (Mediterranean UV gradient)</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Significant (Nile Valley UV gradient)</w:t>
            </w:r>
          </w:p>
        </w:tc>
      </w:tr>
      <w:tr>
        <w:tblPrEx>
          <w:shd w:val="clear" w:color="auto" w:fill="ced7e7"/>
        </w:tblPrEx>
        <w:trPr>
          <w:trHeight w:val="216"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Geographic proximity</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it-IT"/>
              </w:rPr>
              <w:t>Adjacent Mediterranean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Adjacent Nile Valley</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Shared ancestry</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Overlapping Neolithic + Bronze Age inputs</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Overlapping North African + Nilotic inputs</w:t>
            </w:r>
          </w:p>
        </w:tc>
      </w:tr>
      <w:tr>
        <w:tblPrEx>
          <w:shd w:val="clear" w:color="auto" w:fill="ced7e7"/>
        </w:tblPrEx>
        <w:trPr>
          <w:trHeight w:val="216"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Civilizational origin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s-ES_tradnl"/>
              </w:rPr>
              <w:t>Independent</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Egypt precedes Kush by millennia</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it-IT"/>
              </w:rPr>
              <w:t>Empire</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Independent (Hellenistic vs Roman)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Independent (Egypt vs Kush 25th Dyn.)</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Monumental tradition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Independent (Parthenon vs Pantheon)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rPr>
              <w:t>Egypt original; Kush derivative</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Directionality of influence</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Bidirectional (Rome adopted Greek culture)</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Unidirectional (Kush adopted Egyptian)</w:t>
            </w:r>
          </w:p>
        </w:tc>
      </w:tr>
      <w:tr>
        <w:tblPrEx>
          <w:shd w:val="clear" w:color="auto" w:fill="ced7e7"/>
        </w:tblPrEx>
        <w:trPr>
          <w:trHeight w:val="216"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Inference from phenotype</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Rome did not build Greece</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Kush did not build Egypt</w:t>
            </w:r>
          </w:p>
        </w:tc>
      </w:tr>
      <w:tr>
        <w:tblPrEx>
          <w:shd w:val="clear" w:color="auto" w:fill="ced7e7"/>
        </w:tblPrEx>
        <w:trPr>
          <w:trHeight w:val="479" w:hRule="atLeast"/>
        </w:trPr>
        <w:tc>
          <w:tcPr>
            <w:tcW w:type="dxa" w:w="28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0"/>
                <w:szCs w:val="20"/>
                <w:u w:color="000000"/>
                <w:shd w:val="nil" w:color="auto" w:fill="auto"/>
                <w:rtl w:val="0"/>
                <w:lang w:val="en-US"/>
              </w:rPr>
              <w:t>Correct conclusion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Same face; different civilization</w:t>
            </w:r>
          </w:p>
        </w:tc>
        <w:tc>
          <w:tcPr>
            <w:tcW w:type="dxa" w:w="32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0"/>
                <w:szCs w:val="20"/>
                <w:u w:color="000000"/>
                <w:shd w:val="nil" w:color="auto" w:fill="auto"/>
                <w:rtl w:val="0"/>
                <w:lang w:val="en-US"/>
              </w:rPr>
              <w:t>Same gradient face; different symbolic load</w:t>
            </w:r>
          </w:p>
        </w:tc>
      </w:tr>
    </w:tbl>
    <w:p>
      <w:pPr>
        <w:pStyle w:val="Heading"/>
        <w:widowControl w:val="0"/>
        <w:jc w:val="both"/>
        <w:rPr>
          <w:b w:val="0"/>
          <w:bCs w:val="0"/>
        </w:rPr>
      </w:pPr>
    </w:p>
    <w:p>
      <w:pPr>
        <w:pStyle w:val="Heading"/>
        <w:widowControl w:val="0"/>
        <w:jc w:val="both"/>
        <w:rPr>
          <w:b w:val="0"/>
          <w:bCs w:val="0"/>
        </w:rPr>
      </w:pPr>
    </w:p>
    <w:p>
      <w:pPr>
        <w:pStyle w:val="Heading"/>
        <w:jc w:val="both"/>
        <w:rPr>
          <w:b w:val="0"/>
          <w:bCs w:val="0"/>
        </w:rPr>
      </w:pPr>
      <w:r>
        <w:rPr>
          <w:b w:val="0"/>
          <w:bCs w:val="0"/>
          <w:rtl w:val="0"/>
          <w:lang w:val="en-US"/>
        </w:rPr>
        <w:t>7. Discussion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convergence of genomic, craniometric, and symbolic data in this paper establishes three analytically independent conclusions that collectively close the argument.</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First, the genetic record is unambiguous. The Old Kingdom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pyramid builders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were genetically rooted in North African Neolithic and West Asian ancestry, with no detectable sub-Saharan component. The sub-Saharan ancestry present in modern Egyptians entered the population predominantly after the Roman period, through mechanisms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Nile trade, trans-Saharan exchange, demographic movement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that are precisely the connectivity signatures DSSM predicts for a Stage 4 civilizational hub. The genetic diversity of modern Egyptians is not dilution; it is the genomic trace of the civilizational connectivity that made Egypt what it was.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Second, the phenotypic record supports rather than challenges this conclusion. Upper Egyptians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geographic origin of the pharaonic tradition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do display darker phenotypes than Lower Egyptians. This is a UV/latitude effect on a continuous geographic cline, not evidence of sub-Saharan ancestry. The Sphinx, if it represents an Upper Egyptian phenotype, is darker than a Delta Egyptian would be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categorically distinct from a West African or Southern African phenotype. The Egyptians' own canonical depictions confirm this distinction explicitly.</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Third, the symbolic record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the DSSM analysis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provides the deepest resolution. Phenotype and genetic ancestry describe what a population looked like and where it came from. Symbolic load describes what it built and why. Egypt's 12/12 FCP score and Kush's approximate 6/12 FCP score are not measurements of human worth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they are measurements of the depth, redundancy, and institutional density of the symbolic systems each civilization generated. The gap between them is not a racial hierarchy; it is a structural fact about the historical record, explicable by the DSSM mechanism of Stage 3 threshold crossing and the transmission fidelity model. Egypt crossed Stage 3 at Naqada II because its population density and trade connectivity forced externalization; Kush's smaller effective community sizes and lower connectivity meant it did not face equivalent pressure.</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Nubian pyramids, in this light, are not evidence against this argument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they are its confirmation. They prove that the human capacity to build pyramid structures existed across the Nile Valley region. What they demonstrate simultaneously, through their scale, their chronology, their derivative geometry, and their symbolic thinness, is that the symbolic infrastructure to generate the Egyptian pyramid tradition was not present in Kush independently. The capacity was there. The symbolic load was not.</w:t>
      </w:r>
    </w:p>
    <w:p>
      <w:pPr>
        <w:pStyle w:val="Heading"/>
        <w:jc w:val="both"/>
        <w:rPr>
          <w:b w:val="0"/>
          <w:bCs w:val="0"/>
        </w:rPr>
      </w:pPr>
    </w:p>
    <w:p>
      <w:pPr>
        <w:pStyle w:val="Heading"/>
        <w:jc w:val="both"/>
        <w:rPr>
          <w:b w:val="0"/>
          <w:bCs w:val="0"/>
        </w:rPr>
      </w:pPr>
    </w:p>
    <w:p>
      <w:pPr>
        <w:pStyle w:val="Heading"/>
        <w:jc w:val="both"/>
        <w:rPr>
          <w:b w:val="0"/>
          <w:bCs w:val="0"/>
        </w:rPr>
      </w:pPr>
      <w:r>
        <w:rPr>
          <w:b w:val="0"/>
          <w:bCs w:val="0"/>
          <w:rtl w:val="0"/>
          <w:lang w:val="it-IT"/>
        </w:rPr>
        <w:t>8. Conclusion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This paper has argued that phenotype is geography and civilization is symbolic infrastructure, and that these two variables should never be conflated. The Nile Valley presents a continuous biological cline from the Mediterranean coast to the Horn of Africa, driven by UV physics and shaped by Neolithic population movements. Populations at different points on this cline display different skin pigmentation, different degrees of Near Eastern admixture, and different degrees of Nilotic ancestry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they always have. None of this constitutes evidence of sub-Saharan identity for the pyramid builders.</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The pharaonic tradition was Upper Egyptian in origin. Upper Egyptians were darker-skinned than Delta Egyptians, as the gradient predicts. The Sphinx, if it represents Upper Egyptian features, looks as it should look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that appearance places it firmly within the Northeast African/Nilotic phenotypic range, not the sub-Saharan range with which the Afrocentric argument conflates it. The Greeks and Italians who share facial morphology without sharing civilizational identity provide the structural proof: same face is not same civilization.</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Egypt belongs to Africa. Africa does not own Egypt's specific symbolic achievement. These two statements are simultaneously true, mutually consistent, and supported by independent lines of genomic, phenotypic, and symbolic evidence. The DSSM provides the framework within which this distinction is not merely asserted but operationalized, measured, and tested. The Nile Valley's civilizational story is African, indigenous, and irreducibly its own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and it is not available for appropriation by populations that played no part in generating it.</w:t>
      </w:r>
    </w:p>
    <w:p>
      <w:pPr>
        <w:pStyle w:val="Heading"/>
        <w:jc w:val="both"/>
        <w:rPr>
          <w:b w:val="0"/>
          <w:bCs w:val="0"/>
        </w:rPr>
      </w:pPr>
    </w:p>
    <w:p>
      <w:pPr>
        <w:pStyle w:val="Heading"/>
        <w:jc w:val="both"/>
        <w:rPr>
          <w:b w:val="0"/>
          <w:bCs w:val="0"/>
        </w:rPr>
      </w:pPr>
      <w:r>
        <w:rPr>
          <w:b w:val="0"/>
          <w:bCs w:val="0"/>
          <w:rtl w:val="0"/>
          <w:lang w:val="en-US"/>
        </w:rPr>
        <w:t>SDG Alignment Statement</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 xml:space="preserve">This research contributes to three United Nations Sustainable Development Goals. It supports SDG 4 (Quality Education) by advancing evidence-based methodology in cognitive archaeology and providing a replicable analytical framework for evaluating civilizational claims through genomic, phenotypic, and symbolic evidence. It engages with SDG 10 (Reduced Inequalities) by demonstrating that factual precision about ancient civilizations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 xml:space="preserve">including honest acknowledgment of African origins and indigenous symbolic achievement </w:t>
      </w:r>
      <w:r>
        <w:rPr>
          <w:b w:val="0"/>
          <w:bCs w:val="0"/>
          <w:outline w:val="0"/>
          <w:color w:val="000000"/>
          <w:sz w:val="24"/>
          <w:szCs w:val="24"/>
          <w:u w:color="000000"/>
          <w:rtl w:val="0"/>
          <w:lang w:val="en-US"/>
          <w14:textFill>
            <w14:solidFill>
              <w14:srgbClr w14:val="000000"/>
            </w14:solidFill>
          </w14:textFill>
        </w:rPr>
        <w:t xml:space="preserve">— </w:t>
      </w:r>
      <w:r>
        <w:rPr>
          <w:b w:val="0"/>
          <w:bCs w:val="0"/>
          <w:outline w:val="0"/>
          <w:color w:val="000000"/>
          <w:sz w:val="24"/>
          <w:szCs w:val="24"/>
          <w:u w:color="000000"/>
          <w:rtl w:val="0"/>
          <w:lang w:val="en-US"/>
          <w14:textFill>
            <w14:solidFill>
              <w14:srgbClr w14:val="000000"/>
            </w14:solidFill>
          </w14:textFill>
        </w:rPr>
        <w:t>serves the cause of historical justice more effectively than ideologically motivated misattribution. It contributes to SDG 16 (Peace, Justice and Strong Institutions) by providing an evidence-based foundation for discussions of ancient identity that reduce the space for motivated historical distortion, supporting informed public discourse about the deep human past.</w:t>
      </w:r>
    </w:p>
    <w:p>
      <w:pPr>
        <w:pStyle w:val="Heading"/>
        <w:jc w:val="both"/>
        <w:rPr>
          <w:b w:val="0"/>
          <w:bCs w:val="0"/>
        </w:rPr>
      </w:pPr>
    </w:p>
    <w:p>
      <w:pPr>
        <w:pStyle w:val="Heading"/>
        <w:jc w:val="both"/>
        <w:rPr>
          <w:b w:val="0"/>
          <w:bCs w:val="0"/>
        </w:rPr>
      </w:pPr>
      <w:r>
        <w:rPr>
          <w:b w:val="0"/>
          <w:bCs w:val="0"/>
          <w:rtl w:val="0"/>
          <w:lang w:val="en-US"/>
        </w:rPr>
        <w:t>AI Disclosure</w:t>
      </w:r>
    </w:p>
    <w:p>
      <w:pPr>
        <w:pStyle w:val="Heading"/>
        <w:jc w:val="both"/>
        <w:rPr>
          <w:b w:val="0"/>
          <w:bCs w:val="0"/>
        </w:rPr>
      </w:pPr>
      <w:r>
        <w:rPr>
          <w:b w:val="0"/>
          <w:bCs w:val="0"/>
          <w:outline w:val="0"/>
          <w:color w:val="000000"/>
          <w:sz w:val="24"/>
          <w:szCs w:val="24"/>
          <w:u w:color="000000"/>
          <w:rtl w:val="0"/>
          <w:lang w:val="en-US"/>
          <w14:textFill>
            <w14:solidFill>
              <w14:srgbClr w14:val="000000"/>
            </w14:solidFill>
          </w14:textFill>
        </w:rPr>
        <w:t>The author utilized Claude by Anthropic (claude.ai) as an AI research assistant for literature synthesis, argument stress-testing, and structural editing. All intellectual content, theoretical interpretations, and conclusions are the sole responsibility of the author, per COPE and Anthropic guidelines.</w:t>
      </w:r>
    </w:p>
    <w:p>
      <w:pPr>
        <w:pStyle w:val="Heading"/>
        <w:jc w:val="both"/>
        <w:rPr>
          <w:b w:val="0"/>
          <w:bCs w:val="0"/>
        </w:rPr>
      </w:pPr>
    </w:p>
    <w:p>
      <w:pPr>
        <w:pStyle w:val="Heading"/>
        <w:jc w:val="both"/>
        <w:rPr>
          <w:b w:val="0"/>
          <w:bCs w:val="0"/>
        </w:rPr>
      </w:pPr>
      <w:r>
        <w:rPr>
          <w:b w:val="0"/>
          <w:bCs w:val="0"/>
          <w:rtl w:val="0"/>
          <w:lang w:val="fr-FR"/>
        </w:rPr>
        <w:t>References</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Morez Jacobs, A. et al. (2025). Whole-genome ancestry of an Old Kingdom Egyptian. Nature, 644(8077), 714</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lang w:val="en-US"/>
          <w14:textFill>
            <w14:solidFill>
              <w14:srgbClr w14:val="000000"/>
            </w14:solidFill>
          </w14:textFill>
        </w:rPr>
        <w:t>721. https://doi.org/10.1038/s41586-025-09195-5</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Blanchet, C. et al. (2021). Rapid end of the Green Sahara 8,000 years ago. PLOS ONE. https://doi.org/10.1371/journal.pone.0260509</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Brace, C. L., Tracer, D. P., Yaroch, L. A., Robb, J., Brandt, K., &amp; Nelson, A. R. (1993). Clines and clusters versus 'race': A test in ancient Egypt and the case of a death on the Nile. American Journal of Physical Anthropology, 36(Suppl. 17), 1</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lang w:val="en-US"/>
          <w14:textFill>
            <w14:solidFill>
              <w14:srgbClr w14:val="000000"/>
            </w14:solidFill>
          </w14:textFill>
        </w:rPr>
        <w:t>31. https://doi.org/10.1002/ajpa.1330360603</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Dallmeyer, A., Claussen, M., Lorenz, S. J., &amp; Shanahan, T. (2020). The end of the African humid period as seen by a transient comprehensive Earth system model simulation of the last 8,000 years. Climate of the Past, 16, 117</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lang w:val="en-US"/>
          <w14:textFill>
            <w14:solidFill>
              <w14:srgbClr w14:val="000000"/>
            </w14:solidFill>
          </w14:textFill>
        </w:rPr>
        <w:t>140. https://doi.org/10.5194/cp-16-117-2020</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Gad, Y. Z. et al. (2021). Maternal and paternal lineages in ancient Egyptian royal mummies: A minisequencing study. Genes, 12(5), 733.</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Ghoneim, E. et al. (2024). The Egyptian pyramid chain was built along the now abandoned Ahramat Nile Branch. Communications Earth and Environment, 5, 233. https://doi.org/10.1038/s43247-024-01379-7</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Gurdasani, D. et al. (2015). The African Genome Variation Project shapes medical genetics in Africa. Nature, 517, 327</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332.</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Hassan, F. A. (1985). Radiocarbon chronology of Neolithic and Predynastic sites in Upper Egypt and the Delta. African Archaeological Review, 3, 95</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116.</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Hawass, Z. et al. (2010). Ancestry and pathology in King Tutankhamun's family. JAMA, 303(7), 638</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647.</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Hawass, Z. et al. (2012). Revisiting the harem conspiracy and death of Ramesses III: Anthropological, forensic, radiological, and genetic study. BMJ, 345, e8268.</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Hawass, Z., &amp; Lehner, M. (1997). Builders of the pyramids. Archaeology, 50(1), 30</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38.</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Hawass, Z., &amp; Saleem, S. N. (2016). Scanning the pharaohs: CT imaging of the New Kingdom royal mummies. AUC Press.</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Henn, B. M. et al. (2012). Genomic ancestry of North Africans supports back-to-Africa migrations. PLOS Genetics, 8(1), e1002397. https://doi.org/10.1371/journal.pgen.1002397</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Ikram, S., &amp; Dodson, A. (1998). The mummy in ancient Egypt: Equipping the dead for eternity. Thames &amp; Hudson.</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Jolly, D. et al. (1998). Biome reconstruction from pollen and plant macrofossil data for Africa and the Arabian peninsula at 0 and 6000 years. Journal of Biogeography, 25, 1007</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1027.</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Sirak, K. A. et al. (2021). Social stratification without genetic differentiation at the site of Kulubnarti in Christian Period Nubia. Nature Communications, 12, 7283. https://doi.org/10.1038/s41467-021-27356-8</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Lasisi, T., &amp; Shriver, M. D. (2018). Focus on African diversity confirms complexity of skin pigmentation genetics. Genome Biology, 19, 13.</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Lehner, M. (1997). The complete pyramids. Thames &amp; Hudson.</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Nature Africa. (2025). Mummy DNA sheds light on Egypt's diverse past. https://doi.org/10.1038/d44148-025-00259-2</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Pagani, L. et al. (2012). Ethiopian genetic diversity reveals linguistic stratification and complex influences on the Ethiopian gene pool. American Journal of Human Genetics, 91(1), 83</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96.</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Schoch, R. M. (1992). Redating the Great Sphinx of Giza. KMT: A Modern Journal of Ancient Egypt, 3(2), 52</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14:textFill>
            <w14:solidFill>
              <w14:srgbClr w14:val="000000"/>
            </w14:solidFill>
          </w14:textFill>
        </w:rPr>
        <w:t>59.</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Schuenemann, V. J. et al. (2017). Ancient Egyptian mummy genomes suggest an increase of sub-Saharan African ancestry in post-Roman periods. Nature Communications, 8, 15694. https://doi.org/10.1038/ncomms15694</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Dobon, B. et al. (2015). The genetics of East African populations: A Nilo-Saharan component in the African genetic landscape. Scientific Reports, 5, 9996. https://doi.org/10.1038/srep09996</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Skonieczny, C. et al. (2019). African humid periods triggered the reactivation of a large river system in Western Sahara. Nature Communications, 10, 2489. https://doi.org/10.1038/s41467-019-10420-x</w:t>
      </w:r>
    </w:p>
    <w:p>
      <w:pPr>
        <w:pStyle w:val="Heading"/>
        <w:jc w:val="both"/>
        <w:rPr>
          <w:b w:val="0"/>
          <w:bCs w:val="0"/>
          <w:sz w:val="20"/>
          <w:szCs w:val="20"/>
        </w:rPr>
      </w:pPr>
      <w:r>
        <w:rPr>
          <w:b w:val="0"/>
          <w:bCs w:val="0"/>
          <w:outline w:val="0"/>
          <w:color w:val="000000"/>
          <w:sz w:val="20"/>
          <w:szCs w:val="20"/>
          <w:u w:color="000000"/>
          <w:rtl w:val="0"/>
          <w:lang w:val="fr-FR"/>
          <w14:textFill>
            <w14:solidFill>
              <w14:srgbClr w14:val="000000"/>
            </w14:solidFill>
          </w14:textFill>
        </w:rPr>
        <w:t>Tallet, P. (2017). Les papyrus de la Mer Rouge I: Le 'Journal de Merer' (Papyrus Jarf A et B). Institut fran</w:t>
      </w:r>
      <w:r>
        <w:rPr>
          <w:b w:val="0"/>
          <w:bCs w:val="0"/>
          <w:outline w:val="0"/>
          <w:color w:val="000000"/>
          <w:sz w:val="20"/>
          <w:szCs w:val="20"/>
          <w:u w:color="000000"/>
          <w:rtl w:val="0"/>
          <w14:textFill>
            <w14:solidFill>
              <w14:srgbClr w14:val="000000"/>
            </w14:solidFill>
          </w14:textFill>
        </w:rPr>
        <w:t>ç</w:t>
      </w:r>
      <w:r>
        <w:rPr>
          <w:b w:val="0"/>
          <w:bCs w:val="0"/>
          <w:outline w:val="0"/>
          <w:color w:val="000000"/>
          <w:sz w:val="20"/>
          <w:szCs w:val="20"/>
          <w:u w:color="000000"/>
          <w:rtl w:val="0"/>
          <w:lang w:val="fr-FR"/>
          <w14:textFill>
            <w14:solidFill>
              <w14:srgbClr w14:val="000000"/>
            </w14:solidFill>
          </w14:textFill>
        </w:rPr>
        <w:t>ais d'arch</w:t>
      </w:r>
      <w:r>
        <w:rPr>
          <w:b w:val="0"/>
          <w:bCs w:val="0"/>
          <w:outline w:val="0"/>
          <w:color w:val="000000"/>
          <w:sz w:val="20"/>
          <w:szCs w:val="20"/>
          <w:u w:color="000000"/>
          <w:rtl w:val="0"/>
          <w:lang w:val="fr-FR"/>
          <w14:textFill>
            <w14:solidFill>
              <w14:srgbClr w14:val="000000"/>
            </w14:solidFill>
          </w14:textFill>
        </w:rPr>
        <w:t>é</w:t>
      </w:r>
      <w:r>
        <w:rPr>
          <w:b w:val="0"/>
          <w:bCs w:val="0"/>
          <w:outline w:val="0"/>
          <w:color w:val="000000"/>
          <w:sz w:val="20"/>
          <w:szCs w:val="20"/>
          <w:u w:color="000000"/>
          <w:rtl w:val="0"/>
          <w:lang w:val="fr-FR"/>
          <w14:textFill>
            <w14:solidFill>
              <w14:srgbClr w14:val="000000"/>
            </w14:solidFill>
          </w14:textFill>
        </w:rPr>
        <w:t>ologie orientale du Caire.</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Tierney, J. E., deMenocal, P. B., &amp; Zander, P. D. (2017). A climatic context for the out-of-Africa migration. Geology, 45(11), 1023</w:t>
      </w:r>
      <w:r>
        <w:rPr>
          <w:b w:val="0"/>
          <w:bCs w:val="0"/>
          <w:outline w:val="0"/>
          <w:color w:val="000000"/>
          <w:sz w:val="20"/>
          <w:szCs w:val="20"/>
          <w:u w:color="000000"/>
          <w:rtl w:val="0"/>
          <w14:textFill>
            <w14:solidFill>
              <w14:srgbClr w14:val="000000"/>
            </w14:solidFill>
          </w14:textFill>
        </w:rPr>
        <w:t>–</w:t>
      </w:r>
      <w:r>
        <w:rPr>
          <w:b w:val="0"/>
          <w:bCs w:val="0"/>
          <w:outline w:val="0"/>
          <w:color w:val="000000"/>
          <w:sz w:val="20"/>
          <w:szCs w:val="20"/>
          <w:u w:color="000000"/>
          <w:rtl w:val="0"/>
          <w:lang w:val="en-US"/>
          <w14:textFill>
            <w14:solidFill>
              <w14:srgbClr w14:val="000000"/>
            </w14:solidFill>
          </w14:textFill>
        </w:rPr>
        <w:t>1026. https://doi.org/10.1130/G39457.1</w:t>
      </w:r>
    </w:p>
    <w:p>
      <w:pPr>
        <w:pStyle w:val="Heading"/>
        <w:jc w:val="both"/>
        <w:rPr>
          <w:b w:val="0"/>
          <w:bCs w:val="0"/>
          <w:sz w:val="20"/>
          <w:szCs w:val="20"/>
        </w:rPr>
      </w:pPr>
      <w:r>
        <w:rPr>
          <w:b w:val="0"/>
          <w:bCs w:val="0"/>
          <w:outline w:val="0"/>
          <w:color w:val="000000"/>
          <w:sz w:val="20"/>
          <w:szCs w:val="20"/>
          <w:u w:color="000000"/>
          <w:rtl w:val="0"/>
          <w:lang w:val="en-US"/>
          <w14:textFill>
            <w14:solidFill>
              <w14:srgbClr w14:val="000000"/>
            </w14:solidFill>
          </w14:textFill>
        </w:rPr>
        <w:t>Vondoom, A. (in press). Cognitive foundations of early Egyptian civilization: Insights from the Deep Symbolic Systems Model (DSSM). IWNW: Journal of Archaeology, Ain Shams University, Cairo (2027 edition). https://doi.org/10.21608/IWNW.2026.464676.1075</w:t>
      </w:r>
    </w:p>
    <w:p>
      <w:pPr>
        <w:pStyle w:val="Heading"/>
        <w:jc w:val="both"/>
      </w:pPr>
      <w:r>
        <w:rPr>
          <w:b w:val="0"/>
          <w:bCs w:val="0"/>
          <w:outline w:val="0"/>
          <w:color w:val="000000"/>
          <w:sz w:val="20"/>
          <w:szCs w:val="20"/>
          <w:u w:color="000000"/>
          <w:rtl w:val="0"/>
          <w:lang w:val="en-US"/>
          <w14:textFill>
            <w14:solidFill>
              <w14:srgbClr w14:val="000000"/>
            </w14:solidFill>
          </w14:textFill>
        </w:rPr>
        <w:t>Vondoom, A. (2026). The Great Pyramid of Khufu: A coordinated construction model grounded in the archaeological record. Figshare. https://doi.org/10.6084/m9.figshare.32292771</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2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2e75b6"/>
      <w:spacing w:val="0"/>
      <w:kern w:val="0"/>
      <w:position w:val="0"/>
      <w:sz w:val="28"/>
      <w:szCs w:val="28"/>
      <w:u w:val="none" w:color="2e75b6"/>
      <w:shd w:val="nil" w:color="auto" w:fill="auto"/>
      <w:vertAlign w:val="baseline"/>
      <w:lang w:val="de-DE"/>
      <w14:textOutline>
        <w14:noFill/>
      </w14:textOutline>
      <w14:textFill>
        <w14:solidFill>
          <w14:srgbClr w14:val="2E75B6"/>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2e75b6"/>
      <w:spacing w:val="0"/>
      <w:kern w:val="0"/>
      <w:position w:val="0"/>
      <w:sz w:val="26"/>
      <w:szCs w:val="26"/>
      <w:u w:val="none" w:color="2e75b6"/>
      <w:shd w:val="nil" w:color="auto" w:fill="auto"/>
      <w:vertAlign w:val="baseline"/>
      <w:lang w:val="nl-NL"/>
      <w14:textOutline>
        <w14:noFill/>
      </w14:textOutline>
      <w14:textFill>
        <w14:solidFill>
          <w14:srgbClr w14:val="2E75B6"/>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