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64"/>
          <w:szCs w:val="64"/>
        </w:rPr>
      </w:pPr>
      <w:r>
        <w:rPr>
          <w:rFonts w:ascii="Verdana" w:hAnsi="Verdana"/>
          <w:sz w:val="64"/>
          <w:szCs w:val="64"/>
          <w:rtl w:val="0"/>
          <w:lang w:val="en-US"/>
        </w:rPr>
        <w:t>FROM BLOMBOS TO FA HIEN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30"/>
          <w:szCs w:val="30"/>
        </w:rPr>
      </w:pPr>
      <w:r>
        <w:rPr>
          <w:rFonts w:ascii="Verdana" w:hAnsi="Verdana"/>
          <w:i w:val="1"/>
          <w:iCs w:val="1"/>
          <w:sz w:val="30"/>
          <w:szCs w:val="30"/>
          <w:rtl w:val="0"/>
          <w:lang w:val="en-US"/>
        </w:rPr>
        <w:t>Symbolic Persistence Along the Southern Dispersal Corridor, 100,000</w:t>
      </w:r>
      <w:r>
        <w:rPr>
          <w:rFonts w:ascii="Verdana" w:hAnsi="Verdana" w:hint="default"/>
          <w:i w:val="1"/>
          <w:iCs w:val="1"/>
          <w:sz w:val="30"/>
          <w:szCs w:val="30"/>
          <w:rtl w:val="0"/>
        </w:rPr>
        <w:t>–</w:t>
      </w:r>
      <w:r>
        <w:rPr>
          <w:rFonts w:ascii="Verdana" w:hAnsi="Verdana"/>
          <w:i w:val="1"/>
          <w:iCs w:val="1"/>
          <w:sz w:val="30"/>
          <w:szCs w:val="30"/>
          <w:rtl w:val="0"/>
          <w:lang w:val="en-US"/>
        </w:rPr>
        <w:t>40,000 BP</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6"/>
          <w:szCs w:val="26"/>
        </w:rPr>
      </w:pPr>
      <w:r>
        <w:rPr>
          <w:rFonts w:ascii="Verdana" w:hAnsi="Verdana"/>
          <w:i w:val="1"/>
          <w:iCs w:val="1"/>
          <w:sz w:val="26"/>
          <w:szCs w:val="26"/>
          <w:rtl w:val="0"/>
          <w:lang w:val="en-US"/>
        </w:rPr>
        <w:t>A DSSM Corridor Analysis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r>
        <w:rPr>
          <w:rFonts w:ascii="Verdana" w:hAnsi="Verdana"/>
          <w:sz w:val="26"/>
          <w:szCs w:val="26"/>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6"/>
          <w:szCs w:val="26"/>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4"/>
          <w:szCs w:val="24"/>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en-US"/>
        </w:rPr>
        <w:t xml:space="preserve">ORCID: 0009-0003-4953-1427 | anthony.vondoom@outlook.com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Heading"/>
      </w:pPr>
      <w:r>
        <w:rPr>
          <w:rtl w:val="0"/>
        </w:rPr>
        <w:t>Abstract</w:t>
      </w:r>
    </w:p>
    <w:p>
      <w:pPr>
        <w:pStyle w:val="Heading"/>
        <w:rPr>
          <w:rFonts w:ascii="Verdana" w:cs="Verdana" w:hAnsi="Verdana" w:eastAsia="Verdana"/>
          <w:b w:val="0"/>
          <w:bCs w:val="0"/>
        </w:rPr>
      </w:pPr>
      <w:r>
        <w:rPr>
          <w:rFonts w:ascii="Verdana" w:hAnsi="Verdana"/>
          <w:b w:val="0"/>
          <w:bCs w:val="0"/>
          <w:sz w:val="24"/>
          <w:szCs w:val="24"/>
          <w:rtl w:val="0"/>
          <w:lang w:val="en-US"/>
        </w:rPr>
        <w:t>This paper applies the Deep Symbolic Systems Model (DSSM) to the southern coastal dispersal corridor connecting sub-Saharan Africa to South Asia between approximately 100,000 and 40,000 BP. Beginning with the fully stabilized symbolic system documented at Blombos Cave (~100</w:t>
      </w:r>
      <w:r>
        <w:rPr>
          <w:rFonts w:ascii="Verdana" w:hAnsi="Verdana" w:hint="default"/>
          <w:b w:val="0"/>
          <w:bCs w:val="0"/>
          <w:sz w:val="24"/>
          <w:szCs w:val="24"/>
          <w:rtl w:val="0"/>
        </w:rPr>
        <w:t>–</w:t>
      </w:r>
      <w:r>
        <w:rPr>
          <w:rFonts w:ascii="Verdana" w:hAnsi="Verdana"/>
          <w:b w:val="0"/>
          <w:bCs w:val="0"/>
          <w:sz w:val="24"/>
          <w:szCs w:val="24"/>
          <w:rtl w:val="0"/>
          <w:lang w:val="en-US"/>
        </w:rPr>
        <w:t>70 ka) and ending with the earliest secure occupation of Sri Lanka at Fa Hien Cave (~45 ka), the paper reconstructs the symbolic conditions under which modern human populations moved along the Indian Ocean coastline, crossed the Bab-el-Mandeb strait, transited the Arabian Peninsula and Indian subcontinent margins, and established occupation at the southern terminus of the connected pre-LGM landmass. The Toba super-eruption (~74 ka) is analyzed as a stress-test for symbolic persistence along the corridor, with evidence suggesting that DSSM-stabilized populations survived the bottleneck while less symbolically robust groups did not. The paper argues that the corridor was not merely a migration route but a symbolic transmission environment: a geographically constrained coastline along which portable symbolic anchors, microlithic technological grammars, and symbolic practices were carried, compressed under ecological stress, and deposited at the corridor</w:t>
      </w:r>
      <w:r>
        <w:rPr>
          <w:rFonts w:ascii="Verdana" w:hAnsi="Verdana" w:hint="default"/>
          <w:b w:val="0"/>
          <w:bCs w:val="0"/>
          <w:sz w:val="24"/>
          <w:szCs w:val="24"/>
          <w:rtl w:val="1"/>
        </w:rPr>
        <w:t>’</w:t>
      </w:r>
      <w:r>
        <w:rPr>
          <w:rFonts w:ascii="Verdana" w:hAnsi="Verdana"/>
          <w:b w:val="0"/>
          <w:bCs w:val="0"/>
          <w:sz w:val="24"/>
          <w:szCs w:val="24"/>
          <w:rtl w:val="0"/>
          <w:lang w:val="en-US"/>
        </w:rPr>
        <w:t>s southern end. Fa Hien Cave is reframed not as an arrival point but as a preservation window into a symbolic system that had been accumulating and transmitting for 60,000 years of coastal movement. The paper sits between the African papers in this corpus (Bruniquel, Omo Kibish, Blombos) and the South Asian papers (Symbolic Continuity Without Monumentality, The Ramayana</w:t>
      </w:r>
      <w:r>
        <w:rPr>
          <w:rFonts w:ascii="Verdana" w:hAnsi="Verdana" w:hint="default"/>
          <w:b w:val="0"/>
          <w:bCs w:val="0"/>
          <w:sz w:val="24"/>
          <w:szCs w:val="24"/>
          <w:rtl w:val="1"/>
        </w:rPr>
        <w:t>’</w:t>
      </w:r>
      <w:r>
        <w:rPr>
          <w:rFonts w:ascii="Verdana" w:hAnsi="Verdana"/>
          <w:b w:val="0"/>
          <w:bCs w:val="0"/>
          <w:sz w:val="24"/>
          <w:szCs w:val="24"/>
          <w:rtl w:val="0"/>
          <w:lang w:val="en-US"/>
        </w:rPr>
        <w:t>s Southern Geography, Ravana</w:t>
      </w:r>
      <w:r>
        <w:rPr>
          <w:rFonts w:ascii="Verdana" w:hAnsi="Verdana" w:hint="default"/>
          <w:b w:val="0"/>
          <w:bCs w:val="0"/>
          <w:sz w:val="24"/>
          <w:szCs w:val="24"/>
          <w:rtl w:val="1"/>
        </w:rPr>
        <w:t>’</w:t>
      </w:r>
      <w:r>
        <w:rPr>
          <w:rFonts w:ascii="Verdana" w:hAnsi="Verdana"/>
          <w:b w:val="0"/>
          <w:bCs w:val="0"/>
          <w:sz w:val="24"/>
          <w:szCs w:val="24"/>
          <w:rtl w:val="0"/>
          <w:lang w:val="en-US"/>
        </w:rPr>
        <w:t>s Lanka), providing the connective tissue between them.</w:t>
      </w:r>
    </w:p>
    <w:p>
      <w:pPr>
        <w:pStyle w:val="Heading"/>
        <w:rPr>
          <w:rFonts w:ascii="Verdana" w:cs="Verdana" w:hAnsi="Verdana" w:eastAsia="Verdana"/>
          <w:b w:val="0"/>
          <w:bCs w:val="0"/>
          <w:i w:val="1"/>
          <w:iCs w:val="1"/>
        </w:rPr>
      </w:pPr>
      <w:r>
        <w:rPr>
          <w:rFonts w:ascii="Verdana" w:hAnsi="Verdana"/>
          <w:b w:val="1"/>
          <w:bCs w:val="1"/>
          <w:sz w:val="24"/>
          <w:szCs w:val="24"/>
          <w:rtl w:val="0"/>
          <w:lang w:val="en-US"/>
        </w:rPr>
        <w:t>Keywords</w:t>
      </w:r>
      <w:r>
        <w:rPr>
          <w:rFonts w:ascii="Verdana" w:hAnsi="Verdana"/>
          <w:b w:val="0"/>
          <w:bCs w:val="0"/>
          <w:sz w:val="24"/>
          <w:szCs w:val="24"/>
          <w:rtl w:val="0"/>
        </w:rPr>
        <w:t xml:space="preserve">: </w:t>
      </w:r>
      <w:r>
        <w:rPr>
          <w:rFonts w:ascii="Verdana" w:hAnsi="Verdana"/>
          <w:b w:val="0"/>
          <w:bCs w:val="0"/>
          <w:i w:val="1"/>
          <w:iCs w:val="1"/>
          <w:sz w:val="24"/>
          <w:szCs w:val="24"/>
          <w:rtl w:val="0"/>
          <w:lang w:val="en-US"/>
        </w:rPr>
        <w:t>southern dispersal corridor, Blombos Cave, Fa Hien Cave, Toba super-eruption, DSSM, symbolic persistence, Bab-el-Mandeb, Indian Ocean coastline, portable symbolic anchors, microlithic tradition, pre-LGM geography, symbolic compression</w:t>
      </w:r>
    </w:p>
    <w:p>
      <w:pPr>
        <w:pStyle w:val="Heading"/>
        <w:rPr>
          <w:rFonts w:ascii="Verdana" w:cs="Verdana" w:hAnsi="Verdana" w:eastAsia="Verdana"/>
          <w:i w:val="1"/>
          <w:iCs w:val="1"/>
        </w:rPr>
      </w:pPr>
    </w:p>
    <w:p>
      <w:pPr>
        <w:pStyle w:val="Heading"/>
        <w:rPr>
          <w:rFonts w:ascii="Verdana" w:cs="Verdana" w:hAnsi="Verdana" w:eastAsia="Verdana"/>
          <w:i w:val="1"/>
          <w:iCs w:val="1"/>
        </w:rPr>
      </w:pPr>
    </w:p>
    <w:p>
      <w:pPr>
        <w:pStyle w:val="Heading"/>
        <w:rPr>
          <w:rFonts w:ascii="Verdana" w:cs="Verdana" w:hAnsi="Verdana" w:eastAsia="Verdana"/>
          <w:i w:val="1"/>
          <w:iCs w:val="1"/>
        </w:rPr>
      </w:pPr>
    </w:p>
    <w:p>
      <w:pPr>
        <w:pStyle w:val="Heading"/>
        <w:rPr>
          <w:rFonts w:ascii="Verdana" w:cs="Verdana" w:hAnsi="Verdana" w:eastAsia="Verdana"/>
          <w:i w:val="1"/>
          <w:iCs w:val="1"/>
        </w:rPr>
      </w:pPr>
    </w:p>
    <w:p>
      <w:pPr>
        <w:pStyle w:val="Heading"/>
        <w:rPr>
          <w:rFonts w:ascii="Verdana" w:cs="Verdana" w:hAnsi="Verdana" w:eastAsia="Verdana"/>
          <w:i w:val="1"/>
          <w:iCs w:val="1"/>
        </w:rPr>
      </w:pPr>
    </w:p>
    <w:p>
      <w:pPr>
        <w:pStyle w:val="Heading"/>
        <w:rPr>
          <w:rFonts w:ascii="Verdana" w:cs="Verdana" w:hAnsi="Verdana" w:eastAsia="Verdana"/>
        </w:rPr>
      </w:pPr>
      <w:r>
        <w:rPr>
          <w:rFonts w:ascii="Verdana" w:hAnsi="Verdana"/>
          <w:rtl w:val="0"/>
          <w:lang w:val="fr-FR"/>
        </w:rPr>
        <w:t>1. Introduction</w:t>
      </w:r>
    </w:p>
    <w:p>
      <w:pPr>
        <w:pStyle w:val="Heading"/>
        <w:rPr>
          <w:rFonts w:ascii="Verdana" w:cs="Verdana" w:hAnsi="Verdana" w:eastAsia="Verdana"/>
          <w:b w:val="0"/>
          <w:bCs w:val="0"/>
        </w:rPr>
      </w:pPr>
      <w:r>
        <w:rPr>
          <w:rFonts w:ascii="Verdana" w:hAnsi="Verdana"/>
          <w:b w:val="0"/>
          <w:bCs w:val="0"/>
          <w:sz w:val="24"/>
          <w:szCs w:val="24"/>
          <w:rtl w:val="0"/>
          <w:lang w:val="en-US"/>
        </w:rPr>
        <w:t>The southern dispersal of modern humans out of Africa is among the most consequential population movements in the archaeological record. Genetic, skeletal, and material evidence converges on a coastal route through the Horn of Africa, across the Bab-el-Mandeb strait at reduced sea levels, and eastward along the Arabian and South Asian coastlines toward Southeast Asia and Sahul. What this literature has addressed extensively in terms of population genetics and lithic technology, it has addressed less systematically in terms of symbolic cognition: what did the people moving along this corridor carry with them that was not made of stone?</w:t>
      </w:r>
    </w:p>
    <w:p>
      <w:pPr>
        <w:pStyle w:val="Heading"/>
        <w:rPr>
          <w:rFonts w:ascii="Verdana" w:cs="Verdana" w:hAnsi="Verdana" w:eastAsia="Verdana"/>
          <w:b w:val="0"/>
          <w:bCs w:val="0"/>
        </w:rPr>
      </w:pPr>
      <w:r>
        <w:rPr>
          <w:rFonts w:ascii="Verdana" w:hAnsi="Verdana"/>
          <w:b w:val="0"/>
          <w:bCs w:val="0"/>
          <w:sz w:val="24"/>
          <w:szCs w:val="24"/>
          <w:rtl w:val="0"/>
          <w:lang w:val="en-US"/>
        </w:rPr>
        <w:t>The Deep Symbolic Systems Model (DSSM) provides a framework for that question.</w:t>
      </w:r>
    </w:p>
    <w:p>
      <w:pPr>
        <w:pStyle w:val="Heading"/>
        <w:rPr>
          <w:rFonts w:ascii="Verdana" w:cs="Verdana" w:hAnsi="Verdana" w:eastAsia="Verdana"/>
          <w:b w:val="0"/>
          <w:bCs w:val="0"/>
        </w:rPr>
      </w:pPr>
      <w:r>
        <w:rPr>
          <w:rFonts w:ascii="Verdana" w:hAnsi="Verdana"/>
          <w:b w:val="0"/>
          <w:bCs w:val="0"/>
          <w:sz w:val="24"/>
          <w:szCs w:val="24"/>
          <w:rtl w:val="0"/>
          <w:lang w:val="en-US"/>
        </w:rPr>
        <w:t>This paper does not reconstruct the content of beliefs or rituals carried along the corridor. It traces the structural conditions under which symbolic systems could have been maintained across 60,000 years of coastal movement and multiple ecological disruptions, and identifies the material signatures that the archaeological record preserves at the corridor</w:t>
      </w:r>
      <w:r>
        <w:rPr>
          <w:rFonts w:ascii="Verdana" w:hAnsi="Verdana" w:hint="default"/>
          <w:b w:val="0"/>
          <w:bCs w:val="0"/>
          <w:sz w:val="24"/>
          <w:szCs w:val="24"/>
          <w:rtl w:val="1"/>
        </w:rPr>
        <w:t>’</w:t>
      </w:r>
      <w:r>
        <w:rPr>
          <w:rFonts w:ascii="Verdana" w:hAnsi="Verdana"/>
          <w:b w:val="0"/>
          <w:bCs w:val="0"/>
          <w:sz w:val="24"/>
          <w:szCs w:val="24"/>
          <w:rtl w:val="0"/>
          <w:lang w:val="en-US"/>
        </w:rPr>
        <w:t>s anchor points.</w:t>
      </w:r>
    </w:p>
    <w:p>
      <w:pPr>
        <w:pStyle w:val="Heading"/>
        <w:rPr>
          <w:rFonts w:ascii="Verdana" w:cs="Verdana" w:hAnsi="Verdana" w:eastAsia="Verdana"/>
        </w:rPr>
      </w:pPr>
      <w:r>
        <w:rPr>
          <w:rFonts w:ascii="Verdana" w:hAnsi="Verdana"/>
          <w:rtl w:val="0"/>
          <w:lang w:val="en-US"/>
        </w:rPr>
        <w:t>2. The Corridor: Geography and Constraints</w:t>
      </w:r>
    </w:p>
    <w:p>
      <w:pPr>
        <w:pStyle w:val="Heading 2"/>
        <w:rPr>
          <w:rFonts w:ascii="Verdana" w:cs="Verdana" w:hAnsi="Verdana" w:eastAsia="Verdana"/>
        </w:rPr>
      </w:pPr>
      <w:r>
        <w:rPr>
          <w:rFonts w:ascii="Verdana" w:hAnsi="Verdana"/>
          <w:rtl w:val="0"/>
          <w:lang w:val="en-US"/>
        </w:rPr>
        <w:t>2.1 Physical Structure of the Route</w:t>
      </w:r>
    </w:p>
    <w:p>
      <w:pPr>
        <w:pStyle w:val="Heading 2"/>
        <w:rPr>
          <w:rFonts w:ascii="Verdana" w:cs="Verdana" w:hAnsi="Verdana" w:eastAsia="Verdana"/>
          <w:b w:val="0"/>
          <w:bCs w:val="0"/>
        </w:rPr>
      </w:pPr>
      <w:r>
        <w:rPr>
          <w:rFonts w:ascii="Verdana" w:hAnsi="Verdana"/>
          <w:b w:val="0"/>
          <w:bCs w:val="0"/>
          <w:sz w:val="24"/>
          <w:szCs w:val="24"/>
          <w:rtl w:val="0"/>
          <w:lang w:val="en-US"/>
        </w:rPr>
        <w:t>The southern dispersal corridor ran along coastlines that no longer exist. At sea levels 60</w:t>
      </w:r>
      <w:r>
        <w:rPr>
          <w:rFonts w:ascii="Verdana" w:hAnsi="Verdana" w:hint="default"/>
          <w:b w:val="0"/>
          <w:bCs w:val="0"/>
          <w:sz w:val="24"/>
          <w:szCs w:val="24"/>
          <w:rtl w:val="0"/>
        </w:rPr>
        <w:t>–</w:t>
      </w:r>
      <w:r>
        <w:rPr>
          <w:rFonts w:ascii="Verdana" w:hAnsi="Verdana"/>
          <w:b w:val="0"/>
          <w:bCs w:val="0"/>
          <w:sz w:val="24"/>
          <w:szCs w:val="24"/>
          <w:rtl w:val="0"/>
          <w:lang w:val="en-US"/>
        </w:rPr>
        <w:t xml:space="preserve">120 metres below present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characteristic of glacial periods throughout the Late Pleistocene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the continental shelves of the Arabian Peninsula, India, and Sri Lanka were exposed as habitable land. Three geographic bottlenecks structured movement along the corridor. The Bab-el-Mandeb strait between the Horn of Africa and the Arabian Peninsula narrowed to approximately 11 kilometres at glacial low stands, making crossing feasible without open-ocean navigation (Stringer, 2000). The strait between southern Arabia and the Indian subcontinent was similarly reduced. And at the corridor</w:t>
      </w:r>
      <w:r>
        <w:rPr>
          <w:rFonts w:ascii="Verdana" w:hAnsi="Verdana" w:hint="default"/>
          <w:b w:val="0"/>
          <w:bCs w:val="0"/>
          <w:sz w:val="24"/>
          <w:szCs w:val="24"/>
          <w:rtl w:val="1"/>
        </w:rPr>
        <w:t>’</w:t>
      </w:r>
      <w:r>
        <w:rPr>
          <w:rFonts w:ascii="Verdana" w:hAnsi="Verdana"/>
          <w:b w:val="0"/>
          <w:bCs w:val="0"/>
          <w:sz w:val="24"/>
          <w:szCs w:val="24"/>
          <w:rtl w:val="0"/>
          <w:lang w:val="en-US"/>
        </w:rPr>
        <w:t xml:space="preserve">s eastern end, the Palk Strait between southern India and Sri Lanka was not a strait at all during glacial maxima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it was dry land, with Lanka forming the southern terminus of a connected subcontinent.</w:t>
      </w: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r>
        <w:rPr>
          <w:rFonts w:ascii="Verdana" w:hAnsi="Verdana"/>
          <w:b w:val="0"/>
          <w:bCs w:val="0"/>
          <w:sz w:val="24"/>
          <w:szCs w:val="24"/>
          <w:rtl w:val="0"/>
          <w:lang w:val="en-US"/>
        </w:rPr>
        <w:t>Table 1 summarizes the corridor</w:t>
      </w:r>
      <w:r>
        <w:rPr>
          <w:rFonts w:ascii="Verdana" w:hAnsi="Verdana" w:hint="default"/>
          <w:b w:val="0"/>
          <w:bCs w:val="0"/>
          <w:sz w:val="24"/>
          <w:szCs w:val="24"/>
          <w:rtl w:val="1"/>
        </w:rPr>
        <w:t>’</w:t>
      </w:r>
      <w:r>
        <w:rPr>
          <w:rFonts w:ascii="Verdana" w:hAnsi="Verdana"/>
          <w:b w:val="0"/>
          <w:bCs w:val="0"/>
          <w:sz w:val="24"/>
          <w:szCs w:val="24"/>
          <w:rtl w:val="0"/>
          <w:lang w:val="en-US"/>
        </w:rPr>
        <w:t>s key events, sea level conditions, and geographic status across the paper</w:t>
      </w:r>
      <w:r>
        <w:rPr>
          <w:rFonts w:ascii="Verdana" w:hAnsi="Verdana" w:hint="default"/>
          <w:b w:val="0"/>
          <w:bCs w:val="0"/>
          <w:sz w:val="24"/>
          <w:szCs w:val="24"/>
          <w:rtl w:val="1"/>
        </w:rPr>
        <w:t>’</w:t>
      </w:r>
      <w:r>
        <w:rPr>
          <w:rFonts w:ascii="Verdana" w:hAnsi="Verdana"/>
          <w:b w:val="0"/>
          <w:bCs w:val="0"/>
          <w:sz w:val="24"/>
          <w:szCs w:val="24"/>
          <w:rtl w:val="0"/>
          <w:lang w:val="pt-PT"/>
        </w:rPr>
        <w:t>s temporal frame.</w:t>
      </w:r>
    </w:p>
    <w:p>
      <w:pPr>
        <w:pStyle w:val="Heading 2"/>
        <w:rPr>
          <w:rFonts w:ascii="Verdana" w:cs="Verdana" w:hAnsi="Verdana" w:eastAsia="Verdana"/>
          <w:b w:val="0"/>
          <w:bCs w:val="0"/>
          <w:i w:val="1"/>
          <w:iCs w:val="1"/>
        </w:rPr>
      </w:pPr>
      <w:r>
        <w:rPr>
          <w:rFonts w:ascii="Verdana" w:hAnsi="Verdana"/>
          <w:b w:val="0"/>
          <w:bCs w:val="0"/>
          <w:i w:val="1"/>
          <w:iCs w:val="1"/>
          <w:sz w:val="24"/>
          <w:szCs w:val="24"/>
          <w:rtl w:val="0"/>
          <w:lang w:val="en-US"/>
        </w:rPr>
        <w:t>Table 1. Southern Dispersal Corridor: Key Events and Geographic Conditions</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60"/>
        <w:gridCol w:w="2340"/>
        <w:gridCol w:w="2340"/>
        <w:gridCol w:w="3120"/>
      </w:tblGrid>
      <w:tr>
        <w:tblPrEx>
          <w:shd w:val="clear" w:color="auto" w:fill="ced7e7"/>
        </w:tblPrEx>
        <w:trPr>
          <w:trHeight w:val="253"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5e8f0"/>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2"/>
                <w:szCs w:val="22"/>
                <w:u w:color="000000"/>
                <w:shd w:val="nil" w:color="auto" w:fill="auto"/>
                <w:rtl w:val="0"/>
                <w:lang w:val="es-ES_tradnl"/>
              </w:rPr>
              <w:t>Period</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Event</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Sea Level</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b w:val="1"/>
                <w:bCs w:val="1"/>
                <w:sz w:val="22"/>
                <w:szCs w:val="22"/>
                <w:u w:color="000000"/>
                <w:shd w:val="nil" w:color="auto" w:fill="auto"/>
                <w:rtl w:val="0"/>
                <w:lang w:val="pt-PT"/>
              </w:rPr>
              <w:t>Corridor Status</w:t>
            </w:r>
          </w:p>
        </w:tc>
      </w:tr>
      <w:tr>
        <w:tblPrEx>
          <w:shd w:val="clear" w:color="auto" w:fill="ced7e7"/>
        </w:tblPrEx>
        <w:trPr>
          <w:trHeight w:val="539"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~200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 xml:space="preserve">Omo Kibish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earliest sapiens</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fr-FR"/>
              </w:rPr>
              <w:t>Variable</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African coastal occupation established</w:t>
            </w:r>
          </w:p>
        </w:tc>
      </w:tr>
      <w:tr>
        <w:tblPrEx>
          <w:shd w:val="clear" w:color="auto" w:fill="ced7e7"/>
        </w:tblPrEx>
        <w:trPr>
          <w:trHeight w:val="539"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~100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70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pt-PT"/>
              </w:rPr>
              <w:t xml:space="preserve">Blombos Cave </w:t>
            </w:r>
            <w:r>
              <w:rPr>
                <w:rFonts w:ascii="Arial" w:hAnsi="Arial" w:hint="default"/>
                <w:sz w:val="22"/>
                <w:szCs w:val="22"/>
                <w:u w:color="000000"/>
                <w:shd w:val="nil" w:color="auto" w:fill="auto"/>
                <w:rtl w:val="0"/>
                <w:lang w:val="en-US"/>
              </w:rPr>
              <w:t xml:space="preserve">— </w:t>
            </w:r>
            <w:r>
              <w:rPr>
                <w:rFonts w:ascii="Arial" w:hAnsi="Arial"/>
                <w:sz w:val="22"/>
                <w:szCs w:val="22"/>
                <w:u w:color="000000"/>
                <w:shd w:val="nil" w:color="auto" w:fill="auto"/>
                <w:rtl w:val="0"/>
                <w:lang w:val="en-US"/>
              </w:rPr>
              <w:t>full symbolic stabilization</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~40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60 m below present</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Bab-el-Mandeb crossable; Arabian shelf partly exposed</w:t>
            </w:r>
          </w:p>
        </w:tc>
      </w:tr>
      <w:tr>
        <w:tblPrEx>
          <w:shd w:val="clear" w:color="auto" w:fill="ced7e7"/>
        </w:tblPrEx>
        <w:trPr>
          <w:trHeight w:val="539"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~74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rPr>
              <w:t>Toba super-eruption</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Glacial low</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Volcanic winter; demographic bottleneck across full corridor</w:t>
            </w:r>
          </w:p>
        </w:tc>
      </w:tr>
      <w:tr>
        <w:tblPrEx>
          <w:shd w:val="clear" w:color="auto" w:fill="ced7e7"/>
        </w:tblPrEx>
        <w:trPr>
          <w:trHeight w:val="826"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~70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60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it-IT"/>
              </w:rPr>
              <w:t>Bab-el-Mandeb crossing</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~60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80 m below present</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Strait ~11 km; crossing feasible without open-ocean navigation</w:t>
            </w:r>
          </w:p>
        </w:tc>
      </w:tr>
      <w:tr>
        <w:tblPrEx>
          <w:shd w:val="clear" w:color="auto" w:fill="ced7e7"/>
        </w:tblPrEx>
        <w:trPr>
          <w:trHeight w:val="826"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~60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45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Indian coast transit</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~60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100 m below present</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Western Indian shelf exposed; Palk Strait dry land; Lanka connected</w:t>
            </w:r>
          </w:p>
        </w:tc>
      </w:tr>
      <w:tr>
        <w:tblPrEx>
          <w:shd w:val="clear" w:color="auto" w:fill="ced7e7"/>
        </w:tblPrEx>
        <w:trPr>
          <w:trHeight w:val="826"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~45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fr-FR"/>
              </w:rPr>
              <w:t>Fa Hien Cave occupation</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~80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100 m below present</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Lanka is southern terminus of subcontinent; no water crossing required</w:t>
            </w:r>
          </w:p>
        </w:tc>
      </w:tr>
      <w:tr>
        <w:tblPrEx>
          <w:shd w:val="clear" w:color="auto" w:fill="ced7e7"/>
        </w:tblPrEx>
        <w:trPr>
          <w:trHeight w:val="539"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~21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Last Glacial Maximum</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~120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130 m below present</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Maximum shelf exposure; Palk Strait fully dry</w:t>
            </w:r>
          </w:p>
        </w:tc>
      </w:tr>
      <w:tr>
        <w:tblPrEx>
          <w:shd w:val="clear" w:color="auto" w:fill="ced7e7"/>
        </w:tblPrEx>
        <w:trPr>
          <w:trHeight w:val="826" w:hRule="atLeast"/>
        </w:trPr>
        <w:tc>
          <w:tcPr>
            <w:tcW w:type="dxa" w:w="156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~14</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7 ka</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Post-LGM transgression</w:t>
            </w:r>
          </w:p>
        </w:tc>
        <w:tc>
          <w:tcPr>
            <w:tcW w:type="dxa" w:w="234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Rising to present</w:t>
            </w:r>
          </w:p>
        </w:tc>
        <w:tc>
          <w:tcPr>
            <w:tcW w:type="dxa" w:w="3120"/>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Coastal sites submerged; Lanka isolated; corridor evidence erased</w:t>
            </w:r>
          </w:p>
        </w:tc>
      </w:tr>
    </w:tbl>
    <w:p>
      <w:pPr>
        <w:pStyle w:val="Heading 2"/>
        <w:widowControl w:val="0"/>
        <w:rPr>
          <w:rFonts w:ascii="Verdana" w:cs="Verdana" w:hAnsi="Verdana" w:eastAsia="Verdana"/>
          <w:b w:val="0"/>
          <w:bCs w:val="0"/>
        </w:rPr>
      </w:pPr>
    </w:p>
    <w:p>
      <w:pPr>
        <w:pStyle w:val="Heading 2"/>
        <w:widowControl w:val="0"/>
        <w:rPr>
          <w:rFonts w:ascii="Verdana" w:cs="Verdana" w:hAnsi="Verdana" w:eastAsia="Verdana"/>
          <w:b w:val="0"/>
          <w:bCs w:val="0"/>
        </w:rPr>
      </w:pPr>
      <w:r>
        <w:rPr>
          <w:rFonts w:ascii="Verdana" w:hAnsi="Verdana"/>
          <w:b w:val="0"/>
          <w:bCs w:val="0"/>
          <w:i w:val="1"/>
          <w:iCs w:val="1"/>
          <w:sz w:val="22"/>
          <w:szCs w:val="22"/>
          <w:rtl w:val="0"/>
          <w:lang w:val="en-US"/>
        </w:rPr>
        <w:t>Sources: Fairbanks (1989); Voris (2000); Ambrose (1998); Walter et al. (2000); Perera et al. (2011). Sea level estimates approximate; corridor status reflects current best evidence.</w:t>
      </w:r>
    </w:p>
    <w:p>
      <w:pPr>
        <w:pStyle w:val="Heading 2"/>
        <w:rPr>
          <w:rFonts w:ascii="Verdana" w:cs="Verdana" w:hAnsi="Verdana" w:eastAsia="Verdana"/>
        </w:rPr>
      </w:pPr>
      <w:r>
        <w:rPr>
          <w:rFonts w:ascii="Verdana" w:hAnsi="Verdana"/>
          <w:rtl w:val="0"/>
          <w:lang w:val="it-IT"/>
        </w:rPr>
        <w:t>2.2 Temporal Frame</w:t>
      </w:r>
    </w:p>
    <w:p>
      <w:pPr>
        <w:pStyle w:val="Heading 2"/>
        <w:rPr>
          <w:rFonts w:ascii="Verdana" w:cs="Verdana" w:hAnsi="Verdana" w:eastAsia="Verdana"/>
          <w:b w:val="0"/>
          <w:bCs w:val="0"/>
        </w:rPr>
      </w:pPr>
      <w:r>
        <w:rPr>
          <w:rFonts w:ascii="Verdana" w:hAnsi="Verdana"/>
          <w:b w:val="0"/>
          <w:bCs w:val="0"/>
          <w:sz w:val="24"/>
          <w:szCs w:val="24"/>
          <w:rtl w:val="0"/>
          <w:lang w:val="en-US"/>
        </w:rPr>
        <w:t>The paper</w:t>
      </w:r>
      <w:r>
        <w:rPr>
          <w:rFonts w:ascii="Verdana" w:hAnsi="Verdana" w:hint="default"/>
          <w:b w:val="0"/>
          <w:bCs w:val="0"/>
          <w:sz w:val="24"/>
          <w:szCs w:val="24"/>
          <w:rtl w:val="1"/>
        </w:rPr>
        <w:t>’</w:t>
      </w:r>
      <w:r>
        <w:rPr>
          <w:rFonts w:ascii="Verdana" w:hAnsi="Verdana"/>
          <w:b w:val="0"/>
          <w:bCs w:val="0"/>
          <w:sz w:val="24"/>
          <w:szCs w:val="24"/>
          <w:rtl w:val="0"/>
          <w:lang w:val="en-US"/>
        </w:rPr>
        <w:t xml:space="preserve">s temporal frame runs from ~100 ka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period of fully stabilized symbolic behavior at Blombos Cave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to ~45 ka, the earliest secure occupation at Fa Hien Cave in Sri Lanka.</w:t>
      </w:r>
    </w:p>
    <w:p>
      <w:pPr>
        <w:pStyle w:val="Heading"/>
        <w:rPr>
          <w:rFonts w:ascii="Verdana" w:cs="Verdana" w:hAnsi="Verdana" w:eastAsia="Verdana"/>
          <w:b w:val="0"/>
          <w:bCs w:val="0"/>
        </w:rPr>
      </w:pPr>
    </w:p>
    <w:p>
      <w:pPr>
        <w:pStyle w:val="Heading"/>
        <w:rPr>
          <w:rFonts w:ascii="Verdana" w:cs="Verdana" w:hAnsi="Verdana" w:eastAsia="Verdana"/>
        </w:rPr>
      </w:pPr>
      <w:r>
        <w:rPr>
          <w:rFonts w:ascii="Verdana" w:hAnsi="Verdana"/>
          <w:rtl w:val="0"/>
          <w:lang w:val="en-US"/>
        </w:rPr>
        <w:t>3. The Departure Point: Blombos Cave as Symbolic Baseline</w:t>
      </w:r>
    </w:p>
    <w:p>
      <w:pPr>
        <w:pStyle w:val="Heading"/>
        <w:rPr>
          <w:rFonts w:ascii="Verdana" w:cs="Verdana" w:hAnsi="Verdana" w:eastAsia="Verdana"/>
          <w:b w:val="0"/>
          <w:bCs w:val="0"/>
        </w:rPr>
      </w:pPr>
      <w:r>
        <w:rPr>
          <w:rFonts w:ascii="Verdana" w:hAnsi="Verdana"/>
          <w:b w:val="0"/>
          <w:bCs w:val="0"/>
          <w:sz w:val="24"/>
          <w:szCs w:val="24"/>
          <w:rtl w:val="0"/>
          <w:lang w:val="pt-PT"/>
        </w:rPr>
        <w:t>Blombos Cave (~100</w:t>
      </w:r>
      <w:r>
        <w:rPr>
          <w:rFonts w:ascii="Verdana" w:hAnsi="Verdana" w:hint="default"/>
          <w:b w:val="0"/>
          <w:bCs w:val="0"/>
          <w:sz w:val="24"/>
          <w:szCs w:val="24"/>
          <w:rtl w:val="0"/>
        </w:rPr>
        <w:t>–</w:t>
      </w:r>
      <w:r>
        <w:rPr>
          <w:rFonts w:ascii="Verdana" w:hAnsi="Verdana"/>
          <w:b w:val="0"/>
          <w:bCs w:val="0"/>
          <w:sz w:val="24"/>
          <w:szCs w:val="24"/>
          <w:rtl w:val="0"/>
          <w:lang w:val="en-US"/>
        </w:rPr>
        <w:t>70 ka, Southern Cape, South Africa) provides the clearest material baseline for the symbolic capacity of the populations that entered the corridor.</w:t>
      </w:r>
    </w:p>
    <w:p>
      <w:pPr>
        <w:pStyle w:val="Heading"/>
        <w:rPr>
          <w:rFonts w:ascii="Verdana" w:cs="Verdana" w:hAnsi="Verdana" w:eastAsia="Verdana"/>
          <w:b w:val="0"/>
          <w:bCs w:val="0"/>
        </w:rPr>
      </w:pPr>
      <w:r>
        <w:rPr>
          <w:rFonts w:ascii="Verdana" w:hAnsi="Verdana"/>
          <w:b w:val="0"/>
          <w:bCs w:val="0"/>
          <w:sz w:val="24"/>
          <w:szCs w:val="24"/>
          <w:rtl w:val="0"/>
          <w:lang w:val="en-US"/>
        </w:rPr>
        <w:t xml:space="preserve">Two features of the Blombos assemblage are directly relevant to corridor dynamics. First, the shell beads: perforated, ochre-stained, and morphometrically standardized across multiple occupation layers. These are portable symbolic anchors in the precise DSSM sense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objects that carry encoded meaning independent of the structure in which they were made and that can be transmitted across spatial distance. A bead made at Blombos and carried 3,000 kilometres along a coastline does not lose its symbolic content en route. Second, the engraved ochre slabs demonstrate that the population at Blombos had developed a system of durable graphic notation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cross-hatched geometric patterns reproduced consistently across layers, indicating intergenerational transmission of a symbolic grammar.</w:t>
      </w:r>
    </w:p>
    <w:p>
      <w:pPr>
        <w:pStyle w:val="Heading"/>
        <w:rPr>
          <w:rFonts w:ascii="Verdana" w:cs="Verdana" w:hAnsi="Verdana" w:eastAsia="Verdana"/>
          <w:b w:val="0"/>
          <w:bCs w:val="0"/>
        </w:rPr>
      </w:pPr>
      <w:r>
        <w:rPr>
          <w:rFonts w:ascii="Verdana" w:hAnsi="Verdana"/>
          <w:b w:val="0"/>
          <w:bCs w:val="0"/>
          <w:sz w:val="24"/>
          <w:szCs w:val="24"/>
          <w:rtl w:val="0"/>
          <w:lang w:val="en-US"/>
        </w:rPr>
        <w:t xml:space="preserve">The question the corridor analysis asks is not whether this population was symbolically sophisticated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the Blombos evidence establishes that beyond reasonable doubt. It is whether the symbolic system they carried was robust enough to survive 60,000 years of coastal movement, ecological stress, and demographic compression.</w:t>
      </w:r>
    </w:p>
    <w:p>
      <w:pPr>
        <w:pStyle w:val="Heading"/>
        <w:rPr>
          <w:rFonts w:ascii="Verdana" w:cs="Verdana" w:hAnsi="Verdana" w:eastAsia="Verdana"/>
        </w:rPr>
      </w:pPr>
      <w:r>
        <w:rPr>
          <w:rFonts w:ascii="Verdana" w:hAnsi="Verdana"/>
          <w:rtl w:val="0"/>
          <w:lang w:val="en-US"/>
        </w:rPr>
        <w:t>4. The Toba Stress Test</w:t>
      </w:r>
    </w:p>
    <w:p>
      <w:pPr>
        <w:pStyle w:val="Heading 2"/>
        <w:rPr>
          <w:rFonts w:ascii="Verdana" w:cs="Verdana" w:hAnsi="Verdana" w:eastAsia="Verdana"/>
        </w:rPr>
      </w:pPr>
      <w:r>
        <w:rPr>
          <w:rFonts w:ascii="Verdana" w:hAnsi="Verdana"/>
          <w:rtl w:val="0"/>
          <w:lang w:val="en-US"/>
        </w:rPr>
        <w:t>4.1 The Event</w:t>
      </w:r>
    </w:p>
    <w:p>
      <w:pPr>
        <w:pStyle w:val="Heading 2"/>
        <w:rPr>
          <w:rFonts w:ascii="Verdana" w:cs="Verdana" w:hAnsi="Verdana" w:eastAsia="Verdana"/>
          <w:b w:val="0"/>
          <w:bCs w:val="0"/>
        </w:rPr>
      </w:pPr>
      <w:r>
        <w:rPr>
          <w:rFonts w:ascii="Verdana" w:hAnsi="Verdana"/>
          <w:b w:val="0"/>
          <w:bCs w:val="0"/>
          <w:sz w:val="24"/>
          <w:szCs w:val="24"/>
          <w:rtl w:val="0"/>
          <w:lang w:val="en-US"/>
        </w:rPr>
        <w:t>The Toba super-eruption on the island of Sumatra at approximately 74,000 BP was the largest volcanic eruption of the last 2 million years. It ejected an estimated 2,800 cubic kilometres of material, producing a volcanic winter estimated to have lasted 6</w:t>
      </w:r>
      <w:r>
        <w:rPr>
          <w:rFonts w:ascii="Verdana" w:hAnsi="Verdana" w:hint="default"/>
          <w:b w:val="0"/>
          <w:bCs w:val="0"/>
          <w:sz w:val="24"/>
          <w:szCs w:val="24"/>
          <w:rtl w:val="0"/>
        </w:rPr>
        <w:t>–</w:t>
      </w:r>
      <w:r>
        <w:rPr>
          <w:rFonts w:ascii="Verdana" w:hAnsi="Verdana"/>
          <w:b w:val="0"/>
          <w:bCs w:val="0"/>
          <w:sz w:val="24"/>
          <w:szCs w:val="24"/>
          <w:rtl w:val="0"/>
          <w:lang w:val="en-US"/>
        </w:rPr>
        <w:t xml:space="preserve">10 years and a subsequent cooling period of potentially 1,000 years. Ash deposits from Toba are found across South Asia, the Arabian Peninsula, and East Africa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the entire length of the dispersal corridor. The original population bottleneck hypothesis proposed that Toba reduced global human population to as few as 10,000 individuals. More recent work has qualified this, with some South Asian sites showing lithic continuity across the Toba ash layer, suggesting that populations were already present in South Asia before 74 ka and survived in refugia. This is a genuine tension in the literature that requires explicit acknowledgement. The genetic evidence, led by Macaulay et al. (2005), supports a single founding population crossing the Bab-el-Mandeb at ~70</w:t>
      </w:r>
      <w:r>
        <w:rPr>
          <w:rFonts w:ascii="Verdana" w:hAnsi="Verdana" w:hint="default"/>
          <w:b w:val="0"/>
          <w:bCs w:val="0"/>
          <w:sz w:val="24"/>
          <w:szCs w:val="24"/>
          <w:rtl w:val="0"/>
        </w:rPr>
        <w:t>–</w:t>
      </w:r>
      <w:r>
        <w:rPr>
          <w:rFonts w:ascii="Verdana" w:hAnsi="Verdana"/>
          <w:b w:val="0"/>
          <w:bCs w:val="0"/>
          <w:sz w:val="24"/>
          <w:szCs w:val="24"/>
          <w:rtl w:val="0"/>
        </w:rPr>
        <w:t xml:space="preserve">60 ka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after Toba. The archaeological evidence, led by Petraglia et al. (2007), shows lithic continuity across the Toba ash layer in South Asia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implying populations were there before Toba. These two lines of evidence are not necessarily contradictory. They are compatible with a multiple-wave model: earlier populations reached South Asia before 74 ka and left archaeological traces; Toba caused severe demographic reduction across the corridor, drastically shrinking or locally extinguishing those earlier populations; a subsequent post-Toba wave ~70</w:t>
      </w:r>
      <w:r>
        <w:rPr>
          <w:rFonts w:ascii="Verdana" w:hAnsi="Verdana" w:hint="default"/>
          <w:b w:val="0"/>
          <w:bCs w:val="0"/>
          <w:sz w:val="24"/>
          <w:szCs w:val="24"/>
          <w:rtl w:val="0"/>
        </w:rPr>
        <w:t>–</w:t>
      </w:r>
      <w:r>
        <w:rPr>
          <w:rFonts w:ascii="Verdana" w:hAnsi="Verdana"/>
          <w:b w:val="0"/>
          <w:bCs w:val="0"/>
          <w:sz w:val="24"/>
          <w:szCs w:val="24"/>
          <w:rtl w:val="0"/>
          <w:lang w:val="en-US"/>
        </w:rPr>
        <w:t>60 ka established the founding genetic lineage that all living non-African humans descend from. Within the DSSM framework, this model is actually more informative than a single-wave reading. It means the corridor was tested twice: pre-Toba populations represent an earlier wave of symbolic transmission whose demographic fate is unclear; post-Toba founders are the populations whose symbolic system was sufficiently compressed to survive, reconstitute, and cross. The corridor did not select once. It selected across multiple waves, across a catastrophic bottleneck, and the genetic record captures the winners of that extended selection process.</w:t>
      </w:r>
    </w:p>
    <w:p>
      <w:pPr>
        <w:pStyle w:val="Heading 2"/>
        <w:rPr>
          <w:rFonts w:ascii="Verdana" w:cs="Verdana" w:hAnsi="Verdana" w:eastAsia="Verdana"/>
        </w:rPr>
      </w:pPr>
      <w:r>
        <w:rPr>
          <w:rFonts w:ascii="Verdana" w:hAnsi="Verdana"/>
          <w:rtl w:val="0"/>
          <w:lang w:val="en-US"/>
        </w:rPr>
        <w:t>4.2 DSSM Prediction and Evidence</w:t>
      </w:r>
    </w:p>
    <w:p>
      <w:pPr>
        <w:pStyle w:val="Heading 2"/>
        <w:rPr>
          <w:rFonts w:ascii="Verdana" w:cs="Verdana" w:hAnsi="Verdana" w:eastAsia="Verdana"/>
          <w:b w:val="0"/>
          <w:bCs w:val="0"/>
        </w:rPr>
      </w:pPr>
      <w:r>
        <w:rPr>
          <w:rFonts w:ascii="Verdana" w:hAnsi="Verdana"/>
          <w:b w:val="0"/>
          <w:bCs w:val="0"/>
          <w:sz w:val="24"/>
          <w:szCs w:val="24"/>
          <w:rtl w:val="0"/>
          <w:lang w:val="en-US"/>
        </w:rPr>
        <w:t xml:space="preserve">DSSM generates a specific prediction for this event. The fourth stabilization criterion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persistence under stress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precisely the capacity being tested by a volcanic winter. Table 2 summarizes the prediction and the available archaeological signal.</w:t>
      </w: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p>
    <w:p>
      <w:pPr>
        <w:pStyle w:val="Heading 2"/>
        <w:rPr>
          <w:rFonts w:ascii="Verdana" w:cs="Verdana" w:hAnsi="Verdana" w:eastAsia="Verdana"/>
          <w:b w:val="0"/>
          <w:bCs w:val="0"/>
        </w:rPr>
      </w:pPr>
      <w:r>
        <w:rPr>
          <w:rFonts w:ascii="Verdana" w:hAnsi="Verdana"/>
          <w:b w:val="0"/>
          <w:bCs w:val="0"/>
          <w:sz w:val="24"/>
          <w:szCs w:val="24"/>
          <w:rtl w:val="0"/>
          <w:lang w:val="en-US"/>
        </w:rPr>
        <w:t>Table 2. Toba Stress Test: DSSM Prediction and Archaeological Signal</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0"/>
        <w:gridCol w:w="2340"/>
        <w:gridCol w:w="2340"/>
        <w:gridCol w:w="2340"/>
      </w:tblGrid>
      <w:tr>
        <w:tblPrEx>
          <w:shd w:val="clear" w:color="auto" w:fill="ced7e7"/>
        </w:tblPrEx>
        <w:trPr>
          <w:trHeight w:val="522" w:hRule="atLeast"/>
        </w:trPr>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fr-FR"/>
              </w:rPr>
              <w:t>Population Type</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Symbolic Status (pre-Toba)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DSSM Prediction</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Archaeological Signal</w:t>
            </w:r>
          </w:p>
        </w:tc>
      </w:tr>
      <w:tr>
        <w:tblPrEx>
          <w:shd w:val="clear" w:color="auto" w:fill="ced7e7"/>
        </w:tblPrEx>
        <w:trPr>
          <w:trHeight w:val="1095" w:hRule="atLeast"/>
        </w:trPr>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Corridor populations (Blombos lineage)</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da-DK"/>
              </w:rPr>
              <w:t>Stage 2</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3; portable anchors; microlithic grammar stabilized</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Survive bottleneck; reconstitute group from symbolic infrastructure</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Lithic continuity across Toba ash layer in multiple South Asian sites</w:t>
            </w:r>
          </w:p>
        </w:tc>
      </w:tr>
      <w:tr>
        <w:tblPrEx>
          <w:shd w:val="clear" w:color="auto" w:fill="ced7e7"/>
        </w:tblPrEx>
        <w:trPr>
          <w:trHeight w:val="1095" w:hRule="atLeast"/>
        </w:trPr>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Less symbolically robust groups</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Stage 1 or unstabilized; landscape-dependent symbolic systems</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Higher extinction risk; symbolic system collapses with landscape disruption</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Absence from post-Toba record; genetic bottleneck evidence</w:t>
            </w:r>
          </w:p>
        </w:tc>
      </w:tr>
      <w:tr>
        <w:tblPrEx>
          <w:shd w:val="clear" w:color="auto" w:fill="ced7e7"/>
        </w:tblPrEx>
        <w:trPr>
          <w:trHeight w:val="2528" w:hRule="atLeast"/>
        </w:trPr>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Event: Toba eruption (~74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it-IT"/>
              </w:rPr>
              <w:t>2,800 km</w:t>
            </w:r>
            <w:r>
              <w:rPr>
                <w:rFonts w:ascii="Arial" w:hAnsi="Arial" w:hint="default"/>
                <w:sz w:val="22"/>
                <w:szCs w:val="22"/>
                <w:u w:color="000000"/>
                <w:shd w:val="nil" w:color="auto" w:fill="auto"/>
                <w:rtl w:val="0"/>
              </w:rPr>
              <w:t xml:space="preserve">³ </w:t>
            </w:r>
            <w:r>
              <w:rPr>
                <w:rFonts w:ascii="Arial" w:hAnsi="Arial"/>
                <w:sz w:val="22"/>
                <w:szCs w:val="22"/>
                <w:u w:color="000000"/>
                <w:shd w:val="nil" w:color="auto" w:fill="auto"/>
                <w:rtl w:val="0"/>
                <w:lang w:val="en-US"/>
              </w:rPr>
              <w:t>ejected; 6</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en-US"/>
              </w:rPr>
              <w:t>10 year volcanic winter; ~1,000 year cooling period; ash deposits across full corridor length</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DSSM Criterion 4 (persistence under stress) directly tested across both pre- and post-Toba populations</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Genetic founder effect in non-African lineages consistent with severe post-Toba reduction; lithic continuity in some sites indicates pre-Toba survival in refugia</w:t>
            </w:r>
          </w:p>
        </w:tc>
      </w:tr>
    </w:tbl>
    <w:p>
      <w:pPr>
        <w:pStyle w:val="Heading 2"/>
        <w:widowControl w:val="0"/>
        <w:rPr>
          <w:rFonts w:ascii="Verdana" w:cs="Verdana" w:hAnsi="Verdana" w:eastAsia="Verdana"/>
          <w:b w:val="0"/>
          <w:bCs w:val="0"/>
        </w:rPr>
      </w:pPr>
    </w:p>
    <w:p>
      <w:pPr>
        <w:pStyle w:val="Heading 2"/>
        <w:widowControl w:val="0"/>
        <w:rPr>
          <w:rFonts w:ascii="Verdana" w:cs="Verdana" w:hAnsi="Verdana" w:eastAsia="Verdana"/>
          <w:b w:val="0"/>
          <w:bCs w:val="0"/>
        </w:rPr>
      </w:pPr>
      <w:r>
        <w:rPr>
          <w:rFonts w:ascii="Verdana" w:hAnsi="Verdana"/>
          <w:b w:val="0"/>
          <w:bCs w:val="0"/>
          <w:i w:val="1"/>
          <w:iCs w:val="1"/>
          <w:sz w:val="22"/>
          <w:szCs w:val="22"/>
          <w:rtl w:val="0"/>
          <w:lang w:val="en-US"/>
        </w:rPr>
        <w:t>The lithic continuity evidence across the Toba ash layer at South Asian sites is the primary archaeological signal consistent with DSSM Criterion 4. Sources: Petraglia et al. (2007); Ambrose (1998).</w:t>
      </w:r>
    </w:p>
    <w:p>
      <w:pPr>
        <w:pStyle w:val="Heading 2"/>
        <w:widowControl w:val="0"/>
        <w:rPr>
          <w:rFonts w:ascii="Verdana" w:cs="Verdana" w:hAnsi="Verdana" w:eastAsia="Verdana"/>
          <w:b w:val="0"/>
          <w:bCs w:val="0"/>
        </w:rPr>
      </w:pPr>
      <w:r>
        <w:rPr>
          <w:rFonts w:ascii="Verdana" w:hAnsi="Verdana"/>
          <w:b w:val="0"/>
          <w:bCs w:val="0"/>
          <w:sz w:val="24"/>
          <w:szCs w:val="24"/>
          <w:rtl w:val="0"/>
          <w:lang w:val="en-US"/>
        </w:rPr>
        <w:t>The populations moving along the corridor before Toba had been carrying a fully stabilized symbolic system for at least 25,000 years from the Blombos baseline. Their portable symbolic anchors, microlithic technological grammars, and ritual practices were not dependent on any specific landscape. This is the adaptive advantage of symbolic compression: the system travels with the people regardless of what the landscape does.</w:t>
      </w:r>
    </w:p>
    <w:p>
      <w:pPr>
        <w:pStyle w:val="Heading"/>
        <w:rPr>
          <w:rFonts w:ascii="Verdana" w:cs="Verdana" w:hAnsi="Verdana" w:eastAsia="Verdana"/>
        </w:rPr>
      </w:pPr>
      <w:r>
        <w:rPr>
          <w:rFonts w:ascii="Verdana" w:hAnsi="Verdana"/>
          <w:rtl w:val="0"/>
          <w:lang w:val="en-US"/>
        </w:rPr>
        <w:t>5. The Arabian and Indian Margins</w:t>
      </w:r>
    </w:p>
    <w:p>
      <w:pPr>
        <w:pStyle w:val="Heading 2"/>
        <w:rPr>
          <w:rFonts w:ascii="Verdana" w:cs="Verdana" w:hAnsi="Verdana" w:eastAsia="Verdana"/>
        </w:rPr>
      </w:pPr>
      <w:r>
        <w:rPr>
          <w:rFonts w:ascii="Verdana" w:hAnsi="Verdana"/>
          <w:rtl w:val="0"/>
          <w:lang w:val="en-US"/>
        </w:rPr>
        <w:t>5.1 The Bab-el-Mandeb Crossing</w:t>
      </w:r>
    </w:p>
    <w:p>
      <w:pPr>
        <w:pStyle w:val="Heading 2"/>
        <w:rPr>
          <w:rFonts w:ascii="Verdana" w:cs="Verdana" w:hAnsi="Verdana" w:eastAsia="Verdana"/>
          <w:b w:val="0"/>
          <w:bCs w:val="0"/>
        </w:rPr>
      </w:pPr>
      <w:r>
        <w:rPr>
          <w:rFonts w:ascii="Verdana" w:hAnsi="Verdana"/>
          <w:b w:val="0"/>
          <w:bCs w:val="0"/>
          <w:sz w:val="24"/>
          <w:szCs w:val="24"/>
          <w:rtl w:val="0"/>
          <w:lang w:val="en-US"/>
        </w:rPr>
        <w:t>The Bab-el-Mandeb crossing is the most critical single movement in the corridor. Genetic evidence places the primary crossing at ~70</w:t>
      </w:r>
      <w:r>
        <w:rPr>
          <w:rFonts w:ascii="Verdana" w:hAnsi="Verdana" w:hint="default"/>
          <w:b w:val="0"/>
          <w:bCs w:val="0"/>
          <w:sz w:val="24"/>
          <w:szCs w:val="24"/>
          <w:rtl w:val="0"/>
        </w:rPr>
        <w:t>–</w:t>
      </w:r>
      <w:r>
        <w:rPr>
          <w:rFonts w:ascii="Verdana" w:hAnsi="Verdana"/>
          <w:b w:val="0"/>
          <w:bCs w:val="0"/>
          <w:sz w:val="24"/>
          <w:szCs w:val="24"/>
          <w:rtl w:val="0"/>
          <w:lang w:val="en-US"/>
        </w:rPr>
        <w:t xml:space="preserve">60 ka, with a single founding population responsible for all non-African modern human lineages outside Africa. Archaeological evidence from the Red Sea coast of Eritrea documents human occupation during the last interglacial (~125 ka), indicating familiarity with the coastal zone and the crossing point long before the main dispersal. The two lines of evidence are not contradictory. Earlier populations reached and possibly crossed the strait before 74 ka; Toba reset the demographic balance; post-Toba founders established the lineage the genetics track. At the crossing point, the symbolic system carried by the departing population faced its first irreversible transmission boundary: separation from the African source population. Once across, there was no return. A symbolic system that required landscape-fixed mnemonic architectures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specific caves, specific rock faces, specific water sources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would face immediate degradation at this boundary. A symbolic system dominated by portable anchors </w:t>
      </w:r>
      <w:r>
        <w:rPr>
          <w:rFonts w:ascii="Verdana" w:hAnsi="Verdana" w:hint="default"/>
          <w:b w:val="0"/>
          <w:bCs w:val="0"/>
          <w:sz w:val="24"/>
          <w:szCs w:val="24"/>
          <w:rtl w:val="0"/>
          <w:lang w:val="en-US"/>
        </w:rPr>
        <w:t xml:space="preserve">— </w:t>
      </w:r>
      <w:r>
        <w:rPr>
          <w:rFonts w:ascii="Verdana" w:hAnsi="Verdana"/>
          <w:b w:val="0"/>
          <w:bCs w:val="0"/>
          <w:sz w:val="24"/>
          <w:szCs w:val="24"/>
          <w:rtl w:val="0"/>
          <w:lang w:val="sv-SE"/>
        </w:rPr>
        <w:t xml:space="preserve">beads, ochre, knapping grammars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would not. The Blombos assemblage is dominated by portable anchors. This structural alignment between the Blombos inventory and the requirements of an irreversible crossing is the DSSM argument for why the crossing succeeded symbolically, not just demographically.</w:t>
      </w:r>
    </w:p>
    <w:p>
      <w:pPr>
        <w:pStyle w:val="Heading 2"/>
        <w:rPr>
          <w:rFonts w:ascii="Verdana" w:cs="Verdana" w:hAnsi="Verdana" w:eastAsia="Verdana"/>
        </w:rPr>
      </w:pPr>
      <w:r>
        <w:rPr>
          <w:rFonts w:ascii="Verdana" w:hAnsi="Verdana"/>
          <w:rtl w:val="0"/>
          <w:lang w:val="en-US"/>
        </w:rPr>
        <w:t>5.2 The Arabian Corridor and Indian Subcontinent Margins</w:t>
      </w:r>
    </w:p>
    <w:p>
      <w:pPr>
        <w:pStyle w:val="Heading 2"/>
        <w:rPr>
          <w:rFonts w:ascii="Verdana" w:cs="Verdana" w:hAnsi="Verdana" w:eastAsia="Verdana"/>
          <w:b w:val="0"/>
          <w:bCs w:val="0"/>
        </w:rPr>
      </w:pPr>
      <w:r>
        <w:rPr>
          <w:rFonts w:ascii="Verdana" w:hAnsi="Verdana"/>
          <w:b w:val="0"/>
          <w:bCs w:val="0"/>
          <w:sz w:val="24"/>
          <w:szCs w:val="24"/>
          <w:rtl w:val="0"/>
          <w:lang w:val="en-US"/>
        </w:rPr>
        <w:t>The Arabian Peninsula during glacial periods was substantially different from its present form. Reduced aridity, expanded river systems, and exposed coastal shelves created a habitable corridor along the southern coast. Rose (2010) documents an Arabian interior refugium during the period of maximum aridity, suggesting that corridor populations did not simply hug the coastline but moved between coastal and inland zones as conditions allowed. The symbolic implications are significant: a population alternating between coastal and inland environments would maintain portable symbolic anchors as the primary transmission medium precisely because no single landscape could be relied upon as a permanent mnemonic substrate. The Western Indian coastal margin presented a different environment: a long, resource-rich shoreline with the Western Ghats forming a stable eastern wall. Dennell and Roebroeks (2005) argue that the Indian subcontinent was accessible via this coastal route considerably earlier than the genetic bottleneck date suggests. Whether or not pre-Toba populations penetrated the subcontinent in force, the post-Toba corridor populations moving along this coast between ~65</w:t>
      </w:r>
      <w:r>
        <w:rPr>
          <w:rFonts w:ascii="Verdana" w:hAnsi="Verdana" w:hint="default"/>
          <w:b w:val="0"/>
          <w:bCs w:val="0"/>
          <w:sz w:val="24"/>
          <w:szCs w:val="24"/>
          <w:rtl w:val="0"/>
        </w:rPr>
        <w:t>–</w:t>
      </w:r>
      <w:r>
        <w:rPr>
          <w:rFonts w:ascii="Verdana" w:hAnsi="Verdana"/>
          <w:b w:val="0"/>
          <w:bCs w:val="0"/>
          <w:sz w:val="24"/>
          <w:szCs w:val="24"/>
          <w:rtl w:val="0"/>
          <w:lang w:val="en-US"/>
        </w:rPr>
        <w:t xml:space="preserve">45 ka were traversing one of the richest coastal environments available anywhere in the Late Pleistocene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abundant marine protein, freshwater from Ghats rivers, and a continuous southward gradient toward Lanka. The symbolic system being carried along this coast had by this point survived the crossing, Toba, and potentially 30,000 years of Arabian transit. What arrived at the Palk Strait was not a fresh tradition. It was a compressed, stress-tested, portable system that had been selected across every ecological challenge the corridor could produce.</w:t>
      </w:r>
    </w:p>
    <w:p>
      <w:pPr>
        <w:pStyle w:val="Heading 2"/>
        <w:rPr>
          <w:rFonts w:ascii="Verdana" w:cs="Verdana" w:hAnsi="Verdana" w:eastAsia="Verdana"/>
          <w:b w:val="0"/>
          <w:bCs w:val="0"/>
        </w:rPr>
      </w:pPr>
      <w:r>
        <w:rPr>
          <w:rFonts w:ascii="Verdana" w:hAnsi="Verdana"/>
          <w:b w:val="0"/>
          <w:bCs w:val="0"/>
          <w:sz w:val="24"/>
          <w:szCs w:val="24"/>
          <w:rtl w:val="0"/>
          <w:lang w:val="en-US"/>
        </w:rPr>
        <w:t xml:space="preserve">The microlithic tradition that appears consistently across South Asia in this period is the material signature of the corridor populations. Its geographic distribution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from the Horn of Africa eastward to Sri Lanka and beyond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maps precisely onto the corridor route and the timeframe of the dispersal. Within DSSM, this technological grammar functions as a distributed symbolic anchor: a standardized, socially transmitted reduction sequence that encodes group identity, technical knowledge, and cultural continuity independent of any specific location. The grammar is the anchor, not the artifact. A knapper who loses all their tools in a river crossing can reconstitute the entire tradition from memory. This is not true of monumental architecture, fixed ochre panels, or landscape-embedded ritual structures. It is true of a learned motor sequence carried in the body of every trained adult in the group. The microlithic tradition is the most robust symbolic form the corridor could have selected for, and it is precisely what the corridor record shows.</w:t>
      </w:r>
    </w:p>
    <w:p>
      <w:pPr>
        <w:pStyle w:val="Heading"/>
        <w:rPr>
          <w:rFonts w:ascii="Verdana" w:cs="Verdana" w:hAnsi="Verdana" w:eastAsia="Verdana"/>
        </w:rPr>
      </w:pPr>
      <w:r>
        <w:rPr>
          <w:rFonts w:ascii="Verdana" w:hAnsi="Verdana"/>
          <w:rtl w:val="0"/>
          <w:lang w:val="en-US"/>
        </w:rPr>
        <w:t>6. The Arrival Point: Fa Hien Cave as Preservation Window</w:t>
      </w:r>
    </w:p>
    <w:p>
      <w:pPr>
        <w:pStyle w:val="Heading"/>
        <w:rPr>
          <w:rFonts w:ascii="Verdana" w:cs="Verdana" w:hAnsi="Verdana" w:eastAsia="Verdana"/>
          <w:b w:val="0"/>
          <w:bCs w:val="0"/>
        </w:rPr>
      </w:pPr>
      <w:r>
        <w:rPr>
          <w:rFonts w:ascii="Verdana" w:hAnsi="Verdana"/>
          <w:b w:val="0"/>
          <w:bCs w:val="0"/>
          <w:sz w:val="24"/>
          <w:szCs w:val="24"/>
          <w:rtl w:val="0"/>
          <w:lang w:val="en-US"/>
        </w:rPr>
        <w:t>Fa Hien Cave in southwestern Sri Lanka documents modern human occupation from approximately 45,000 BP, with a continuous record through the Holocene (Deraniyagala, 1992; Perera et al., 2011).</w:t>
      </w:r>
    </w:p>
    <w:p>
      <w:pPr>
        <w:pStyle w:val="Heading"/>
        <w:rPr>
          <w:rFonts w:ascii="Verdana" w:cs="Verdana" w:hAnsi="Verdana" w:eastAsia="Verdana"/>
          <w:b w:val="0"/>
          <w:bCs w:val="0"/>
        </w:rPr>
      </w:pPr>
      <w:r>
        <w:rPr>
          <w:rFonts w:ascii="Verdana" w:hAnsi="Verdana"/>
          <w:b w:val="0"/>
          <w:bCs w:val="0"/>
          <w:sz w:val="24"/>
          <w:szCs w:val="24"/>
          <w:rtl w:val="0"/>
          <w:lang w:val="en-US"/>
        </w:rPr>
        <w:t xml:space="preserve">Fa Hien is not the beginning of a symbolic tradition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it is a preservation window into one that had been developing for 60,000 years before the cave was first occupied. The absence of earlier Sri Lankan sites does not indicate that the island was uninhabited before 45 ka; it indicates that earlier coastal sites are now submerged beneath the post-LGM transgression.</w:t>
      </w:r>
    </w:p>
    <w:p>
      <w:pPr>
        <w:pStyle w:val="Heading"/>
        <w:rPr>
          <w:rFonts w:ascii="Verdana" w:cs="Verdana" w:hAnsi="Verdana" w:eastAsia="Verdana"/>
          <w:b w:val="0"/>
          <w:bCs w:val="0"/>
        </w:rPr>
      </w:pPr>
      <w:r>
        <w:rPr>
          <w:rFonts w:ascii="Verdana" w:hAnsi="Verdana"/>
          <w:b w:val="0"/>
          <w:bCs w:val="0"/>
          <w:sz w:val="24"/>
          <w:szCs w:val="24"/>
          <w:rtl w:val="0"/>
          <w:lang w:val="en-US"/>
        </w:rPr>
        <w:t xml:space="preserve">The microlithic continuity documented at Fa Hien across the entire occupation sequence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from 45 ka through the Holocene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the same technological grammar documented along the full length of the corridor.</w:t>
      </w:r>
    </w:p>
    <w:p>
      <w:pPr>
        <w:pStyle w:val="Heading"/>
        <w:rPr>
          <w:rFonts w:ascii="Verdana" w:cs="Verdana" w:hAnsi="Verdana" w:eastAsia="Verdana"/>
        </w:rPr>
      </w:pPr>
      <w:r>
        <w:rPr>
          <w:rFonts w:ascii="Verdana" w:hAnsi="Verdana"/>
          <w:rtl w:val="0"/>
          <w:lang w:val="en-US"/>
        </w:rPr>
        <w:t>7. Symbolic Compression Along the Corridor</w:t>
      </w:r>
    </w:p>
    <w:p>
      <w:pPr>
        <w:pStyle w:val="Heading"/>
        <w:rPr>
          <w:rFonts w:ascii="Verdana" w:cs="Verdana" w:hAnsi="Verdana" w:eastAsia="Verdana"/>
          <w:b w:val="0"/>
          <w:bCs w:val="0"/>
        </w:rPr>
      </w:pPr>
      <w:r>
        <w:rPr>
          <w:rFonts w:ascii="Verdana" w:hAnsi="Verdana"/>
          <w:b w:val="0"/>
          <w:bCs w:val="0"/>
          <w:sz w:val="24"/>
          <w:szCs w:val="24"/>
          <w:rtl w:val="0"/>
          <w:lang w:val="en-US"/>
        </w:rPr>
        <w:t>As populations move along a geographically constrained corridor under ecological pressure, the symbolic load they carry must be maintained by smaller groups across longer distances with fewer material resources. The response DSSM predicts is compression: the reduction of symbolic expression to its most portable, most redundant, and most transmissible forms.</w:t>
      </w:r>
    </w:p>
    <w:p>
      <w:pPr>
        <w:pStyle w:val="Heading"/>
        <w:rPr>
          <w:rFonts w:ascii="Verdana" w:cs="Verdana" w:hAnsi="Verdana" w:eastAsia="Verdana"/>
          <w:b w:val="0"/>
          <w:bCs w:val="0"/>
        </w:rPr>
      </w:pPr>
      <w:r>
        <w:rPr>
          <w:rFonts w:ascii="Verdana" w:hAnsi="Verdana"/>
          <w:b w:val="0"/>
          <w:bCs w:val="0"/>
          <w:sz w:val="24"/>
          <w:szCs w:val="24"/>
          <w:rtl w:val="0"/>
          <w:lang w:val="en-US"/>
        </w:rPr>
        <w:t xml:space="preserve">The microlithic tradition is the clearest material expression of this compression. Microliths are by definition small, portable, and produced through a standardized reduction sequence that can be reproduced from memory without reference to any fixed location. The sequence itself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the knapping grammar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the symbolic anchor, not the artifact. As long as the grammar survives in at least one carrier, the tradition can be reconstituted anywhere.</w:t>
      </w:r>
    </w:p>
    <w:p>
      <w:pPr>
        <w:pStyle w:val="Heading"/>
        <w:rPr>
          <w:rFonts w:ascii="Verdana" w:cs="Verdana" w:hAnsi="Verdana" w:eastAsia="Verdana"/>
          <w:b w:val="0"/>
          <w:bCs w:val="0"/>
        </w:rPr>
      </w:pPr>
      <w:r>
        <w:rPr>
          <w:rFonts w:ascii="Verdana" w:hAnsi="Verdana"/>
          <w:b w:val="0"/>
          <w:bCs w:val="0"/>
          <w:sz w:val="24"/>
          <w:szCs w:val="24"/>
          <w:rtl w:val="0"/>
          <w:lang w:val="en-US"/>
        </w:rPr>
        <w:t>Shell beads and ochre perform the same function at the social and identity level. They are light, durable, and capable of encoding group membership, status, and cosmological content in a form that survives movement, stress, and demographic reduction. A population reduced to a few dozen individuals by a volcanic winter but still in possession of its bead tradition and its ochre practices retains the symbolic infrastructure needed to reconstitute a functioning social group on the other side of the crisis.</w:t>
      </w:r>
    </w:p>
    <w:p>
      <w:pPr>
        <w:pStyle w:val="Heading"/>
        <w:rPr>
          <w:rFonts w:ascii="Verdana" w:cs="Verdana" w:hAnsi="Verdana" w:eastAsia="Verdana"/>
          <w:b w:val="0"/>
          <w:bCs w:val="0"/>
        </w:rPr>
      </w:pPr>
      <w:r>
        <w:rPr>
          <w:rFonts w:ascii="Verdana" w:hAnsi="Verdana"/>
          <w:b w:val="0"/>
          <w:bCs w:val="0"/>
          <w:sz w:val="24"/>
          <w:szCs w:val="24"/>
          <w:rtl w:val="0"/>
          <w:lang w:val="en-US"/>
        </w:rPr>
        <w:t xml:space="preserve">The corridor, in this frame, was not just a route. It was a selection environment for symbolic robustness. The claim requires a mechanism, and one is available: symbolic systems dependent on landscape-fixed substrates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specific caves, fixed ochre panels, monumental structures, bounded ritual territories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are rendered non-functional the moment the group moves beyond the range of those substrates. A tradition that cannot be reproduced without its home landscape does not travel. A tradition encoded in portable objects, learned motor sequences, and socially transmitted grammars travels indefinitely. The corridor did not directly select against any particular symbolic content. It selected against symbolic systems whose transmission infrastructure was spatially fixed. The populations that completed the 60,000-year transit were not necessarily more cognitively sophisticated than those that did not. They were the ones whose symbolic load happened to be encoded in forms that survive movement: beads, ochre, knapping grammars, oral transmission. Fa Hien is the archaeological record of what those forms look like at the corridor</w:t>
      </w:r>
      <w:r>
        <w:rPr>
          <w:rFonts w:ascii="Verdana" w:hAnsi="Verdana" w:hint="default"/>
          <w:b w:val="0"/>
          <w:bCs w:val="0"/>
          <w:sz w:val="24"/>
          <w:szCs w:val="24"/>
          <w:rtl w:val="1"/>
        </w:rPr>
        <w:t>’</w:t>
      </w:r>
      <w:r>
        <w:rPr>
          <w:rFonts w:ascii="Verdana" w:hAnsi="Verdana"/>
          <w:b w:val="0"/>
          <w:bCs w:val="0"/>
          <w:sz w:val="24"/>
          <w:szCs w:val="24"/>
          <w:rtl w:val="0"/>
          <w:lang w:val="fr-FR"/>
        </w:rPr>
        <w:t xml:space="preserve">s terminus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and it looks exactly like what the selection pressure predicts.</w:t>
      </w:r>
    </w:p>
    <w:p>
      <w:pPr>
        <w:pStyle w:val="Heading"/>
        <w:rPr>
          <w:rFonts w:ascii="Verdana" w:cs="Verdana" w:hAnsi="Verdana" w:eastAsia="Verdana"/>
        </w:rPr>
      </w:pPr>
      <w:r>
        <w:rPr>
          <w:rFonts w:ascii="Verdana" w:hAnsi="Verdana"/>
          <w:rtl w:val="0"/>
          <w:lang w:val="es-ES_tradnl"/>
        </w:rPr>
        <w:t>8. DSSM Corridor Scorecard</w:t>
      </w:r>
    </w:p>
    <w:p>
      <w:pPr>
        <w:pStyle w:val="Heading"/>
        <w:rPr>
          <w:rFonts w:ascii="Verdana" w:cs="Verdana" w:hAnsi="Verdana" w:eastAsia="Verdana"/>
          <w:b w:val="0"/>
          <w:bCs w:val="0"/>
        </w:rPr>
      </w:pPr>
      <w:r>
        <w:rPr>
          <w:rFonts w:ascii="Verdana" w:hAnsi="Verdana"/>
          <w:b w:val="0"/>
          <w:bCs w:val="0"/>
          <w:sz w:val="24"/>
          <w:szCs w:val="24"/>
          <w:rtl w:val="0"/>
          <w:lang w:val="en-US"/>
        </w:rPr>
        <w:t>Table 3 summarizes DSSM-relevant evidence at the corridor</w:t>
      </w:r>
      <w:r>
        <w:rPr>
          <w:rFonts w:ascii="Verdana" w:hAnsi="Verdana" w:hint="default"/>
          <w:b w:val="0"/>
          <w:bCs w:val="0"/>
          <w:sz w:val="24"/>
          <w:szCs w:val="24"/>
          <w:rtl w:val="1"/>
        </w:rPr>
        <w:t>’</w:t>
      </w:r>
      <w:r>
        <w:rPr>
          <w:rFonts w:ascii="Verdana" w:hAnsi="Verdana"/>
          <w:b w:val="0"/>
          <w:bCs w:val="0"/>
          <w:sz w:val="24"/>
          <w:szCs w:val="24"/>
          <w:rtl w:val="0"/>
          <w:lang w:val="en-US"/>
        </w:rPr>
        <w:t>s documented anchor points. Sites between Blombos and Fa Hien are largely submerged or unexcavated; the scorecard reflects what the preserved record shows, not the full corridor population.</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sz w:val="24"/>
          <w:szCs w:val="24"/>
          <w:rtl w:val="0"/>
          <w:lang w:val="en-US"/>
        </w:rPr>
        <w:t>Table 3. DSSM Anchor Points Along the Southern Dispersal Corridor</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80"/>
        <w:gridCol w:w="780"/>
        <w:gridCol w:w="1560"/>
        <w:gridCol w:w="2340"/>
        <w:gridCol w:w="2600"/>
      </w:tblGrid>
      <w:tr>
        <w:tblPrEx>
          <w:shd w:val="clear" w:color="auto" w:fill="ced7e7"/>
        </w:tblPrEx>
        <w:trPr>
          <w:trHeight w:val="522"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2"/>
                <w:szCs w:val="22"/>
                <w:u w:color="000000"/>
                <w:shd w:val="nil" w:color="auto" w:fill="auto"/>
                <w:rtl w:val="0"/>
                <w:lang w:val="de-DE"/>
              </w:rPr>
              <w:t>Site / Zone</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b w:val="1"/>
                <w:bCs w:val="1"/>
                <w:sz w:val="22"/>
                <w:szCs w:val="22"/>
                <w:u w:color="000000"/>
                <w:shd w:val="nil" w:color="auto" w:fill="auto"/>
                <w:rtl w:val="0"/>
                <w:lang w:val="pt-PT"/>
              </w:rPr>
              <w:t>FCP Score</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2"/>
                <w:szCs w:val="22"/>
                <w:u w:color="000000"/>
                <w:shd w:val="nil" w:color="auto" w:fill="auto"/>
                <w:rtl w:val="0"/>
                <w:lang w:val="es-ES_tradnl"/>
              </w:rPr>
              <w:t>Period</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Key Evidence</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pt-PT"/>
              </w:rPr>
              <w:t>Corridor Role</w:t>
            </w:r>
          </w:p>
        </w:tc>
      </w:tr>
      <w:tr>
        <w:tblPrEx>
          <w:shd w:val="clear" w:color="auto" w:fill="ced7e7"/>
        </w:tblPrEx>
        <w:trPr>
          <w:trHeight w:val="808"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it-IT"/>
              </w:rPr>
              <w:t>Omo Kibish, Ethiopia</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sz w:val="22"/>
                <w:szCs w:val="22"/>
                <w:u w:color="000000"/>
                <w:shd w:val="nil" w:color="auto" w:fill="auto"/>
                <w:rtl w:val="0"/>
              </w:rPr>
              <w:t>2/12</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~200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Pigment traces, repeated habitation, nascent spatial use</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it-IT"/>
              </w:rPr>
              <w:t>Cognitive antecedent; departure precondition</w:t>
            </w:r>
          </w:p>
        </w:tc>
      </w:tr>
      <w:tr>
        <w:tblPrEx>
          <w:shd w:val="clear" w:color="auto" w:fill="ced7e7"/>
        </w:tblPrEx>
        <w:trPr>
          <w:trHeight w:val="1095"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Blombos Cave, South Africa</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sz w:val="22"/>
                <w:szCs w:val="22"/>
                <w:u w:color="000000"/>
                <w:shd w:val="nil" w:color="auto" w:fill="auto"/>
                <w:rtl w:val="0"/>
              </w:rPr>
              <w:t>12/12</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~100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70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Shell beads, engraved ochre, standardized motifs, structured hearths</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Symbolic departure baseline; portable anchor inventory established</w:t>
            </w:r>
          </w:p>
        </w:tc>
      </w:tr>
      <w:tr>
        <w:tblPrEx>
          <w:shd w:val="clear" w:color="auto" w:fill="ced7e7"/>
        </w:tblPrEx>
        <w:trPr>
          <w:trHeight w:val="808"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Red Sea / Horn of Africa coast</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sz w:val="22"/>
                <w:szCs w:val="22"/>
                <w:u w:color="000000"/>
                <w:shd w:val="nil" w:color="auto" w:fill="auto"/>
                <w:rtl w:val="0"/>
                <w:lang w:val="en-US"/>
              </w:rPr>
              <w:t>Inferred</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~125</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70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Eritrean coastal occupation ~125 ka; MSA assemblages</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Crossing preparation zone; Bab-el-Mandeb bottleneck</w:t>
            </w:r>
          </w:p>
        </w:tc>
      </w:tr>
      <w:tr>
        <w:tblPrEx>
          <w:shd w:val="clear" w:color="auto" w:fill="ced7e7"/>
        </w:tblPrEx>
        <w:trPr>
          <w:trHeight w:val="1095"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it-IT"/>
              </w:rPr>
              <w:t>Arabian coastal corridor</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sz w:val="22"/>
                <w:szCs w:val="22"/>
                <w:u w:color="000000"/>
                <w:shd w:val="nil" w:color="auto" w:fill="auto"/>
                <w:rtl w:val="0"/>
                <w:lang w:val="en-US"/>
              </w:rPr>
              <w:t>Largely submerged</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~70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60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Genetic signal confirmed; limited lithic evidence where preserved</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Transit zone; symbolic compression under post-Toba conditions</w:t>
            </w:r>
          </w:p>
        </w:tc>
      </w:tr>
      <w:tr>
        <w:tblPrEx>
          <w:shd w:val="clear" w:color="auto" w:fill="ced7e7"/>
        </w:tblPrEx>
        <w:trPr>
          <w:trHeight w:val="1095"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Indian subcontinent margins</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sz w:val="22"/>
                <w:szCs w:val="22"/>
                <w:u w:color="000000"/>
                <w:shd w:val="nil" w:color="auto" w:fill="auto"/>
                <w:rtl w:val="0"/>
                <w:lang w:val="en-US"/>
              </w:rPr>
              <w:t>Inferred Stage 2</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~60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45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Lithic continuity across Toba ash; microlithic tradition persistent</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Corridor transit; technological grammar transmission confirmed</w:t>
            </w:r>
          </w:p>
        </w:tc>
      </w:tr>
      <w:tr>
        <w:tblPrEx>
          <w:shd w:val="clear" w:color="auto" w:fill="ced7e7"/>
        </w:tblPrEx>
        <w:trPr>
          <w:trHeight w:val="1095" w:hRule="atLeast"/>
        </w:trPr>
        <w:tc>
          <w:tcPr>
            <w:tcW w:type="dxa" w:w="20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nl-NL"/>
              </w:rPr>
              <w:t>Fa Hien Cave, Sri Lanka</w:t>
            </w:r>
          </w:p>
        </w:tc>
        <w:tc>
          <w:tcPr>
            <w:tcW w:type="dxa" w:w="78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Arial" w:hAnsi="Arial"/>
                <w:sz w:val="22"/>
                <w:szCs w:val="22"/>
                <w:u w:color="000000"/>
                <w:shd w:val="nil" w:color="auto" w:fill="auto"/>
                <w:rtl w:val="0"/>
                <w:lang w:val="da-DK"/>
              </w:rPr>
              <w:t>Stage 2</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3</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lang w:val="en-US"/>
              </w:rPr>
              <w:t>~45 ka onward</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Microliths, bone points, ochre, structured spatial use, Holocene continuity</w:t>
            </w:r>
          </w:p>
        </w:tc>
        <w:tc>
          <w:tcPr>
            <w:tcW w:type="dxa" w:w="260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Corridor terminus; symbolic compression signature; preservation window</w:t>
            </w:r>
          </w:p>
        </w:tc>
      </w:tr>
    </w:tbl>
    <w:p>
      <w:pPr>
        <w:pStyle w:val="Heading"/>
        <w:widowControl w:val="0"/>
        <w:rPr>
          <w:rFonts w:ascii="Verdana" w:cs="Verdana" w:hAnsi="Verdana" w:eastAsia="Verdana"/>
          <w:b w:val="0"/>
          <w:bCs w:val="0"/>
        </w:rPr>
      </w:pPr>
    </w:p>
    <w:p>
      <w:pPr>
        <w:pStyle w:val="Heading"/>
        <w:widowControl w:val="0"/>
        <w:rPr>
          <w:rFonts w:ascii="Verdana" w:cs="Verdana" w:hAnsi="Verdana" w:eastAsia="Verdana"/>
          <w:b w:val="0"/>
          <w:bCs w:val="0"/>
        </w:rPr>
      </w:pPr>
      <w:r>
        <w:rPr>
          <w:rFonts w:ascii="Verdana" w:hAnsi="Verdana"/>
          <w:b w:val="0"/>
          <w:bCs w:val="0"/>
          <w:i w:val="1"/>
          <w:iCs w:val="1"/>
          <w:sz w:val="22"/>
          <w:szCs w:val="22"/>
          <w:rtl w:val="0"/>
          <w:lang w:val="en-US"/>
        </w:rPr>
        <w:t xml:space="preserve">FCP scores where applicable follow the Field Companion Protocol (Vondoom, 2026). </w:t>
      </w:r>
      <w:r>
        <w:rPr>
          <w:rFonts w:ascii="Verdana" w:hAnsi="Verdana" w:hint="default"/>
          <w:b w:val="0"/>
          <w:bCs w:val="0"/>
          <w:i w:val="1"/>
          <w:iCs w:val="1"/>
          <w:sz w:val="22"/>
          <w:szCs w:val="22"/>
          <w:rtl w:val="1"/>
        </w:rPr>
        <w:t>‘</w:t>
      </w:r>
      <w:r>
        <w:rPr>
          <w:rFonts w:ascii="Verdana" w:hAnsi="Verdana"/>
          <w:b w:val="0"/>
          <w:bCs w:val="0"/>
          <w:i w:val="1"/>
          <w:iCs w:val="1"/>
          <w:sz w:val="22"/>
          <w:szCs w:val="22"/>
          <w:rtl w:val="0"/>
          <w:lang w:val="en-US"/>
        </w:rPr>
        <w:t>Inferred</w:t>
      </w:r>
      <w:r>
        <w:rPr>
          <w:rFonts w:ascii="Verdana" w:hAnsi="Verdana" w:hint="default"/>
          <w:b w:val="0"/>
          <w:bCs w:val="0"/>
          <w:i w:val="1"/>
          <w:iCs w:val="1"/>
          <w:sz w:val="22"/>
          <w:szCs w:val="22"/>
          <w:rtl w:val="1"/>
        </w:rPr>
        <w:t xml:space="preserve">’ </w:t>
      </w:r>
      <w:r>
        <w:rPr>
          <w:rFonts w:ascii="Verdana" w:hAnsi="Verdana"/>
          <w:b w:val="0"/>
          <w:bCs w:val="0"/>
          <w:i w:val="1"/>
          <w:iCs w:val="1"/>
          <w:sz w:val="22"/>
          <w:szCs w:val="22"/>
          <w:rtl w:val="0"/>
          <w:lang w:val="en-US"/>
        </w:rPr>
        <w:t>indicates DSSM-consistent assemblage without full FCP scoring. Arabian and Indian coastal sites are largely submerged and unscored.</w:t>
      </w:r>
    </w:p>
    <w:p>
      <w:pPr>
        <w:pStyle w:val="Heading"/>
        <w:rPr>
          <w:rFonts w:ascii="Verdana" w:cs="Verdana" w:hAnsi="Verdana" w:eastAsia="Verdana"/>
        </w:rPr>
      </w:pPr>
    </w:p>
    <w:p>
      <w:pPr>
        <w:pStyle w:val="Heading"/>
        <w:rPr>
          <w:rFonts w:ascii="Verdana" w:cs="Verdana" w:hAnsi="Verdana" w:eastAsia="Verdana"/>
        </w:rPr>
      </w:pPr>
    </w:p>
    <w:p>
      <w:pPr>
        <w:pStyle w:val="Heading"/>
        <w:rPr>
          <w:rFonts w:ascii="Verdana" w:cs="Verdana" w:hAnsi="Verdana" w:eastAsia="Verdana"/>
        </w:rPr>
      </w:pPr>
    </w:p>
    <w:p>
      <w:pPr>
        <w:pStyle w:val="Heading"/>
        <w:rPr>
          <w:rFonts w:ascii="Verdana" w:cs="Verdana" w:hAnsi="Verdana" w:eastAsia="Verdana"/>
        </w:rPr>
      </w:pPr>
    </w:p>
    <w:p>
      <w:pPr>
        <w:pStyle w:val="Heading"/>
        <w:rPr>
          <w:rFonts w:ascii="Verdana" w:cs="Verdana" w:hAnsi="Verdana" w:eastAsia="Verdana"/>
        </w:rPr>
      </w:pPr>
    </w:p>
    <w:p>
      <w:pPr>
        <w:pStyle w:val="Heading"/>
        <w:rPr>
          <w:rFonts w:ascii="Verdana" w:cs="Verdana" w:hAnsi="Verdana" w:eastAsia="Verdana"/>
        </w:rPr>
      </w:pPr>
      <w:r>
        <w:rPr>
          <w:rFonts w:ascii="Verdana" w:hAnsi="Verdana"/>
          <w:rtl w:val="0"/>
          <w:lang w:val="en-US"/>
        </w:rPr>
        <w:t>9. Relationship to the DSSM Corpus</w:t>
      </w:r>
    </w:p>
    <w:p>
      <w:pPr>
        <w:pStyle w:val="Heading"/>
        <w:rPr>
          <w:rFonts w:ascii="Verdana" w:cs="Verdana" w:hAnsi="Verdana" w:eastAsia="Verdana"/>
          <w:b w:val="0"/>
          <w:bCs w:val="0"/>
        </w:rPr>
      </w:pPr>
      <w:r>
        <w:rPr>
          <w:rFonts w:ascii="Verdana" w:hAnsi="Verdana"/>
          <w:b w:val="0"/>
          <w:bCs w:val="0"/>
          <w:sz w:val="24"/>
          <w:szCs w:val="24"/>
          <w:rtl w:val="0"/>
          <w:lang w:val="en-US"/>
        </w:rPr>
        <w:t>This paper occupies a specific position in the DSSM corpus. Table 4 maps the papers directly relevant to the Africa</w:t>
      </w:r>
      <w:r>
        <w:rPr>
          <w:rFonts w:ascii="Verdana" w:hAnsi="Verdana" w:hint="default"/>
          <w:b w:val="0"/>
          <w:bCs w:val="0"/>
          <w:sz w:val="24"/>
          <w:szCs w:val="24"/>
          <w:rtl w:val="0"/>
        </w:rPr>
        <w:t>–</w:t>
      </w:r>
      <w:r>
        <w:rPr>
          <w:rFonts w:ascii="Verdana" w:hAnsi="Verdana"/>
          <w:b w:val="0"/>
          <w:bCs w:val="0"/>
          <w:sz w:val="24"/>
          <w:szCs w:val="24"/>
          <w:rtl w:val="0"/>
          <w:lang w:val="en-US"/>
        </w:rPr>
        <w:t>South Asia symbolic arc and identifies the role each plays.</w:t>
      </w:r>
    </w:p>
    <w:p>
      <w:pPr>
        <w:pStyle w:val="Heading"/>
        <w:rPr>
          <w:rFonts w:ascii="Verdana" w:cs="Verdana" w:hAnsi="Verdana" w:eastAsia="Verdana"/>
          <w:b w:val="0"/>
          <w:bCs w:val="0"/>
        </w:rPr>
      </w:pPr>
      <w:r>
        <w:rPr>
          <w:rFonts w:ascii="Verdana" w:hAnsi="Verdana"/>
          <w:b w:val="0"/>
          <w:bCs w:val="0"/>
          <w:sz w:val="24"/>
          <w:szCs w:val="24"/>
          <w:rtl w:val="0"/>
          <w:lang w:val="it-IT"/>
        </w:rPr>
        <w:t>Table 4. DSSM Corpus: Africa</w:t>
      </w:r>
      <w:r>
        <w:rPr>
          <w:rFonts w:ascii="Verdana" w:hAnsi="Verdana" w:hint="default"/>
          <w:b w:val="0"/>
          <w:bCs w:val="0"/>
          <w:sz w:val="24"/>
          <w:szCs w:val="24"/>
          <w:rtl w:val="0"/>
        </w:rPr>
        <w:t>–</w:t>
      </w:r>
      <w:r>
        <w:rPr>
          <w:rFonts w:ascii="Verdana" w:hAnsi="Verdana"/>
          <w:b w:val="0"/>
          <w:bCs w:val="0"/>
          <w:sz w:val="24"/>
          <w:szCs w:val="24"/>
          <w:rtl w:val="0"/>
          <w:lang w:val="en-US"/>
        </w:rPr>
        <w:t>South Asia Symbolic Arc</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20"/>
        <w:gridCol w:w="1560"/>
        <w:gridCol w:w="2340"/>
        <w:gridCol w:w="2340"/>
      </w:tblGrid>
      <w:tr>
        <w:tblPrEx>
          <w:shd w:val="clear" w:color="auto" w:fill="ced7e7"/>
        </w:tblPrEx>
        <w:trPr>
          <w:trHeight w:val="235"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b w:val="1"/>
                <w:bCs w:val="1"/>
                <w:sz w:val="22"/>
                <w:szCs w:val="22"/>
                <w:u w:color="000000"/>
                <w:shd w:val="nil" w:color="auto" w:fill="auto"/>
                <w:rtl w:val="0"/>
                <w:lang w:val="it-IT"/>
              </w:rPr>
              <w:t>Paper</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b w:val="1"/>
                <w:bCs w:val="1"/>
                <w:sz w:val="22"/>
                <w:szCs w:val="22"/>
                <w:u w:color="000000"/>
                <w:shd w:val="nil" w:color="auto" w:fill="auto"/>
                <w:rtl w:val="0"/>
              </w:rPr>
              <w:t>Corpus #</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en-US"/>
              </w:rPr>
              <w:t>Geographic Focus</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d5e8f0"/>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b w:val="1"/>
                <w:bCs w:val="1"/>
                <w:sz w:val="22"/>
                <w:szCs w:val="22"/>
                <w:u w:color="000000"/>
                <w:shd w:val="nil" w:color="auto" w:fill="auto"/>
                <w:rtl w:val="0"/>
                <w:lang w:val="it-IT"/>
              </w:rPr>
              <w:t>Role in Arc</w:t>
            </w:r>
          </w:p>
        </w:tc>
      </w:tr>
      <w:tr>
        <w:tblPrEx>
          <w:shd w:val="clear" w:color="auto" w:fill="ced7e7"/>
        </w:tblPrEx>
        <w:trPr>
          <w:trHeight w:val="522"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DSSM Analysis: Bruniquel Cave</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23</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France, ~176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Neanderthal symbolic baseline</w:t>
            </w:r>
          </w:p>
        </w:tc>
      </w:tr>
      <w:tr>
        <w:tblPrEx>
          <w:shd w:val="clear" w:color="auto" w:fill="ced7e7"/>
        </w:tblPrEx>
        <w:trPr>
          <w:trHeight w:val="522"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DSSM Analysis: Blombos Cave</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25</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South Africa, ~100</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rPr>
              <w:t>70 ka</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Sapiens symbolic departure baseline</w:t>
            </w:r>
          </w:p>
        </w:tc>
      </w:tr>
      <w:tr>
        <w:tblPrEx>
          <w:shd w:val="clear" w:color="auto" w:fill="ced7e7"/>
        </w:tblPrEx>
        <w:trPr>
          <w:trHeight w:val="522"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From Bruniquel to Blombos</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26</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Africa / Europe synthesis</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Cognitive evolution synthesis</w:t>
            </w:r>
          </w:p>
        </w:tc>
      </w:tr>
      <w:tr>
        <w:tblPrEx>
          <w:shd w:val="clear" w:color="auto" w:fill="ced7e7"/>
        </w:tblPrEx>
        <w:trPr>
          <w:trHeight w:val="808"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From Blombos to Fa Hien [this paper]</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78</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pt-PT"/>
              </w:rPr>
              <w:t xml:space="preserve">Africa </w:t>
            </w:r>
            <w:r>
              <w:rPr>
                <w:rFonts w:ascii="Arial" w:hAnsi="Arial" w:hint="default"/>
                <w:sz w:val="22"/>
                <w:szCs w:val="22"/>
                <w:u w:color="000000"/>
                <w:shd w:val="nil" w:color="auto" w:fill="auto"/>
                <w:rtl w:val="0"/>
              </w:rPr>
              <w:t xml:space="preserve">→ </w:t>
            </w:r>
            <w:r>
              <w:rPr>
                <w:rFonts w:ascii="Arial" w:hAnsi="Arial"/>
                <w:sz w:val="22"/>
                <w:szCs w:val="22"/>
                <w:u w:color="000000"/>
                <w:shd w:val="nil" w:color="auto" w:fill="auto"/>
                <w:rtl w:val="0"/>
                <w:lang w:val="it-IT"/>
              </w:rPr>
              <w:t>South Asia corridor</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Connective tissue; dispersal and symbolic compression</w:t>
            </w:r>
          </w:p>
        </w:tc>
      </w:tr>
      <w:tr>
        <w:tblPrEx>
          <w:shd w:val="clear" w:color="auto" w:fill="ced7e7"/>
        </w:tblPrEx>
        <w:trPr>
          <w:trHeight w:val="522"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Symbolic Continuity Without Monumentality</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10</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 xml:space="preserve">Sri Lanka, ~45 ka </w:t>
            </w:r>
            <w:r>
              <w:rPr>
                <w:rFonts w:ascii="Arial" w:hAnsi="Arial" w:hint="default"/>
                <w:sz w:val="22"/>
                <w:szCs w:val="22"/>
                <w:u w:color="000000"/>
                <w:shd w:val="nil" w:color="auto" w:fill="auto"/>
                <w:rtl w:val="0"/>
              </w:rPr>
              <w:t xml:space="preserve">– </w:t>
            </w:r>
            <w:r>
              <w:rPr>
                <w:rFonts w:ascii="Arial" w:hAnsi="Arial"/>
                <w:sz w:val="22"/>
                <w:szCs w:val="22"/>
                <w:u w:color="000000"/>
                <w:shd w:val="nil" w:color="auto" w:fill="auto"/>
                <w:rtl w:val="0"/>
                <w:lang w:val="fr-FR"/>
              </w:rPr>
              <w:t>3000 BCE</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Destination: symbolic sufficiency case</w:t>
            </w:r>
          </w:p>
        </w:tc>
      </w:tr>
      <w:tr>
        <w:tblPrEx>
          <w:shd w:val="clear" w:color="auto" w:fill="ced7e7"/>
        </w:tblPrEx>
        <w:trPr>
          <w:trHeight w:val="522"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nl-NL"/>
              </w:rPr>
              <w:t>Ravana's Lanka</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hint="default"/>
                <w:sz w:val="22"/>
                <w:szCs w:val="22"/>
                <w:u w:color="000000"/>
                <w:shd w:val="nil" w:color="auto" w:fill="auto"/>
                <w:rtl w:val="0"/>
                <w:lang w:val="en-US"/>
              </w:rPr>
              <w:t>—</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rPr>
              <w:t>Sri Lanka, pre-LGM</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fr-FR"/>
              </w:rPr>
              <w:t>Submerged civilisation argument</w:t>
            </w:r>
          </w:p>
        </w:tc>
      </w:tr>
      <w:tr>
        <w:tblPrEx>
          <w:shd w:val="clear" w:color="auto" w:fill="ced7e7"/>
        </w:tblPrEx>
        <w:trPr>
          <w:trHeight w:val="808"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rPr>
              <w:t>The Ramayana's Southern Geography</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sz w:val="22"/>
                <w:szCs w:val="22"/>
                <w:u w:color="000000"/>
                <w:shd w:val="nil" w:color="auto" w:fill="auto"/>
                <w:rtl w:val="0"/>
              </w:rPr>
              <w:t>77</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it-IT"/>
              </w:rPr>
              <w:t>Sri Lanka / India, oral tradition</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Narrative memory of the corridor geography</w:t>
            </w:r>
          </w:p>
        </w:tc>
      </w:tr>
      <w:tr>
        <w:tblPrEx>
          <w:shd w:val="clear" w:color="auto" w:fill="ced7e7"/>
        </w:tblPrEx>
        <w:trPr>
          <w:trHeight w:val="522" w:hRule="atLeast"/>
        </w:trPr>
        <w:tc>
          <w:tcPr>
            <w:tcW w:type="dxa" w:w="312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Arial" w:hAnsi="Arial"/>
                <w:sz w:val="22"/>
                <w:szCs w:val="22"/>
                <w:u w:color="000000"/>
                <w:shd w:val="nil" w:color="auto" w:fill="auto"/>
                <w:rtl w:val="0"/>
                <w:lang w:val="en-US"/>
              </w:rPr>
              <w:t>Flying Over Water</w:t>
            </w:r>
          </w:p>
        </w:tc>
        <w:tc>
          <w:tcPr>
            <w:tcW w:type="dxa" w:w="156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Arial" w:hAnsi="Arial" w:hint="default"/>
                <w:sz w:val="22"/>
                <w:szCs w:val="22"/>
                <w:u w:color="000000"/>
                <w:shd w:val="nil" w:color="auto" w:fill="auto"/>
                <w:rtl w:val="0"/>
                <w:lang w:val="en-US"/>
              </w:rPr>
              <w:t>—</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rPr>
              <w:t>Indian Ocean, Toba</w:t>
            </w:r>
            <w:r>
              <w:rPr>
                <w:rFonts w:ascii="Arial" w:hAnsi="Arial" w:hint="default"/>
                <w:sz w:val="22"/>
                <w:szCs w:val="22"/>
                <w:u w:color="000000"/>
                <w:shd w:val="nil" w:color="auto" w:fill="auto"/>
                <w:rtl w:val="0"/>
              </w:rPr>
              <w:t>–</w:t>
            </w:r>
            <w:r>
              <w:rPr>
                <w:rFonts w:ascii="Arial" w:hAnsi="Arial"/>
                <w:sz w:val="22"/>
                <w:szCs w:val="22"/>
                <w:u w:color="000000"/>
                <w:shd w:val="nil" w:color="auto" w:fill="auto"/>
                <w:rtl w:val="0"/>
                <w:lang w:val="pt-PT"/>
              </w:rPr>
              <w:t>Cholas</w:t>
            </w:r>
          </w:p>
        </w:tc>
        <w:tc>
          <w:tcPr>
            <w:tcW w:type="dxa" w:w="2340"/>
            <w:tcBorders>
              <w:top w:val="single" w:color="cccccc" w:sz="1" w:space="0" w:shadow="0" w:frame="0"/>
              <w:left w:val="single" w:color="cccccc" w:sz="1" w:space="0" w:shadow="0" w:frame="0"/>
              <w:bottom w:val="single" w:color="cccccc" w:sz="1" w:space="0" w:shadow="0" w:frame="0"/>
              <w:right w:val="single" w:color="cccccc"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Arial" w:hAnsi="Arial"/>
                <w:sz w:val="22"/>
                <w:szCs w:val="22"/>
                <w:u w:color="000000"/>
                <w:shd w:val="nil" w:color="auto" w:fill="auto"/>
                <w:rtl w:val="0"/>
                <w:lang w:val="en-US"/>
              </w:rPr>
              <w:t>Long-term maritime symbolic sovereignty</w:t>
            </w:r>
          </w:p>
        </w:tc>
      </w:tr>
    </w:tbl>
    <w:p>
      <w:pPr>
        <w:pStyle w:val="Heading"/>
        <w:widowControl w:val="0"/>
        <w:rPr>
          <w:rFonts w:ascii="Verdana" w:cs="Verdana" w:hAnsi="Verdana" w:eastAsia="Verdana"/>
          <w:b w:val="0"/>
          <w:bCs w:val="0"/>
        </w:rPr>
      </w:pPr>
    </w:p>
    <w:p>
      <w:pPr>
        <w:pStyle w:val="Heading"/>
        <w:widowControl w:val="0"/>
        <w:rPr>
          <w:rFonts w:ascii="Verdana" w:cs="Verdana" w:hAnsi="Verdana" w:eastAsia="Verdana"/>
          <w:b w:val="0"/>
          <w:bCs w:val="0"/>
        </w:rPr>
      </w:pPr>
      <w:r>
        <w:rPr>
          <w:rFonts w:ascii="Verdana" w:hAnsi="Verdana"/>
          <w:b w:val="0"/>
          <w:bCs w:val="0"/>
          <w:i w:val="1"/>
          <w:iCs w:val="1"/>
          <w:sz w:val="22"/>
          <w:szCs w:val="22"/>
          <w:rtl w:val="0"/>
          <w:lang w:val="en-US"/>
        </w:rPr>
        <w:t>Papers listed are those directly in dialogue with the corridor argument. The full DSSM corpus spans additional regional syntheses, site analyses, and thematic papers not listed here.</w:t>
      </w:r>
    </w:p>
    <w:p>
      <w:pPr>
        <w:pStyle w:val="Heading"/>
        <w:widowControl w:val="0"/>
        <w:rPr>
          <w:rFonts w:ascii="Verdana" w:cs="Verdana" w:hAnsi="Verdana" w:eastAsia="Verdana"/>
          <w:b w:val="0"/>
          <w:bCs w:val="0"/>
        </w:rPr>
      </w:pPr>
      <w:r>
        <w:rPr>
          <w:rFonts w:ascii="Verdana" w:hAnsi="Verdana"/>
          <w:b w:val="0"/>
          <w:bCs w:val="0"/>
          <w:sz w:val="24"/>
          <w:szCs w:val="24"/>
          <w:rtl w:val="0"/>
          <w:lang w:val="en-US"/>
        </w:rPr>
        <w:t>The corridor paper makes an implicit connection explicit: the symbolic systems that eventually produced the long-term continuity documented in Sri Lanka were not generated locally in isolation. They arrived, compressed and robust, from a 60,000-year tradition of coastal transmission that began at Blombos and passed through every ecological stress event the Late Pleistocene could produce.</w:t>
      </w:r>
    </w:p>
    <w:p>
      <w:pPr>
        <w:pStyle w:val="Heading"/>
        <w:widowControl w:val="0"/>
        <w:rPr>
          <w:rFonts w:ascii="Verdana" w:cs="Verdana" w:hAnsi="Verdana" w:eastAsia="Verdana"/>
          <w:b w:val="0"/>
          <w:bCs w:val="0"/>
        </w:rPr>
      </w:pPr>
    </w:p>
    <w:p>
      <w:pPr>
        <w:pStyle w:val="Heading"/>
        <w:widowControl w:val="0"/>
        <w:rPr>
          <w:rFonts w:ascii="Verdana" w:cs="Verdana" w:hAnsi="Verdana" w:eastAsia="Verdana"/>
          <w:b w:val="0"/>
          <w:bCs w:val="0"/>
        </w:rPr>
      </w:pPr>
      <w:r>
        <w:rPr>
          <w:rFonts w:ascii="Verdana" w:hAnsi="Verdana"/>
          <w:b w:val="0"/>
          <w:bCs w:val="0"/>
          <w:sz w:val="24"/>
          <w:szCs w:val="24"/>
          <w:rtl w:val="0"/>
        </w:rPr>
        <w:t>Sri Lanka</w:t>
      </w:r>
      <w:r>
        <w:rPr>
          <w:rFonts w:ascii="Verdana" w:hAnsi="Verdana" w:hint="default"/>
          <w:b w:val="0"/>
          <w:bCs w:val="0"/>
          <w:sz w:val="24"/>
          <w:szCs w:val="24"/>
          <w:rtl w:val="1"/>
        </w:rPr>
        <w:t>’</w:t>
      </w:r>
      <w:r>
        <w:rPr>
          <w:rFonts w:ascii="Verdana" w:hAnsi="Verdana"/>
          <w:b w:val="0"/>
          <w:bCs w:val="0"/>
          <w:sz w:val="24"/>
          <w:szCs w:val="24"/>
          <w:rtl w:val="0"/>
          <w:lang w:val="en-US"/>
        </w:rPr>
        <w:t xml:space="preserve">s symbolic sufficiency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its capacity to maintain cognitive and ritual continuity across more than 45,000 years of documented occupation without monumental externalization, a record that extends further back once submerged coastal sites are accounted for (Vondoom, 2026b)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is not a puzzle that requires explanation from within the island. It is the predictable outcome of a symbolic system that had already been selected for compression, portability, and stress-resistance before it ever reached the island</w:t>
      </w:r>
      <w:r>
        <w:rPr>
          <w:rFonts w:ascii="Verdana" w:hAnsi="Verdana" w:hint="default"/>
          <w:b w:val="0"/>
          <w:bCs w:val="0"/>
          <w:sz w:val="24"/>
          <w:szCs w:val="24"/>
          <w:rtl w:val="1"/>
        </w:rPr>
        <w:t>’</w:t>
      </w:r>
      <w:r>
        <w:rPr>
          <w:rFonts w:ascii="Verdana" w:hAnsi="Verdana"/>
          <w:b w:val="0"/>
          <w:bCs w:val="0"/>
          <w:sz w:val="24"/>
          <w:szCs w:val="24"/>
          <w:rtl w:val="0"/>
          <w:lang w:val="en-US"/>
        </w:rPr>
        <w:t>s shores.</w:t>
      </w:r>
    </w:p>
    <w:p>
      <w:pPr>
        <w:pStyle w:val="Heading"/>
        <w:rPr>
          <w:rFonts w:ascii="Verdana" w:cs="Verdana" w:hAnsi="Verdana" w:eastAsia="Verdana"/>
        </w:rPr>
      </w:pPr>
      <w:r>
        <w:rPr>
          <w:rFonts w:ascii="Verdana" w:hAnsi="Verdana"/>
          <w:rtl w:val="0"/>
          <w:lang w:val="en-US"/>
        </w:rPr>
        <w:t>10. Testable Predictions</w:t>
      </w:r>
    </w:p>
    <w:p>
      <w:pPr>
        <w:pStyle w:val="Heading"/>
        <w:rPr>
          <w:rFonts w:ascii="Verdana" w:cs="Verdana" w:hAnsi="Verdana" w:eastAsia="Verdana"/>
          <w:b w:val="0"/>
          <w:bCs w:val="0"/>
        </w:rPr>
      </w:pPr>
      <w:r>
        <w:rPr>
          <w:rFonts w:ascii="Verdana" w:hAnsi="Verdana"/>
          <w:b w:val="1"/>
          <w:bCs w:val="1"/>
          <w:sz w:val="24"/>
          <w:szCs w:val="24"/>
          <w:rtl w:val="0"/>
          <w:lang w:val="en-US"/>
        </w:rPr>
        <w:t>Prediction one</w:t>
      </w:r>
      <w:r>
        <w:rPr>
          <w:rFonts w:ascii="Verdana" w:hAnsi="Verdana"/>
          <w:b w:val="0"/>
          <w:bCs w:val="0"/>
          <w:sz w:val="24"/>
          <w:szCs w:val="24"/>
          <w:rtl w:val="0"/>
          <w:lang w:val="en-US"/>
        </w:rPr>
        <w:t>: Systematic survey of submerged shelf areas along the Indian western coast at depths consistent with ~60</w:t>
      </w:r>
      <w:r>
        <w:rPr>
          <w:rFonts w:ascii="Verdana" w:hAnsi="Verdana" w:hint="default"/>
          <w:b w:val="0"/>
          <w:bCs w:val="0"/>
          <w:sz w:val="24"/>
          <w:szCs w:val="24"/>
          <w:rtl w:val="0"/>
        </w:rPr>
        <w:t>–</w:t>
      </w:r>
      <w:r>
        <w:rPr>
          <w:rFonts w:ascii="Verdana" w:hAnsi="Verdana"/>
          <w:b w:val="0"/>
          <w:bCs w:val="0"/>
          <w:sz w:val="24"/>
          <w:szCs w:val="24"/>
          <w:rtl w:val="0"/>
          <w:lang w:val="en-US"/>
        </w:rPr>
        <w:t>45 ka sea levels should recover lithic assemblages consistent with the microlithic tradition documented at Fa Hien. The corridor populations were moving along coastlines that are now 60</w:t>
      </w:r>
      <w:r>
        <w:rPr>
          <w:rFonts w:ascii="Verdana" w:hAnsi="Verdana" w:hint="default"/>
          <w:b w:val="0"/>
          <w:bCs w:val="0"/>
          <w:sz w:val="24"/>
          <w:szCs w:val="24"/>
          <w:rtl w:val="0"/>
        </w:rPr>
        <w:t>–</w:t>
      </w:r>
      <w:r>
        <w:rPr>
          <w:rFonts w:ascii="Verdana" w:hAnsi="Verdana"/>
          <w:b w:val="0"/>
          <w:bCs w:val="0"/>
          <w:sz w:val="24"/>
          <w:szCs w:val="24"/>
          <w:rtl w:val="0"/>
          <w:lang w:val="en-US"/>
        </w:rPr>
        <w:t>90 metres underwater. The material record of the transit is there; it has not been investigated.</w:t>
      </w:r>
    </w:p>
    <w:p>
      <w:pPr>
        <w:pStyle w:val="Heading"/>
        <w:rPr>
          <w:rFonts w:ascii="Verdana" w:cs="Verdana" w:hAnsi="Verdana" w:eastAsia="Verdana"/>
          <w:b w:val="0"/>
          <w:bCs w:val="0"/>
        </w:rPr>
      </w:pPr>
      <w:r>
        <w:rPr>
          <w:rFonts w:ascii="Verdana" w:hAnsi="Verdana"/>
          <w:b w:val="1"/>
          <w:bCs w:val="1"/>
          <w:sz w:val="24"/>
          <w:szCs w:val="24"/>
          <w:rtl w:val="0"/>
          <w:lang w:val="en-US"/>
        </w:rPr>
        <w:t>Prediction two</w:t>
      </w:r>
      <w:r>
        <w:rPr>
          <w:rFonts w:ascii="Verdana" w:hAnsi="Verdana"/>
          <w:b w:val="0"/>
          <w:bCs w:val="0"/>
          <w:sz w:val="24"/>
          <w:szCs w:val="24"/>
          <w:rtl w:val="0"/>
          <w:lang w:val="en-US"/>
        </w:rPr>
        <w:t>: Genetic analysis of ancient DNA from Fa Hien Cave skeletal material, if recoverable, should show direct lineage continuity with the population that crossed the Bab-el-Mandeb, consistent with the single coastal dispersal model.</w:t>
      </w:r>
    </w:p>
    <w:p>
      <w:pPr>
        <w:pStyle w:val="Heading"/>
        <w:rPr>
          <w:rFonts w:ascii="Verdana" w:cs="Verdana" w:hAnsi="Verdana" w:eastAsia="Verdana"/>
          <w:b w:val="0"/>
          <w:bCs w:val="0"/>
        </w:rPr>
      </w:pPr>
      <w:r>
        <w:rPr>
          <w:rFonts w:ascii="Verdana" w:hAnsi="Verdana"/>
          <w:b w:val="1"/>
          <w:bCs w:val="1"/>
          <w:sz w:val="24"/>
          <w:szCs w:val="24"/>
          <w:rtl w:val="0"/>
          <w:lang w:val="en-US"/>
        </w:rPr>
        <w:t>Prediction three</w:t>
      </w:r>
      <w:r>
        <w:rPr>
          <w:rFonts w:ascii="Verdana" w:hAnsi="Verdana"/>
          <w:b w:val="0"/>
          <w:bCs w:val="0"/>
          <w:sz w:val="24"/>
          <w:szCs w:val="24"/>
          <w:rtl w:val="0"/>
          <w:lang w:val="en-US"/>
        </w:rPr>
        <w:t>: The microlithic technological grammar documented at Fa Hien should show closer morphometric similarity to assemblages from the Indian western coastal sequence than to assemblages from inland South Asian sites, consistent with coastal rather than inland transmission of the corridor tradition.</w:t>
      </w:r>
    </w:p>
    <w:p>
      <w:pPr>
        <w:pStyle w:val="Heading"/>
        <w:rPr>
          <w:rFonts w:ascii="Verdana" w:cs="Verdana" w:hAnsi="Verdana" w:eastAsia="Verdana"/>
        </w:rPr>
      </w:pPr>
      <w:r>
        <w:rPr>
          <w:rFonts w:ascii="Verdana" w:hAnsi="Verdana"/>
          <w:rtl w:val="0"/>
          <w:lang w:val="en-US"/>
        </w:rPr>
        <w:t>Sustainable Development Goals Alignment</w:t>
      </w:r>
    </w:p>
    <w:p>
      <w:pPr>
        <w:pStyle w:val="Heading"/>
        <w:rPr>
          <w:rFonts w:ascii="Verdana" w:cs="Verdana" w:hAnsi="Verdana" w:eastAsia="Verdana"/>
          <w:b w:val="0"/>
          <w:bCs w:val="0"/>
        </w:rPr>
      </w:pPr>
      <w:r>
        <w:rPr>
          <w:rFonts w:ascii="Verdana" w:hAnsi="Verdana"/>
          <w:b w:val="1"/>
          <w:bCs w:val="1"/>
          <w:sz w:val="24"/>
          <w:szCs w:val="24"/>
          <w:rtl w:val="0"/>
          <w:lang w:val="fr-FR"/>
        </w:rPr>
        <w:t xml:space="preserve">SDG 4 </w:t>
      </w:r>
      <w:r>
        <w:rPr>
          <w:rFonts w:ascii="Verdana" w:hAnsi="Verdana" w:hint="default"/>
          <w:b w:val="1"/>
          <w:bCs w:val="1"/>
          <w:sz w:val="24"/>
          <w:szCs w:val="24"/>
          <w:rtl w:val="0"/>
          <w:lang w:val="en-US"/>
        </w:rPr>
        <w:t xml:space="preserve">— </w:t>
      </w:r>
      <w:r>
        <w:rPr>
          <w:rFonts w:ascii="Verdana" w:hAnsi="Verdana"/>
          <w:b w:val="1"/>
          <w:bCs w:val="1"/>
          <w:sz w:val="24"/>
          <w:szCs w:val="24"/>
          <w:rtl w:val="0"/>
          <w:lang w:val="en-US"/>
        </w:rPr>
        <w:t>Quality Education</w:t>
      </w:r>
      <w:r>
        <w:rPr>
          <w:rFonts w:ascii="Verdana" w:hAnsi="Verdana"/>
          <w:b w:val="0"/>
          <w:bCs w:val="0"/>
          <w:sz w:val="24"/>
          <w:szCs w:val="24"/>
          <w:rtl w:val="0"/>
          <w:lang w:val="en-US"/>
        </w:rPr>
        <w:t>: This paper contributes an interdisciplinary corridor analysis integrating population genetics, lithic technology, Quaternary geology, and DSSM symbolic analysis into a unified framework.</w:t>
      </w:r>
    </w:p>
    <w:p>
      <w:pPr>
        <w:pStyle w:val="Heading"/>
        <w:rPr>
          <w:rFonts w:ascii="Verdana" w:cs="Verdana" w:hAnsi="Verdana" w:eastAsia="Verdana"/>
          <w:b w:val="0"/>
          <w:bCs w:val="0"/>
        </w:rPr>
      </w:pPr>
      <w:r>
        <w:rPr>
          <w:rFonts w:ascii="Verdana" w:hAnsi="Verdana"/>
          <w:b w:val="1"/>
          <w:bCs w:val="1"/>
          <w:sz w:val="24"/>
          <w:szCs w:val="24"/>
          <w:rtl w:val="0"/>
          <w:lang w:val="fr-FR"/>
        </w:rPr>
        <w:t xml:space="preserve">SDG 10 </w:t>
      </w:r>
      <w:r>
        <w:rPr>
          <w:rFonts w:ascii="Verdana" w:hAnsi="Verdana" w:hint="default"/>
          <w:b w:val="1"/>
          <w:bCs w:val="1"/>
          <w:sz w:val="24"/>
          <w:szCs w:val="24"/>
          <w:rtl w:val="0"/>
          <w:lang w:val="en-US"/>
        </w:rPr>
        <w:t xml:space="preserve">— </w:t>
      </w:r>
      <w:r>
        <w:rPr>
          <w:rFonts w:ascii="Verdana" w:hAnsi="Verdana"/>
          <w:b w:val="1"/>
          <w:bCs w:val="1"/>
          <w:sz w:val="24"/>
          <w:szCs w:val="24"/>
          <w:rtl w:val="0"/>
          <w:lang w:val="en-US"/>
        </w:rPr>
        <w:t>Reduced Inequalities</w:t>
      </w:r>
      <w:r>
        <w:rPr>
          <w:rFonts w:ascii="Verdana" w:hAnsi="Verdana"/>
          <w:b w:val="0"/>
          <w:bCs w:val="0"/>
          <w:sz w:val="24"/>
          <w:szCs w:val="24"/>
          <w:rtl w:val="0"/>
          <w:lang w:val="en-US"/>
        </w:rPr>
        <w:t>: The paper addresses the systematic underrepresentation of coastal and submerged-landscape evidence in dispersal narratives, which tend to privilege inland sites with better preservation.</w:t>
      </w:r>
    </w:p>
    <w:p>
      <w:pPr>
        <w:pStyle w:val="Heading"/>
        <w:rPr>
          <w:rFonts w:ascii="Verdana" w:cs="Verdana" w:hAnsi="Verdana" w:eastAsia="Verdana"/>
          <w:b w:val="0"/>
          <w:bCs w:val="0"/>
        </w:rPr>
      </w:pPr>
      <w:r>
        <w:rPr>
          <w:rFonts w:ascii="Verdana" w:hAnsi="Verdana"/>
          <w:b w:val="1"/>
          <w:bCs w:val="1"/>
          <w:sz w:val="24"/>
          <w:szCs w:val="24"/>
          <w:rtl w:val="0"/>
          <w:lang w:val="fr-FR"/>
        </w:rPr>
        <w:t xml:space="preserve">SDG 14 </w:t>
      </w:r>
      <w:r>
        <w:rPr>
          <w:rFonts w:ascii="Verdana" w:hAnsi="Verdana" w:hint="default"/>
          <w:b w:val="1"/>
          <w:bCs w:val="1"/>
          <w:sz w:val="24"/>
          <w:szCs w:val="24"/>
          <w:rtl w:val="0"/>
          <w:lang w:val="en-US"/>
        </w:rPr>
        <w:t xml:space="preserve">— </w:t>
      </w:r>
      <w:r>
        <w:rPr>
          <w:rFonts w:ascii="Verdana" w:hAnsi="Verdana"/>
          <w:b w:val="1"/>
          <w:bCs w:val="1"/>
          <w:sz w:val="24"/>
          <w:szCs w:val="24"/>
          <w:rtl w:val="0"/>
          <w:lang w:val="en-US"/>
        </w:rPr>
        <w:t>Life Below Water</w:t>
      </w:r>
      <w:r>
        <w:rPr>
          <w:rFonts w:ascii="Verdana" w:hAnsi="Verdana"/>
          <w:b w:val="0"/>
          <w:bCs w:val="0"/>
          <w:sz w:val="24"/>
          <w:szCs w:val="24"/>
          <w:rtl w:val="0"/>
          <w:lang w:val="en-US"/>
        </w:rPr>
        <w:t>: The paper foregrounds the submerged continental shelf as an archaeological environment of primary importance, supporting the case for systematic underwater survey of Pleistocene coastal occupation zones.</w:t>
      </w:r>
    </w:p>
    <w:p>
      <w:pPr>
        <w:pStyle w:val="Heading"/>
        <w:rPr>
          <w:rFonts w:ascii="Verdana" w:cs="Verdana" w:hAnsi="Verdana" w:eastAsia="Verdana"/>
          <w:b w:val="0"/>
          <w:bCs w:val="0"/>
        </w:rPr>
      </w:pPr>
      <w:r>
        <w:rPr>
          <w:rFonts w:ascii="Verdana" w:hAnsi="Verdana"/>
          <w:b w:val="1"/>
          <w:bCs w:val="1"/>
          <w:sz w:val="24"/>
          <w:szCs w:val="24"/>
          <w:rtl w:val="0"/>
          <w:lang w:val="fr-FR"/>
        </w:rPr>
        <w:t xml:space="preserve">SDG 15 </w:t>
      </w:r>
      <w:r>
        <w:rPr>
          <w:rFonts w:ascii="Verdana" w:hAnsi="Verdana" w:hint="default"/>
          <w:b w:val="1"/>
          <w:bCs w:val="1"/>
          <w:sz w:val="24"/>
          <w:szCs w:val="24"/>
          <w:rtl w:val="0"/>
          <w:lang w:val="en-US"/>
        </w:rPr>
        <w:t xml:space="preserve">— </w:t>
      </w:r>
      <w:r>
        <w:rPr>
          <w:rFonts w:ascii="Verdana" w:hAnsi="Verdana"/>
          <w:b w:val="1"/>
          <w:bCs w:val="1"/>
          <w:sz w:val="24"/>
          <w:szCs w:val="24"/>
          <w:rtl w:val="0"/>
          <w:lang w:val="en-US"/>
        </w:rPr>
        <w:t>Life on Land</w:t>
      </w:r>
      <w:r>
        <w:rPr>
          <w:rFonts w:ascii="Verdana" w:hAnsi="Verdana"/>
          <w:b w:val="0"/>
          <w:bCs w:val="0"/>
          <w:sz w:val="24"/>
          <w:szCs w:val="24"/>
          <w:rtl w:val="0"/>
          <w:lang w:val="en-US"/>
        </w:rPr>
        <w:t>: The paper draws attention to the Gondwanan botanical corridor connecting the Western Ghats and Sri Lanka</w:t>
      </w:r>
      <w:r>
        <w:rPr>
          <w:rFonts w:ascii="Verdana" w:hAnsi="Verdana" w:hint="default"/>
          <w:b w:val="0"/>
          <w:bCs w:val="0"/>
          <w:sz w:val="24"/>
          <w:szCs w:val="24"/>
          <w:rtl w:val="1"/>
        </w:rPr>
        <w:t>’</w:t>
      </w:r>
      <w:r>
        <w:rPr>
          <w:rFonts w:ascii="Verdana" w:hAnsi="Verdana"/>
          <w:b w:val="0"/>
          <w:bCs w:val="0"/>
          <w:sz w:val="24"/>
          <w:szCs w:val="24"/>
          <w:rtl w:val="0"/>
          <w:lang w:val="en-US"/>
        </w:rPr>
        <w:t>s highlands as a biological archive of the same ancient geography through which the dispersal corridor ran.</w:t>
      </w:r>
    </w:p>
    <w:p>
      <w:pPr>
        <w:pStyle w:val="Heading"/>
        <w:rPr>
          <w:rFonts w:ascii="Verdana" w:cs="Verdana" w:hAnsi="Verdana" w:eastAsia="Verdana"/>
        </w:rPr>
      </w:pPr>
      <w:r>
        <w:rPr>
          <w:rFonts w:ascii="Verdana" w:hAnsi="Verdana"/>
          <w:rtl w:val="0"/>
          <w:lang w:val="en-US"/>
        </w:rPr>
        <w:t>AI Collaboration Disclosure</w:t>
      </w:r>
    </w:p>
    <w:p>
      <w:pPr>
        <w:pStyle w:val="Heading"/>
        <w:rPr>
          <w:rFonts w:ascii="Verdana" w:cs="Verdana" w:hAnsi="Verdana" w:eastAsia="Verdana"/>
          <w:b w:val="0"/>
          <w:bCs w:val="0"/>
        </w:rPr>
      </w:pPr>
      <w:r>
        <w:rPr>
          <w:rFonts w:ascii="Verdana" w:hAnsi="Verdana"/>
          <w:b w:val="0"/>
          <w:bCs w:val="0"/>
          <w:sz w:val="24"/>
          <w:szCs w:val="24"/>
          <w:rtl w:val="0"/>
          <w:lang w:val="en-US"/>
        </w:rPr>
        <w:t>This paper was developed with editorial and structural support from Claude Sonnet (Anthropic). The theoretical framework, arguments, and conclusions are solely those of the author. AI assistance is disclosed in accordance with the author</w:t>
      </w:r>
      <w:r>
        <w:rPr>
          <w:rFonts w:ascii="Verdana" w:hAnsi="Verdana" w:hint="default"/>
          <w:b w:val="0"/>
          <w:bCs w:val="0"/>
          <w:sz w:val="24"/>
          <w:szCs w:val="24"/>
          <w:rtl w:val="1"/>
        </w:rPr>
        <w:t>’</w:t>
      </w:r>
      <w:r>
        <w:rPr>
          <w:rFonts w:ascii="Verdana" w:hAnsi="Verdana"/>
          <w:b w:val="0"/>
          <w:bCs w:val="0"/>
          <w:sz w:val="24"/>
          <w:szCs w:val="24"/>
          <w:rtl w:val="0"/>
          <w:lang w:val="en-US"/>
        </w:rPr>
        <w:t>s standard publication practice across the Deep Symbolic Systems Model corpus.</w:t>
      </w:r>
    </w:p>
    <w:p>
      <w:pPr>
        <w:pStyle w:val="Heading"/>
        <w:rPr>
          <w:rFonts w:ascii="Verdana" w:cs="Verdana" w:hAnsi="Verdana" w:eastAsia="Verdana"/>
        </w:rPr>
      </w:pPr>
      <w:r>
        <w:rPr>
          <w:rFonts w:ascii="Verdana" w:hAnsi="Verdana"/>
          <w:rtl w:val="0"/>
          <w:lang w:val="fr-FR"/>
        </w:rPr>
        <w:t>References</w:t>
      </w:r>
    </w:p>
    <w:p>
      <w:pPr>
        <w:pStyle w:val="Heading"/>
        <w:rPr>
          <w:rFonts w:ascii="Verdana" w:cs="Verdana" w:hAnsi="Verdana" w:eastAsia="Verdana"/>
          <w:b w:val="0"/>
          <w:bCs w:val="0"/>
        </w:rPr>
      </w:pPr>
      <w:r>
        <w:rPr>
          <w:rFonts w:ascii="Verdana" w:hAnsi="Verdana"/>
          <w:b w:val="0"/>
          <w:bCs w:val="0"/>
          <w:sz w:val="24"/>
          <w:szCs w:val="24"/>
          <w:rtl w:val="0"/>
          <w:lang w:val="en-US"/>
        </w:rPr>
        <w:t>Ambrose, S.H. (1998). Late Pleistocene human population bottlenecks, volcanic winter, and differentiation of modern humans. Journal of Human Evolution, 34(6), 623</w:t>
      </w:r>
      <w:r>
        <w:rPr>
          <w:rFonts w:ascii="Verdana" w:hAnsi="Verdana" w:hint="default"/>
          <w:b w:val="0"/>
          <w:bCs w:val="0"/>
          <w:sz w:val="24"/>
          <w:szCs w:val="24"/>
          <w:rtl w:val="0"/>
        </w:rPr>
        <w:t>–</w:t>
      </w:r>
      <w:r>
        <w:rPr>
          <w:rFonts w:ascii="Verdana" w:hAnsi="Verdana"/>
          <w:b w:val="0"/>
          <w:bCs w:val="0"/>
          <w:sz w:val="24"/>
          <w:szCs w:val="24"/>
          <w:rtl w:val="0"/>
        </w:rPr>
        <w:t>651.</w:t>
      </w:r>
    </w:p>
    <w:p>
      <w:pPr>
        <w:pStyle w:val="Heading"/>
        <w:rPr>
          <w:rFonts w:ascii="Verdana" w:cs="Verdana" w:hAnsi="Verdana" w:eastAsia="Verdana"/>
          <w:b w:val="0"/>
          <w:bCs w:val="0"/>
        </w:rPr>
      </w:pPr>
      <w:r>
        <w:rPr>
          <w:rFonts w:ascii="Verdana" w:hAnsi="Verdana"/>
          <w:b w:val="0"/>
          <w:bCs w:val="0"/>
          <w:sz w:val="24"/>
          <w:szCs w:val="24"/>
          <w:rtl w:val="0"/>
          <w:lang w:val="en-US"/>
        </w:rPr>
        <w:t xml:space="preserve">Armitage, S.J. et al. (2011). The southern route </w:t>
      </w:r>
      <w:r>
        <w:rPr>
          <w:rFonts w:ascii="Verdana" w:hAnsi="Verdana" w:hint="default"/>
          <w:b w:val="0"/>
          <w:bCs w:val="0"/>
          <w:sz w:val="24"/>
          <w:szCs w:val="24"/>
          <w:rtl w:val="1"/>
          <w:lang w:val="ar-SA" w:bidi="ar-SA"/>
        </w:rPr>
        <w:t>“</w:t>
      </w:r>
      <w:r>
        <w:rPr>
          <w:rFonts w:ascii="Verdana" w:hAnsi="Verdana"/>
          <w:b w:val="0"/>
          <w:bCs w:val="0"/>
          <w:sz w:val="24"/>
          <w:szCs w:val="24"/>
          <w:rtl w:val="0"/>
          <w:lang w:val="en-US"/>
        </w:rPr>
        <w:t>out of Africa</w:t>
      </w:r>
      <w:r>
        <w:rPr>
          <w:rFonts w:ascii="Verdana" w:hAnsi="Verdana" w:hint="default"/>
          <w:b w:val="0"/>
          <w:bCs w:val="0"/>
          <w:sz w:val="24"/>
          <w:szCs w:val="24"/>
          <w:rtl w:val="0"/>
        </w:rPr>
        <w:t>”</w:t>
      </w:r>
      <w:r>
        <w:rPr>
          <w:rFonts w:ascii="Verdana" w:hAnsi="Verdana"/>
          <w:b w:val="0"/>
          <w:bCs w:val="0"/>
          <w:sz w:val="24"/>
          <w:szCs w:val="24"/>
          <w:rtl w:val="0"/>
          <w:lang w:val="en-US"/>
        </w:rPr>
        <w:t>: evidence for an early expansion of modern humans into Arabia. Science, 331(6016), 453</w:t>
      </w:r>
      <w:r>
        <w:rPr>
          <w:rFonts w:ascii="Verdana" w:hAnsi="Verdana" w:hint="default"/>
          <w:b w:val="0"/>
          <w:bCs w:val="0"/>
          <w:sz w:val="24"/>
          <w:szCs w:val="24"/>
          <w:rtl w:val="0"/>
        </w:rPr>
        <w:t>–</w:t>
      </w:r>
      <w:r>
        <w:rPr>
          <w:rFonts w:ascii="Verdana" w:hAnsi="Verdana"/>
          <w:b w:val="0"/>
          <w:bCs w:val="0"/>
          <w:sz w:val="24"/>
          <w:szCs w:val="24"/>
          <w:rtl w:val="0"/>
        </w:rPr>
        <w:t>456.</w:t>
      </w:r>
    </w:p>
    <w:p>
      <w:pPr>
        <w:pStyle w:val="Heading"/>
        <w:rPr>
          <w:rFonts w:ascii="Verdana" w:cs="Verdana" w:hAnsi="Verdana" w:eastAsia="Verdana"/>
          <w:b w:val="0"/>
          <w:bCs w:val="0"/>
        </w:rPr>
      </w:pPr>
      <w:r>
        <w:rPr>
          <w:rFonts w:ascii="Verdana" w:hAnsi="Verdana"/>
          <w:b w:val="0"/>
          <w:bCs w:val="0"/>
          <w:sz w:val="24"/>
          <w:szCs w:val="24"/>
          <w:rtl w:val="0"/>
          <w:lang w:val="en-US"/>
        </w:rPr>
        <w:t>Bailey, G.N. &amp; Flemming, N.C. (2008). Archaeology of the continental shelf. Quaternary Science Reviews, 27(23</w:t>
      </w:r>
      <w:r>
        <w:rPr>
          <w:rFonts w:ascii="Verdana" w:hAnsi="Verdana" w:hint="default"/>
          <w:b w:val="0"/>
          <w:bCs w:val="0"/>
          <w:sz w:val="24"/>
          <w:szCs w:val="24"/>
          <w:rtl w:val="0"/>
        </w:rPr>
        <w:t>–</w:t>
      </w:r>
      <w:r>
        <w:rPr>
          <w:rFonts w:ascii="Verdana" w:hAnsi="Verdana"/>
          <w:b w:val="0"/>
          <w:bCs w:val="0"/>
          <w:sz w:val="24"/>
          <w:szCs w:val="24"/>
          <w:rtl w:val="0"/>
        </w:rPr>
        <w:t>24), 2153</w:t>
      </w:r>
      <w:r>
        <w:rPr>
          <w:rFonts w:ascii="Verdana" w:hAnsi="Verdana" w:hint="default"/>
          <w:b w:val="0"/>
          <w:bCs w:val="0"/>
          <w:sz w:val="24"/>
          <w:szCs w:val="24"/>
          <w:rtl w:val="0"/>
        </w:rPr>
        <w:t>–</w:t>
      </w:r>
      <w:r>
        <w:rPr>
          <w:rFonts w:ascii="Verdana" w:hAnsi="Verdana"/>
          <w:b w:val="0"/>
          <w:bCs w:val="0"/>
          <w:sz w:val="24"/>
          <w:szCs w:val="24"/>
          <w:rtl w:val="0"/>
        </w:rPr>
        <w:t>2165.</w:t>
      </w:r>
    </w:p>
    <w:p>
      <w:pPr>
        <w:pStyle w:val="Heading"/>
        <w:rPr>
          <w:rFonts w:ascii="Verdana" w:cs="Verdana" w:hAnsi="Verdana" w:eastAsia="Verdana"/>
          <w:b w:val="0"/>
          <w:bCs w:val="0"/>
        </w:rPr>
      </w:pPr>
      <w:r>
        <w:rPr>
          <w:rFonts w:ascii="Verdana" w:hAnsi="Verdana"/>
          <w:b w:val="0"/>
          <w:bCs w:val="0"/>
          <w:sz w:val="24"/>
          <w:szCs w:val="24"/>
          <w:rtl w:val="0"/>
          <w:lang w:val="en-US"/>
        </w:rPr>
        <w:t>Dennell, R. &amp; Roebroeks, W. (2005). An Asian perspective on early human dispersal from Africa. Nature, 438, 1099</w:t>
      </w:r>
      <w:r>
        <w:rPr>
          <w:rFonts w:ascii="Verdana" w:hAnsi="Verdana" w:hint="default"/>
          <w:b w:val="0"/>
          <w:bCs w:val="0"/>
          <w:sz w:val="24"/>
          <w:szCs w:val="24"/>
          <w:rtl w:val="0"/>
        </w:rPr>
        <w:t>–</w:t>
      </w:r>
      <w:r>
        <w:rPr>
          <w:rFonts w:ascii="Verdana" w:hAnsi="Verdana"/>
          <w:b w:val="0"/>
          <w:bCs w:val="0"/>
          <w:sz w:val="24"/>
          <w:szCs w:val="24"/>
          <w:rtl w:val="0"/>
        </w:rPr>
        <w:t>1104.</w:t>
      </w:r>
    </w:p>
    <w:p>
      <w:pPr>
        <w:pStyle w:val="Heading"/>
        <w:rPr>
          <w:rFonts w:ascii="Verdana" w:cs="Verdana" w:hAnsi="Verdana" w:eastAsia="Verdana"/>
          <w:b w:val="0"/>
          <w:bCs w:val="0"/>
        </w:rPr>
      </w:pPr>
      <w:r>
        <w:rPr>
          <w:rFonts w:ascii="Verdana" w:hAnsi="Verdana"/>
          <w:b w:val="0"/>
          <w:bCs w:val="0"/>
          <w:sz w:val="24"/>
          <w:szCs w:val="24"/>
          <w:rtl w:val="0"/>
          <w:lang w:val="en-US"/>
        </w:rPr>
        <w:t>Deraniyagala, S.U. (1992). The Prehistory of Sri Lanka: An Ecological Perspective. Archaeological Survey Department of Sri Lanka.</w:t>
      </w:r>
    </w:p>
    <w:p>
      <w:pPr>
        <w:pStyle w:val="Heading"/>
        <w:rPr>
          <w:rFonts w:ascii="Verdana" w:cs="Verdana" w:hAnsi="Verdana" w:eastAsia="Verdana"/>
          <w:b w:val="0"/>
          <w:bCs w:val="0"/>
        </w:rPr>
      </w:pPr>
      <w:r>
        <w:rPr>
          <w:rFonts w:ascii="Verdana" w:hAnsi="Verdana"/>
          <w:b w:val="0"/>
          <w:bCs w:val="0"/>
          <w:sz w:val="24"/>
          <w:szCs w:val="24"/>
          <w:rtl w:val="0"/>
        </w:rPr>
        <w:t>d</w:t>
      </w:r>
      <w:r>
        <w:rPr>
          <w:rFonts w:ascii="Verdana" w:hAnsi="Verdana" w:hint="default"/>
          <w:b w:val="0"/>
          <w:bCs w:val="0"/>
          <w:sz w:val="24"/>
          <w:szCs w:val="24"/>
          <w:rtl w:val="1"/>
        </w:rPr>
        <w:t>’</w:t>
      </w:r>
      <w:r>
        <w:rPr>
          <w:rFonts w:ascii="Verdana" w:hAnsi="Verdana"/>
          <w:b w:val="0"/>
          <w:bCs w:val="0"/>
          <w:sz w:val="24"/>
          <w:szCs w:val="24"/>
          <w:rtl w:val="0"/>
          <w:lang w:val="en-US"/>
        </w:rPr>
        <w:t>Errico, F. et al. (2005). Nassarius kraussianus shell beads from Blombos Cave. Journal of Human Evolution, 48(1), 3</w:t>
      </w:r>
      <w:r>
        <w:rPr>
          <w:rFonts w:ascii="Verdana" w:hAnsi="Verdana" w:hint="default"/>
          <w:b w:val="0"/>
          <w:bCs w:val="0"/>
          <w:sz w:val="24"/>
          <w:szCs w:val="24"/>
          <w:rtl w:val="0"/>
        </w:rPr>
        <w:t>–</w:t>
      </w:r>
      <w:r>
        <w:rPr>
          <w:rFonts w:ascii="Verdana" w:hAnsi="Verdana"/>
          <w:b w:val="0"/>
          <w:bCs w:val="0"/>
          <w:sz w:val="24"/>
          <w:szCs w:val="24"/>
          <w:rtl w:val="0"/>
        </w:rPr>
        <w:t>24.</w:t>
      </w:r>
    </w:p>
    <w:p>
      <w:pPr>
        <w:pStyle w:val="Heading"/>
        <w:rPr>
          <w:rFonts w:ascii="Verdana" w:cs="Verdana" w:hAnsi="Verdana" w:eastAsia="Verdana"/>
          <w:b w:val="0"/>
          <w:bCs w:val="0"/>
        </w:rPr>
      </w:pPr>
      <w:r>
        <w:rPr>
          <w:rFonts w:ascii="Verdana" w:hAnsi="Verdana"/>
          <w:b w:val="0"/>
          <w:bCs w:val="0"/>
          <w:sz w:val="24"/>
          <w:szCs w:val="24"/>
          <w:rtl w:val="0"/>
          <w:lang w:val="en-US"/>
        </w:rPr>
        <w:t>Fairbanks, R.G. (1989). A 17,000-year glacio-eustatic sea level record. Nature, 342, 637</w:t>
      </w:r>
      <w:r>
        <w:rPr>
          <w:rFonts w:ascii="Verdana" w:hAnsi="Verdana" w:hint="default"/>
          <w:b w:val="0"/>
          <w:bCs w:val="0"/>
          <w:sz w:val="24"/>
          <w:szCs w:val="24"/>
          <w:rtl w:val="0"/>
        </w:rPr>
        <w:t>–</w:t>
      </w:r>
      <w:r>
        <w:rPr>
          <w:rFonts w:ascii="Verdana" w:hAnsi="Verdana"/>
          <w:b w:val="0"/>
          <w:bCs w:val="0"/>
          <w:sz w:val="24"/>
          <w:szCs w:val="24"/>
          <w:rtl w:val="0"/>
        </w:rPr>
        <w:t>642.</w:t>
      </w:r>
    </w:p>
    <w:p>
      <w:pPr>
        <w:pStyle w:val="Heading"/>
        <w:rPr>
          <w:rFonts w:ascii="Verdana" w:cs="Verdana" w:hAnsi="Verdana" w:eastAsia="Verdana"/>
          <w:b w:val="0"/>
          <w:bCs w:val="0"/>
        </w:rPr>
      </w:pPr>
      <w:r>
        <w:rPr>
          <w:rFonts w:ascii="Verdana" w:hAnsi="Verdana"/>
          <w:b w:val="0"/>
          <w:bCs w:val="0"/>
          <w:sz w:val="24"/>
          <w:szCs w:val="24"/>
          <w:rtl w:val="0"/>
          <w:lang w:val="en-US"/>
        </w:rPr>
        <w:t>Henshilwood, C.S. et al. (2002). Emergence of modern human behavior: Middle Stone Age engravings from South Africa. Science, 295(5558), 1278</w:t>
      </w:r>
      <w:r>
        <w:rPr>
          <w:rFonts w:ascii="Verdana" w:hAnsi="Verdana" w:hint="default"/>
          <w:b w:val="0"/>
          <w:bCs w:val="0"/>
          <w:sz w:val="24"/>
          <w:szCs w:val="24"/>
          <w:rtl w:val="0"/>
        </w:rPr>
        <w:t>–</w:t>
      </w:r>
      <w:r>
        <w:rPr>
          <w:rFonts w:ascii="Verdana" w:hAnsi="Verdana"/>
          <w:b w:val="0"/>
          <w:bCs w:val="0"/>
          <w:sz w:val="24"/>
          <w:szCs w:val="24"/>
          <w:rtl w:val="0"/>
        </w:rPr>
        <w:t>1280.</w:t>
      </w:r>
    </w:p>
    <w:p>
      <w:pPr>
        <w:pStyle w:val="Heading"/>
        <w:rPr>
          <w:rFonts w:ascii="Verdana" w:cs="Verdana" w:hAnsi="Verdana" w:eastAsia="Verdana"/>
          <w:b w:val="0"/>
          <w:bCs w:val="0"/>
        </w:rPr>
      </w:pPr>
      <w:r>
        <w:rPr>
          <w:rFonts w:ascii="Verdana" w:hAnsi="Verdana"/>
          <w:b w:val="0"/>
          <w:bCs w:val="0"/>
          <w:sz w:val="24"/>
          <w:szCs w:val="24"/>
          <w:rtl w:val="0"/>
          <w:lang w:val="en-US"/>
        </w:rPr>
        <w:t>Macaulay, V. et al. (2005). Single, rapid coastal settlement of Asia. Science, 308(5724), 1034</w:t>
      </w:r>
      <w:r>
        <w:rPr>
          <w:rFonts w:ascii="Verdana" w:hAnsi="Verdana" w:hint="default"/>
          <w:b w:val="0"/>
          <w:bCs w:val="0"/>
          <w:sz w:val="24"/>
          <w:szCs w:val="24"/>
          <w:rtl w:val="0"/>
        </w:rPr>
        <w:t>–</w:t>
      </w:r>
      <w:r>
        <w:rPr>
          <w:rFonts w:ascii="Verdana" w:hAnsi="Verdana"/>
          <w:b w:val="0"/>
          <w:bCs w:val="0"/>
          <w:sz w:val="24"/>
          <w:szCs w:val="24"/>
          <w:rtl w:val="0"/>
        </w:rPr>
        <w:t>1036.</w:t>
      </w:r>
    </w:p>
    <w:p>
      <w:pPr>
        <w:pStyle w:val="Heading"/>
        <w:rPr>
          <w:rFonts w:ascii="Verdana" w:cs="Verdana" w:hAnsi="Verdana" w:eastAsia="Verdana"/>
          <w:b w:val="0"/>
          <w:bCs w:val="0"/>
        </w:rPr>
      </w:pPr>
      <w:r>
        <w:rPr>
          <w:rFonts w:ascii="Verdana" w:hAnsi="Verdana"/>
          <w:b w:val="0"/>
          <w:bCs w:val="0"/>
          <w:sz w:val="24"/>
          <w:szCs w:val="24"/>
          <w:rtl w:val="0"/>
          <w:lang w:val="en-US"/>
        </w:rPr>
        <w:t>Mellars, P. (2006). Going east: new genetic and archaeological perspectives on the modern human colonization of Eurasia. Science, 313(5788), 796</w:t>
      </w:r>
      <w:r>
        <w:rPr>
          <w:rFonts w:ascii="Verdana" w:hAnsi="Verdana" w:hint="default"/>
          <w:b w:val="0"/>
          <w:bCs w:val="0"/>
          <w:sz w:val="24"/>
          <w:szCs w:val="24"/>
          <w:rtl w:val="0"/>
        </w:rPr>
        <w:t>–</w:t>
      </w:r>
      <w:r>
        <w:rPr>
          <w:rFonts w:ascii="Verdana" w:hAnsi="Verdana"/>
          <w:b w:val="0"/>
          <w:bCs w:val="0"/>
          <w:sz w:val="24"/>
          <w:szCs w:val="24"/>
          <w:rtl w:val="0"/>
        </w:rPr>
        <w:t>800.</w:t>
      </w:r>
    </w:p>
    <w:p>
      <w:pPr>
        <w:pStyle w:val="Heading"/>
        <w:rPr>
          <w:rFonts w:ascii="Verdana" w:cs="Verdana" w:hAnsi="Verdana" w:eastAsia="Verdana"/>
          <w:b w:val="0"/>
          <w:bCs w:val="0"/>
        </w:rPr>
      </w:pPr>
      <w:r>
        <w:rPr>
          <w:rFonts w:ascii="Verdana" w:hAnsi="Verdana"/>
          <w:b w:val="0"/>
          <w:bCs w:val="0"/>
          <w:sz w:val="24"/>
          <w:szCs w:val="24"/>
          <w:rtl w:val="0"/>
          <w:lang w:val="en-US"/>
        </w:rPr>
        <w:t>Stringer, C. (2000). Coasting out of Africa. Nature, 405, 24</w:t>
      </w:r>
      <w:r>
        <w:rPr>
          <w:rFonts w:ascii="Verdana" w:hAnsi="Verdana" w:hint="default"/>
          <w:b w:val="0"/>
          <w:bCs w:val="0"/>
          <w:sz w:val="24"/>
          <w:szCs w:val="24"/>
          <w:rtl w:val="0"/>
        </w:rPr>
        <w:t>–</w:t>
      </w:r>
      <w:r>
        <w:rPr>
          <w:rFonts w:ascii="Verdana" w:hAnsi="Verdana"/>
          <w:b w:val="0"/>
          <w:bCs w:val="0"/>
          <w:sz w:val="24"/>
          <w:szCs w:val="24"/>
          <w:rtl w:val="0"/>
        </w:rPr>
        <w:t>27.</w:t>
      </w:r>
    </w:p>
    <w:p>
      <w:pPr>
        <w:pStyle w:val="Heading"/>
        <w:rPr>
          <w:rFonts w:ascii="Verdana" w:cs="Verdana" w:hAnsi="Verdana" w:eastAsia="Verdana"/>
          <w:b w:val="0"/>
          <w:bCs w:val="0"/>
        </w:rPr>
      </w:pPr>
      <w:r>
        <w:rPr>
          <w:rFonts w:ascii="Verdana" w:hAnsi="Verdana"/>
          <w:b w:val="0"/>
          <w:bCs w:val="0"/>
          <w:sz w:val="24"/>
          <w:szCs w:val="24"/>
          <w:rtl w:val="0"/>
          <w:lang w:val="en-US"/>
        </w:rPr>
        <w:t>Perera, N. et al. (2011). People of the ancient rainforest. Journal of Human Evolution, 61(3), 254</w:t>
      </w:r>
      <w:r>
        <w:rPr>
          <w:rFonts w:ascii="Verdana" w:hAnsi="Verdana" w:hint="default"/>
          <w:b w:val="0"/>
          <w:bCs w:val="0"/>
          <w:sz w:val="24"/>
          <w:szCs w:val="24"/>
          <w:rtl w:val="0"/>
        </w:rPr>
        <w:t>–</w:t>
      </w:r>
      <w:r>
        <w:rPr>
          <w:rFonts w:ascii="Verdana" w:hAnsi="Verdana"/>
          <w:b w:val="0"/>
          <w:bCs w:val="0"/>
          <w:sz w:val="24"/>
          <w:szCs w:val="24"/>
          <w:rtl w:val="0"/>
        </w:rPr>
        <w:t>269.</w:t>
      </w:r>
    </w:p>
    <w:p>
      <w:pPr>
        <w:pStyle w:val="Heading"/>
        <w:rPr>
          <w:rFonts w:ascii="Verdana" w:cs="Verdana" w:hAnsi="Verdana" w:eastAsia="Verdana"/>
          <w:b w:val="0"/>
          <w:bCs w:val="0"/>
        </w:rPr>
      </w:pPr>
      <w:r>
        <w:rPr>
          <w:rFonts w:ascii="Verdana" w:hAnsi="Verdana"/>
          <w:b w:val="0"/>
          <w:bCs w:val="0"/>
          <w:sz w:val="24"/>
          <w:szCs w:val="24"/>
          <w:rtl w:val="0"/>
          <w:lang w:val="en-US"/>
        </w:rPr>
        <w:t>Petraglia, M.D. et al. (2007). Middle Paleolithic assemblages from the Indian subcontinent before and after the Toba super-eruption. Science, 317(5834), 114</w:t>
      </w:r>
      <w:r>
        <w:rPr>
          <w:rFonts w:ascii="Verdana" w:hAnsi="Verdana" w:hint="default"/>
          <w:b w:val="0"/>
          <w:bCs w:val="0"/>
          <w:sz w:val="24"/>
          <w:szCs w:val="24"/>
          <w:rtl w:val="0"/>
        </w:rPr>
        <w:t>–</w:t>
      </w:r>
      <w:r>
        <w:rPr>
          <w:rFonts w:ascii="Verdana" w:hAnsi="Verdana"/>
          <w:b w:val="0"/>
          <w:bCs w:val="0"/>
          <w:sz w:val="24"/>
          <w:szCs w:val="24"/>
          <w:rtl w:val="0"/>
        </w:rPr>
        <w:t>116.</w:t>
      </w:r>
    </w:p>
    <w:p>
      <w:pPr>
        <w:pStyle w:val="Heading"/>
        <w:rPr>
          <w:rFonts w:ascii="Verdana" w:cs="Verdana" w:hAnsi="Verdana" w:eastAsia="Verdana"/>
          <w:b w:val="0"/>
          <w:bCs w:val="0"/>
        </w:rPr>
      </w:pPr>
      <w:r>
        <w:rPr>
          <w:rFonts w:ascii="Verdana" w:hAnsi="Verdana"/>
          <w:b w:val="0"/>
          <w:bCs w:val="0"/>
          <w:sz w:val="24"/>
          <w:szCs w:val="24"/>
          <w:rtl w:val="0"/>
          <w:lang w:val="en-US"/>
        </w:rPr>
        <w:t>Rose, J.I. (2010). New light on human prehistory in the Arabo-Persian Gulf Oasis. Current Anthropology, 51(6), 849</w:t>
      </w:r>
      <w:r>
        <w:rPr>
          <w:rFonts w:ascii="Verdana" w:hAnsi="Verdana" w:hint="default"/>
          <w:b w:val="0"/>
          <w:bCs w:val="0"/>
          <w:sz w:val="24"/>
          <w:szCs w:val="24"/>
          <w:rtl w:val="0"/>
        </w:rPr>
        <w:t>–</w:t>
      </w:r>
      <w:r>
        <w:rPr>
          <w:rFonts w:ascii="Verdana" w:hAnsi="Verdana"/>
          <w:b w:val="0"/>
          <w:bCs w:val="0"/>
          <w:sz w:val="24"/>
          <w:szCs w:val="24"/>
          <w:rtl w:val="0"/>
        </w:rPr>
        <w:t>883.</w:t>
      </w:r>
    </w:p>
    <w:p>
      <w:pPr>
        <w:pStyle w:val="Heading"/>
        <w:rPr>
          <w:rFonts w:ascii="Verdana" w:cs="Verdana" w:hAnsi="Verdana" w:eastAsia="Verdana"/>
          <w:b w:val="0"/>
          <w:bCs w:val="0"/>
        </w:rPr>
      </w:pPr>
      <w:r>
        <w:rPr>
          <w:rFonts w:ascii="Verdana" w:hAnsi="Verdana"/>
          <w:b w:val="0"/>
          <w:bCs w:val="0"/>
          <w:sz w:val="24"/>
          <w:szCs w:val="24"/>
          <w:rtl w:val="0"/>
          <w:lang w:val="en-US"/>
        </w:rPr>
        <w:t>Voris, H.K. (2000). Maps of Pleistocene sea levels in Southeast Asia. Journal of Biogeography, 27(5), 1153</w:t>
      </w:r>
      <w:r>
        <w:rPr>
          <w:rFonts w:ascii="Verdana" w:hAnsi="Verdana" w:hint="default"/>
          <w:b w:val="0"/>
          <w:bCs w:val="0"/>
          <w:sz w:val="24"/>
          <w:szCs w:val="24"/>
          <w:rtl w:val="0"/>
        </w:rPr>
        <w:t>–</w:t>
      </w:r>
      <w:r>
        <w:rPr>
          <w:rFonts w:ascii="Verdana" w:hAnsi="Verdana"/>
          <w:b w:val="0"/>
          <w:bCs w:val="0"/>
          <w:sz w:val="24"/>
          <w:szCs w:val="24"/>
          <w:rtl w:val="0"/>
        </w:rPr>
        <w:t>1167.</w:t>
      </w:r>
    </w:p>
    <w:p>
      <w:pPr>
        <w:pStyle w:val="Heading"/>
        <w:rPr>
          <w:rFonts w:ascii="Verdana" w:cs="Verdana" w:hAnsi="Verdana" w:eastAsia="Verdana"/>
          <w:b w:val="0"/>
          <w:bCs w:val="0"/>
        </w:rPr>
      </w:pPr>
      <w:r>
        <w:rPr>
          <w:rFonts w:ascii="Verdana" w:hAnsi="Verdana"/>
          <w:b w:val="0"/>
          <w:bCs w:val="0"/>
          <w:sz w:val="24"/>
          <w:szCs w:val="24"/>
          <w:rtl w:val="0"/>
          <w:lang w:val="en-US"/>
        </w:rPr>
        <w:t>Walter, R.C. et al. (2000). Early human occupation of the Red Sea coast of Eritrea. Nature, 405, 65</w:t>
      </w:r>
      <w:r>
        <w:rPr>
          <w:rFonts w:ascii="Verdana" w:hAnsi="Verdana" w:hint="default"/>
          <w:b w:val="0"/>
          <w:bCs w:val="0"/>
          <w:sz w:val="24"/>
          <w:szCs w:val="24"/>
          <w:rtl w:val="0"/>
        </w:rPr>
        <w:t>–</w:t>
      </w:r>
      <w:r>
        <w:rPr>
          <w:rFonts w:ascii="Verdana" w:hAnsi="Verdana"/>
          <w:b w:val="0"/>
          <w:bCs w:val="0"/>
          <w:sz w:val="24"/>
          <w:szCs w:val="24"/>
          <w:rtl w:val="0"/>
        </w:rPr>
        <w:t>69.</w:t>
      </w:r>
    </w:p>
    <w:p>
      <w:pPr>
        <w:pStyle w:val="Heading"/>
        <w:rPr>
          <w:rFonts w:ascii="Verdana" w:cs="Verdana" w:hAnsi="Verdana" w:eastAsia="Verdana"/>
          <w:b w:val="0"/>
          <w:bCs w:val="0"/>
        </w:rPr>
      </w:pPr>
      <w:r>
        <w:rPr>
          <w:rFonts w:ascii="Verdana" w:hAnsi="Verdana"/>
          <w:b w:val="0"/>
          <w:bCs w:val="0"/>
          <w:sz w:val="24"/>
          <w:szCs w:val="24"/>
          <w:rtl w:val="0"/>
          <w:lang w:val="en-US"/>
        </w:rPr>
        <w:t>DSSM Corpus (Anthony Vondoom):</w:t>
      </w:r>
    </w:p>
    <w:p>
      <w:pPr>
        <w:pStyle w:val="Heading"/>
        <w:rPr>
          <w:rFonts w:ascii="Verdana" w:cs="Verdana" w:hAnsi="Verdana" w:eastAsia="Verdana"/>
          <w:b w:val="0"/>
          <w:bCs w:val="0"/>
        </w:rPr>
      </w:pPr>
      <w:r>
        <w:rPr>
          <w:rFonts w:ascii="Verdana" w:hAnsi="Verdana"/>
          <w:b w:val="0"/>
          <w:bCs w:val="0"/>
          <w:sz w:val="24"/>
          <w:szCs w:val="24"/>
          <w:rtl w:val="0"/>
          <w:lang w:val="en-US"/>
        </w:rPr>
        <w:t>Vondoom, A. (2026). Deep Symbolic Systems Model: Foundation. SSRN. https://doi.org/10.2139/ssrn.6003734</w:t>
      </w:r>
    </w:p>
    <w:p>
      <w:pPr>
        <w:pStyle w:val="Heading"/>
        <w:rPr>
          <w:rFonts w:ascii="Verdana" w:cs="Verdana" w:hAnsi="Verdana" w:eastAsia="Verdana"/>
          <w:b w:val="0"/>
          <w:bCs w:val="0"/>
        </w:rPr>
      </w:pPr>
      <w:r>
        <w:rPr>
          <w:rFonts w:ascii="Verdana" w:hAnsi="Verdana"/>
          <w:b w:val="0"/>
          <w:bCs w:val="0"/>
          <w:sz w:val="24"/>
          <w:szCs w:val="24"/>
          <w:rtl w:val="0"/>
          <w:lang w:val="en-US"/>
        </w:rPr>
        <w:t>Vondoom, A. (2026). Symbolic Continuity Without Monumentality. Figshare. https://doi.org/10.6084/m9.figshare.31061896</w:t>
      </w:r>
    </w:p>
    <w:p>
      <w:pPr>
        <w:pStyle w:val="Heading"/>
        <w:rPr>
          <w:rFonts w:ascii="Verdana" w:cs="Verdana" w:hAnsi="Verdana" w:eastAsia="Verdana"/>
          <w:b w:val="0"/>
          <w:bCs w:val="0"/>
        </w:rPr>
      </w:pPr>
      <w:r>
        <w:rPr>
          <w:rFonts w:ascii="Verdana" w:hAnsi="Verdana"/>
          <w:b w:val="0"/>
          <w:bCs w:val="0"/>
          <w:sz w:val="24"/>
          <w:szCs w:val="24"/>
          <w:rtl w:val="0"/>
          <w:lang w:val="en-US"/>
        </w:rPr>
        <w:t>Vondoom, A. (2026). Flying Over Water. Figshare. https://doi.org/10.6084/m9.figshare.32509095</w:t>
      </w:r>
    </w:p>
    <w:p>
      <w:pPr>
        <w:pStyle w:val="Heading"/>
        <w:rPr>
          <w:rFonts w:ascii="Verdana" w:cs="Verdana" w:hAnsi="Verdana" w:eastAsia="Verdana"/>
          <w:b w:val="0"/>
          <w:bCs w:val="0"/>
        </w:rPr>
      </w:pPr>
      <w:r>
        <w:rPr>
          <w:rFonts w:ascii="Verdana" w:hAnsi="Verdana"/>
          <w:b w:val="0"/>
          <w:bCs w:val="0"/>
          <w:sz w:val="24"/>
          <w:szCs w:val="24"/>
          <w:rtl w:val="0"/>
        </w:rPr>
        <w:t>Vondoom, A. (2026). The Ramayana</w:t>
      </w:r>
      <w:r>
        <w:rPr>
          <w:rFonts w:ascii="Verdana" w:hAnsi="Verdana" w:hint="default"/>
          <w:b w:val="0"/>
          <w:bCs w:val="0"/>
          <w:sz w:val="24"/>
          <w:szCs w:val="24"/>
          <w:rtl w:val="1"/>
        </w:rPr>
        <w:t>’</w:t>
      </w:r>
      <w:r>
        <w:rPr>
          <w:rFonts w:ascii="Verdana" w:hAnsi="Verdana"/>
          <w:b w:val="0"/>
          <w:bCs w:val="0"/>
          <w:sz w:val="24"/>
          <w:szCs w:val="24"/>
          <w:rtl w:val="0"/>
          <w:lang w:val="en-US"/>
        </w:rPr>
        <w:t>s Southern Geography. [companion paper, this corpus]</w:t>
      </w:r>
    </w:p>
    <w:p>
      <w:pPr>
        <w:pStyle w:val="Heading"/>
      </w:pPr>
      <w:r>
        <w:rPr>
          <w:rFonts w:ascii="Verdana" w:hAnsi="Verdana"/>
          <w:b w:val="0"/>
          <w:bCs w:val="0"/>
          <w:sz w:val="24"/>
          <w:szCs w:val="24"/>
          <w:rtl w:val="0"/>
          <w:lang w:val="en-US"/>
        </w:rPr>
        <w:t>Vondoom, A. (2026). From Bruniquel to Blombos. Figshare. https://doi.org/10.6084/m9.figshare.31125448</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2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