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934D" w14:textId="77777777" w:rsidR="00433D68" w:rsidRDefault="00433D68">
      <w:pPr>
        <w:spacing w:after="720"/>
      </w:pPr>
    </w:p>
    <w:p w14:paraId="1D3BC39F" w14:textId="77777777" w:rsidR="00433D68" w:rsidRDefault="00000000">
      <w:pPr>
        <w:spacing w:after="120"/>
        <w:jc w:val="center"/>
      </w:pPr>
      <w:r>
        <w:rPr>
          <w:b/>
          <w:bCs/>
          <w:color w:val="1F3864"/>
          <w:sz w:val="52"/>
          <w:szCs w:val="52"/>
        </w:rPr>
        <w:t>DECODING THE SUMERIAN KINGS LIST</w:t>
      </w:r>
    </w:p>
    <w:p w14:paraId="18CC6BA7" w14:textId="77777777" w:rsidR="00433D68" w:rsidRDefault="00000000">
      <w:pPr>
        <w:spacing w:after="80"/>
        <w:jc w:val="center"/>
      </w:pPr>
      <w:r>
        <w:rPr>
          <w:i/>
          <w:iCs/>
          <w:color w:val="2E5394"/>
          <w:sz w:val="28"/>
          <w:szCs w:val="28"/>
        </w:rPr>
        <w:t>Scribal Transmission, Sexagesimal Inflation, and the Recovery of Historical Reign Lengths</w:t>
      </w:r>
    </w:p>
    <w:p w14:paraId="754AA4AE" w14:textId="77777777" w:rsidR="00433D68" w:rsidRDefault="00000000">
      <w:pPr>
        <w:spacing w:after="60"/>
        <w:jc w:val="center"/>
      </w:pPr>
      <w:r>
        <w:rPr>
          <w:color w:val="555555"/>
        </w:rPr>
        <w:t>A Deep Symbolic Systems Model (DSSM) Analysis</w:t>
      </w:r>
    </w:p>
    <w:p w14:paraId="4B9C9E32" w14:textId="77777777" w:rsidR="00433D68" w:rsidRDefault="00433D68">
      <w:pPr>
        <w:pBdr>
          <w:bottom w:val="single" w:sz="4" w:space="1" w:color="2E5394"/>
        </w:pBdr>
        <w:spacing w:before="240" w:after="240"/>
      </w:pPr>
    </w:p>
    <w:p w14:paraId="05306691" w14:textId="77777777" w:rsidR="002B796D" w:rsidRDefault="002B796D">
      <w:pPr>
        <w:pBdr>
          <w:bottom w:val="single" w:sz="4" w:space="1" w:color="2E5394"/>
        </w:pBdr>
        <w:spacing w:before="240" w:after="240"/>
      </w:pPr>
    </w:p>
    <w:p w14:paraId="7CF721A9" w14:textId="42049D35" w:rsidR="002B796D" w:rsidRDefault="00F62F95" w:rsidP="00F62F95">
      <w:pPr>
        <w:pBdr>
          <w:bottom w:val="single" w:sz="4" w:space="1" w:color="2E5394"/>
        </w:pBdr>
        <w:spacing w:before="240" w:after="240"/>
        <w:jc w:val="center"/>
      </w:pPr>
      <w:hyperlink r:id="rId5" w:history="1">
        <w:r w:rsidRPr="00B230AA">
          <w:rPr>
            <w:rStyle w:val="Hyperlink"/>
          </w:rPr>
          <w:t>https://doi.org/10.6084/m9.figshare.32415420</w:t>
        </w:r>
      </w:hyperlink>
    </w:p>
    <w:p w14:paraId="5A1B0011" w14:textId="77777777" w:rsidR="002B796D" w:rsidRDefault="002B796D">
      <w:pPr>
        <w:pBdr>
          <w:bottom w:val="single" w:sz="4" w:space="1" w:color="2E5394"/>
        </w:pBdr>
        <w:spacing w:before="240" w:after="240"/>
      </w:pPr>
    </w:p>
    <w:p w14:paraId="69D3B867" w14:textId="77777777" w:rsidR="002B796D" w:rsidRDefault="002B796D">
      <w:pPr>
        <w:pBdr>
          <w:bottom w:val="single" w:sz="4" w:space="1" w:color="2E5394"/>
        </w:pBdr>
        <w:spacing w:before="240" w:after="240"/>
      </w:pPr>
    </w:p>
    <w:p w14:paraId="59EF9CFA" w14:textId="77777777" w:rsidR="002B796D" w:rsidRDefault="002B796D">
      <w:pPr>
        <w:pBdr>
          <w:bottom w:val="single" w:sz="4" w:space="1" w:color="2E5394"/>
        </w:pBdr>
        <w:spacing w:before="240" w:after="240"/>
      </w:pPr>
    </w:p>
    <w:p w14:paraId="5DF655E8" w14:textId="77777777" w:rsidR="002B796D" w:rsidRDefault="002B796D">
      <w:pPr>
        <w:pBdr>
          <w:bottom w:val="single" w:sz="4" w:space="1" w:color="2E5394"/>
        </w:pBdr>
        <w:spacing w:before="240" w:after="240"/>
      </w:pPr>
    </w:p>
    <w:p w14:paraId="1D73FD7C" w14:textId="77777777" w:rsidR="002B796D" w:rsidRDefault="002B796D">
      <w:pPr>
        <w:pBdr>
          <w:bottom w:val="single" w:sz="4" w:space="1" w:color="2E5394"/>
        </w:pBdr>
        <w:spacing w:before="240" w:after="240"/>
      </w:pPr>
    </w:p>
    <w:p w14:paraId="2113DBD1" w14:textId="77777777" w:rsidR="002B796D" w:rsidRDefault="002B796D">
      <w:pPr>
        <w:pBdr>
          <w:bottom w:val="single" w:sz="4" w:space="1" w:color="2E5394"/>
        </w:pBdr>
        <w:spacing w:before="240" w:after="240"/>
      </w:pPr>
    </w:p>
    <w:p w14:paraId="0BA1E820" w14:textId="77777777" w:rsidR="002B796D" w:rsidRDefault="002B796D">
      <w:pPr>
        <w:pBdr>
          <w:bottom w:val="single" w:sz="4" w:space="1" w:color="2E5394"/>
        </w:pBdr>
        <w:spacing w:before="240" w:after="240"/>
      </w:pPr>
    </w:p>
    <w:p w14:paraId="4B3FC708" w14:textId="77777777" w:rsidR="002B796D" w:rsidRDefault="002B796D">
      <w:pPr>
        <w:pBdr>
          <w:bottom w:val="single" w:sz="4" w:space="1" w:color="2E5394"/>
        </w:pBdr>
        <w:spacing w:before="240" w:after="240"/>
      </w:pPr>
    </w:p>
    <w:p w14:paraId="29718768" w14:textId="77777777" w:rsidR="002B796D" w:rsidRDefault="002B796D">
      <w:pPr>
        <w:pBdr>
          <w:bottom w:val="single" w:sz="4" w:space="1" w:color="2E5394"/>
        </w:pBdr>
        <w:spacing w:before="240" w:after="240"/>
      </w:pPr>
    </w:p>
    <w:p w14:paraId="3BB371A1" w14:textId="77777777" w:rsidR="002B796D" w:rsidRDefault="002B796D">
      <w:pPr>
        <w:pBdr>
          <w:bottom w:val="single" w:sz="4" w:space="1" w:color="2E5394"/>
        </w:pBdr>
        <w:spacing w:before="240" w:after="240"/>
      </w:pPr>
    </w:p>
    <w:p w14:paraId="77F7560D" w14:textId="77777777" w:rsidR="002B796D" w:rsidRDefault="002B796D">
      <w:pPr>
        <w:pBdr>
          <w:bottom w:val="single" w:sz="4" w:space="1" w:color="2E5394"/>
        </w:pBdr>
        <w:spacing w:before="240" w:after="240"/>
      </w:pPr>
    </w:p>
    <w:p w14:paraId="19B42E75" w14:textId="77777777" w:rsidR="002B796D" w:rsidRDefault="002B796D">
      <w:pPr>
        <w:pBdr>
          <w:bottom w:val="single" w:sz="4" w:space="1" w:color="2E5394"/>
        </w:pBdr>
        <w:spacing w:before="240" w:after="240"/>
      </w:pPr>
    </w:p>
    <w:p w14:paraId="526DCF16" w14:textId="77777777" w:rsidR="00433D68" w:rsidRDefault="00000000">
      <w:pPr>
        <w:spacing w:after="60" w:line="284" w:lineRule="auto"/>
        <w:jc w:val="center"/>
      </w:pPr>
      <w:r>
        <w:rPr>
          <w:b/>
          <w:bCs/>
          <w:color w:val="000000"/>
          <w:sz w:val="26"/>
          <w:szCs w:val="26"/>
        </w:rPr>
        <w:t>Anthony Vondoom</w:t>
      </w:r>
    </w:p>
    <w:p w14:paraId="59AE608C" w14:textId="77777777" w:rsidR="00433D68" w:rsidRDefault="00000000">
      <w:pPr>
        <w:spacing w:after="40" w:line="284" w:lineRule="auto"/>
        <w:jc w:val="center"/>
      </w:pPr>
      <w:r>
        <w:rPr>
          <w:color w:val="555555"/>
          <w:sz w:val="22"/>
          <w:szCs w:val="22"/>
        </w:rPr>
        <w:t>Independent Researcher, Cognitive Archaeology</w:t>
      </w:r>
    </w:p>
    <w:p w14:paraId="11BAC7BC" w14:textId="77777777" w:rsidR="00433D68" w:rsidRDefault="00000000">
      <w:pPr>
        <w:spacing w:after="40" w:line="284" w:lineRule="auto"/>
        <w:jc w:val="center"/>
      </w:pPr>
      <w:r>
        <w:rPr>
          <w:color w:val="555555"/>
          <w:sz w:val="20"/>
          <w:szCs w:val="20"/>
        </w:rPr>
        <w:t>ORCID: 0009-0003-4953-</w:t>
      </w:r>
      <w:proofErr w:type="gramStart"/>
      <w:r>
        <w:rPr>
          <w:color w:val="555555"/>
          <w:sz w:val="20"/>
          <w:szCs w:val="20"/>
        </w:rPr>
        <w:t>1427  |</w:t>
      </w:r>
      <w:proofErr w:type="gramEnd"/>
      <w:r>
        <w:rPr>
          <w:color w:val="555555"/>
          <w:sz w:val="20"/>
          <w:szCs w:val="20"/>
        </w:rPr>
        <w:t xml:space="preserve">  anthony.vondoom@outlook.com</w:t>
      </w:r>
    </w:p>
    <w:p w14:paraId="458D27DA" w14:textId="77777777" w:rsidR="00433D68" w:rsidRDefault="00000000">
      <w:pPr>
        <w:spacing w:after="40" w:line="284" w:lineRule="auto"/>
        <w:jc w:val="center"/>
      </w:pPr>
      <w:r>
        <w:rPr>
          <w:color w:val="555555"/>
          <w:sz w:val="22"/>
          <w:szCs w:val="22"/>
        </w:rPr>
        <w:t>May 2026</w:t>
      </w:r>
    </w:p>
    <w:p w14:paraId="533EA4A5" w14:textId="77777777" w:rsidR="00433D68" w:rsidRDefault="00000000">
      <w:pPr>
        <w:spacing w:after="200" w:line="284" w:lineRule="auto"/>
        <w:jc w:val="center"/>
      </w:pPr>
      <w:r>
        <w:rPr>
          <w:i/>
          <w:iCs/>
          <w:color w:val="555555"/>
          <w:sz w:val="20"/>
          <w:szCs w:val="20"/>
        </w:rPr>
        <w:t>AI-Assisted Synthesis: Claude Sonnet 4.6 (Anthropic)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3D68" w14:paraId="6A11CFA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200" w:type="dxa"/>
              <w:left w:w="280" w:type="dxa"/>
              <w:bottom w:w="200" w:type="dxa"/>
              <w:right w:w="280" w:type="dxa"/>
            </w:tcMar>
          </w:tcPr>
          <w:p w14:paraId="253F2E9A" w14:textId="77777777" w:rsidR="00433D68" w:rsidRDefault="00000000">
            <w:pPr>
              <w:spacing w:after="80"/>
            </w:pPr>
            <w:r>
              <w:rPr>
                <w:b/>
                <w:bCs/>
                <w:color w:val="1F3864"/>
              </w:rPr>
              <w:lastRenderedPageBreak/>
              <w:t>Abstract</w:t>
            </w:r>
          </w:p>
          <w:p w14:paraId="03EB8990" w14:textId="77777777" w:rsidR="00433D68" w:rsidRDefault="00000000">
            <w:pPr>
              <w:spacing w:after="120"/>
              <w:jc w:val="both"/>
            </w:pPr>
            <w:r>
              <w:rPr>
                <w:i/>
                <w:iCs/>
                <w:sz w:val="22"/>
                <w:szCs w:val="22"/>
              </w:rPr>
              <w:t xml:space="preserve">The Sumerian Kings List (SKL) is among the most debated documents in ancient history. Its pre-flood section records eight kings ruling for a combined 241,200 years — figures so extreme that scholarship has largely treated them as mythological. This paper proposes a different analytical approach. Drawing on Thorkild Jacobsen's authoritative 1939 critical edition, it argues that the pre-flood reign lengths are not mythological invention but recoverable historical data obscured by three compounding distortions: sexagesimal encoding conventions, scribal transmission error introduced when the antediluvian section was grafted onto an older document, and dynastic compression analogous to patterns documented in Egyptian royal records. When the Sumerian unit of one </w:t>
            </w:r>
            <w:proofErr w:type="spellStart"/>
            <w:r>
              <w:rPr>
                <w:i/>
                <w:iCs/>
                <w:sz w:val="22"/>
                <w:szCs w:val="22"/>
              </w:rPr>
              <w:t>sar</w:t>
            </w:r>
            <w:proofErr w:type="spellEnd"/>
            <w:r>
              <w:rPr>
                <w:i/>
                <w:iCs/>
                <w:sz w:val="22"/>
                <w:szCs w:val="22"/>
              </w:rPr>
              <w:t xml:space="preserve"> (3,600) is applied as a corrective divisor — grounded in Jacobsen's observation that all but two pre-flood reigns are exact multiples of 3,600 — reigns reduce to 8–12 years each, entirely within normal parameters for early city-state governance. The paper further applies the Deep Symbolic Systems Model (DSSM; Vondoom, 2025) to read the SKL as a Stage 3–4 symbolic legitimacy artifact: a political document encoding institutional authority in the grammar of sacred time, not a chronicle of literal events. This three-layer argument — textual, mathematical, and symbolic-structural — recovers the SKL as a distorted but legible record of the world's first multistate system.</w:t>
            </w:r>
          </w:p>
          <w:p w14:paraId="7E0914F4" w14:textId="77777777" w:rsidR="00433D68" w:rsidRDefault="00000000">
            <w:pPr>
              <w:spacing w:after="80"/>
            </w:pPr>
            <w:r>
              <w:rPr>
                <w:i/>
                <w:iCs/>
                <w:color w:val="555555"/>
                <w:sz w:val="20"/>
                <w:szCs w:val="20"/>
              </w:rPr>
              <w:t>Keywords: Sumerian Kings List, Deep Symbolic Systems Model, DSSM, sexagesimal mathematics, antediluvian kings, Jacobsen 1939, Mesopotamia, scribal transmission, symbolic legitimacy, cognitive archaeology</w:t>
            </w:r>
          </w:p>
          <w:p w14:paraId="3D75C4F5" w14:textId="77777777" w:rsidR="00433D68" w:rsidRDefault="00000000">
            <w:r>
              <w:rPr>
                <w:i/>
                <w:iCs/>
                <w:color w:val="888888"/>
                <w:sz w:val="20"/>
                <w:szCs w:val="20"/>
              </w:rPr>
              <w:t>Scope note: This paper presents a structural and mathematical argument for the recoverability of historical data from the SKL's pre-flood section. It does not claim to reconstruct verified historical biography for any pre-flood king, nor does it resolve all interpretive questions surrounding the document. Approximate word count: 9,500 words excluding references and tables.</w:t>
            </w:r>
          </w:p>
        </w:tc>
      </w:tr>
    </w:tbl>
    <w:p w14:paraId="48575184" w14:textId="77777777" w:rsidR="00433D68" w:rsidRDefault="00433D68">
      <w:pPr>
        <w:spacing w:after="300"/>
      </w:pPr>
    </w:p>
    <w:p w14:paraId="58DF22B9" w14:textId="77777777" w:rsidR="00433D68" w:rsidRDefault="00000000">
      <w:pPr>
        <w:pStyle w:val="Heading1"/>
      </w:pPr>
      <w:r>
        <w:t>1. Introduction</w:t>
      </w:r>
    </w:p>
    <w:p w14:paraId="0343F105" w14:textId="77777777" w:rsidR="00433D68" w:rsidRDefault="00000000">
      <w:pPr>
        <w:spacing w:after="180" w:line="284" w:lineRule="auto"/>
        <w:jc w:val="both"/>
      </w:pPr>
      <w:r>
        <w:rPr>
          <w:color w:val="000000"/>
        </w:rPr>
        <w:t xml:space="preserve">The Sumerian Kings List opens with a claim of startling cosmological directness: 'When kingship descended from heaven, the kingship was in </w:t>
      </w:r>
      <w:proofErr w:type="spellStart"/>
      <w:r>
        <w:rPr>
          <w:color w:val="000000"/>
        </w:rPr>
        <w:t>Eridu</w:t>
      </w:r>
      <w:proofErr w:type="spellEnd"/>
      <w:r>
        <w:rPr>
          <w:color w:val="000000"/>
        </w:rPr>
        <w:t xml:space="preserve">' (Jacobsen, 1939, p. 71). What follows is one of the most analytically challenging documents in the ancient record. Eight </w:t>
      </w:r>
      <w:proofErr w:type="gramStart"/>
      <w:r>
        <w:rPr>
          <w:color w:val="000000"/>
        </w:rPr>
        <w:t>kings</w:t>
      </w:r>
      <w:proofErr w:type="gramEnd"/>
      <w:r>
        <w:rPr>
          <w:color w:val="000000"/>
        </w:rPr>
        <w:t xml:space="preserve"> rule before a great flood, their combined reigns </w:t>
      </w:r>
      <w:proofErr w:type="spellStart"/>
      <w:r>
        <w:rPr>
          <w:color w:val="000000"/>
        </w:rPr>
        <w:t>totalling</w:t>
      </w:r>
      <w:proofErr w:type="spellEnd"/>
      <w:r>
        <w:rPr>
          <w:color w:val="000000"/>
        </w:rPr>
        <w:t xml:space="preserve"> 241,200 years (Jacobsen, 1939). Then the flood sweeps over. Kingship descends from heaven again. And the numbers abruptly compress — hundreds of years, then decades, then lifespans recognizable as human.</w:t>
      </w:r>
    </w:p>
    <w:p w14:paraId="6082102D" w14:textId="77777777" w:rsidR="00433D68" w:rsidRDefault="00000000">
      <w:pPr>
        <w:spacing w:after="180" w:line="284" w:lineRule="auto"/>
        <w:jc w:val="both"/>
      </w:pPr>
      <w:r>
        <w:rPr>
          <w:color w:val="000000"/>
        </w:rPr>
        <w:t>Scholarship has responded to this asymmetry in two dominant ways. The majority tradition dismisses the pre-flood figures as mythological — symbolic expressions of divine authority rather than historical data (Van De Mieroop, 2007; Oppenheim, 1977). A minority tradition reads them literally, variously invoking lost civilizations, alternative calendar systems, or, in fringe literature, extraterrestrial intervention (</w:t>
      </w:r>
      <w:proofErr w:type="spellStart"/>
      <w:r>
        <w:rPr>
          <w:color w:val="000000"/>
        </w:rPr>
        <w:t>Sitchin</w:t>
      </w:r>
      <w:proofErr w:type="spellEnd"/>
      <w:r>
        <w:rPr>
          <w:color w:val="000000"/>
        </w:rPr>
        <w:t>, 1976). Both responses share a common failure: neither treats the numbers as a solvable encoding problem.</w:t>
      </w:r>
    </w:p>
    <w:p w14:paraId="78B37380" w14:textId="77777777" w:rsidR="00433D68" w:rsidRDefault="00000000">
      <w:pPr>
        <w:spacing w:after="180" w:line="284" w:lineRule="auto"/>
        <w:jc w:val="both"/>
      </w:pPr>
      <w:r>
        <w:rPr>
          <w:color w:val="000000"/>
        </w:rPr>
        <w:lastRenderedPageBreak/>
        <w:t xml:space="preserve">This paper takes a third approach. It argues that the pre-flood reign lengths are distorted but recoverable historical data, distorted by three compounding mechanisms that can be identified, isolated, and corrected using the Sumerians' own mathematical conventions. The analytical foundation is Jacobsen's (1939) structural observation that the antediluvian section is a later scribal addition to the SKL, combined with the mathematical finding that all but two pre-flood reigns are expressed as exact multiples of 3,600 — the Sumerian unit of one </w:t>
      </w:r>
      <w:proofErr w:type="spellStart"/>
      <w:r>
        <w:rPr>
          <w:color w:val="000000"/>
        </w:rPr>
        <w:t>sar</w:t>
      </w:r>
      <w:proofErr w:type="spellEnd"/>
      <w:r>
        <w:rPr>
          <w:color w:val="000000"/>
        </w:rPr>
        <w:t xml:space="preserve"> (Friberg, 1984). Dividing by one </w:t>
      </w:r>
      <w:proofErr w:type="spellStart"/>
      <w:r>
        <w:rPr>
          <w:color w:val="000000"/>
        </w:rPr>
        <w:t>sar</w:t>
      </w:r>
      <w:proofErr w:type="spellEnd"/>
      <w:r>
        <w:rPr>
          <w:color w:val="000000"/>
        </w:rPr>
        <w:t xml:space="preserve"> produces reign lengths of 8 to 12 years each, consistent with early city-state governance.</w:t>
      </w:r>
    </w:p>
    <w:p w14:paraId="1762EE96" w14:textId="77777777" w:rsidR="00433D68" w:rsidRDefault="00000000">
      <w:pPr>
        <w:spacing w:after="180" w:line="284" w:lineRule="auto"/>
        <w:jc w:val="both"/>
      </w:pPr>
      <w:r>
        <w:rPr>
          <w:color w:val="000000"/>
        </w:rPr>
        <w:t>The paper proceeds in four movements. First, the historical and archaeological context establishing the SKL within the world it describes (Section 2). Second, a close reading of the document itself: its physical artifacts, political function, and Jacobsen's (1939) critical findings (Sections 3–4). Third, the mathematical correction: three methods tested against the actual reign-length data (Section 5). Fourth, a DSSM analysis (Vondoom, 2025; 2026a) positioning the SKL as a Stage 3–4 symbolic legitimacy artifact — a document that encodes institutional authority in the idiom of sacred time, not a chronicle of literal events (Sections 6–8).</w:t>
      </w:r>
    </w:p>
    <w:p w14:paraId="4967B859" w14:textId="77777777" w:rsidR="00433D68" w:rsidRDefault="00000000">
      <w:pPr>
        <w:pStyle w:val="Heading1"/>
      </w:pPr>
      <w:r>
        <w:t>2. Historical and Archaeological Context</w:t>
      </w:r>
    </w:p>
    <w:p w14:paraId="2B180F97" w14:textId="77777777" w:rsidR="00433D68" w:rsidRDefault="00000000">
      <w:pPr>
        <w:pStyle w:val="Heading2"/>
      </w:pPr>
      <w:r>
        <w:t>2.1 Sumer and Mesopotamia</w:t>
      </w:r>
    </w:p>
    <w:p w14:paraId="551AE4DA" w14:textId="77777777" w:rsidR="00433D68" w:rsidRDefault="00000000">
      <w:pPr>
        <w:spacing w:after="180" w:line="284" w:lineRule="auto"/>
        <w:jc w:val="both"/>
      </w:pPr>
      <w:r>
        <w:rPr>
          <w:color w:val="000000"/>
        </w:rPr>
        <w:t>Sumer is the southern region of ancient Mesopotamia — the alluvial plain between the Tigris and Euphrates rivers, corresponding roughly to modern southern Iraq. The term Mesopotamia (Greek: 'between the rivers') covers the full river valley including Akkad to the north, and later Babylon and Assyria. Sumer constitutes its earliest and most archaeologically documented stratum (Nissen, 1988; Crawford, 2004; Oppenheim, 1977; Roux, 1992).</w:t>
      </w:r>
    </w:p>
    <w:p w14:paraId="03CA669A" w14:textId="77777777" w:rsidR="00433D68" w:rsidRDefault="00000000">
      <w:pPr>
        <w:spacing w:after="180" w:line="284" w:lineRule="auto"/>
        <w:jc w:val="both"/>
      </w:pPr>
      <w:r>
        <w:rPr>
          <w:color w:val="000000"/>
        </w:rPr>
        <w:t xml:space="preserve">The cities named in the SKL's pre-flood section — </w:t>
      </w:r>
      <w:proofErr w:type="spellStart"/>
      <w:r>
        <w:rPr>
          <w:color w:val="000000"/>
        </w:rPr>
        <w:t>Eridu</w:t>
      </w:r>
      <w:proofErr w:type="spellEnd"/>
      <w:r>
        <w:rPr>
          <w:color w:val="000000"/>
        </w:rPr>
        <w:t>, Bad-</w:t>
      </w:r>
      <w:proofErr w:type="spellStart"/>
      <w:r>
        <w:rPr>
          <w:color w:val="000000"/>
        </w:rPr>
        <w:t>tibira</w:t>
      </w:r>
      <w:proofErr w:type="spellEnd"/>
      <w:r>
        <w:rPr>
          <w:color w:val="000000"/>
        </w:rPr>
        <w:t xml:space="preserve">, Larak, Sippar, </w:t>
      </w:r>
      <w:proofErr w:type="spellStart"/>
      <w:r>
        <w:rPr>
          <w:color w:val="000000"/>
        </w:rPr>
        <w:t>Shuruppak</w:t>
      </w:r>
      <w:proofErr w:type="spellEnd"/>
      <w:r>
        <w:rPr>
          <w:color w:val="000000"/>
        </w:rPr>
        <w:t xml:space="preserve"> — are all real sites, excavated and dated. </w:t>
      </w:r>
      <w:proofErr w:type="spellStart"/>
      <w:r>
        <w:rPr>
          <w:color w:val="000000"/>
        </w:rPr>
        <w:t>Eridu</w:t>
      </w:r>
      <w:proofErr w:type="spellEnd"/>
      <w:r>
        <w:rPr>
          <w:color w:val="000000"/>
        </w:rPr>
        <w:t xml:space="preserve">, the first city named, has been archaeologically confirmed as one of the oldest urban settlements in the world, with continuous occupation from approximately 5400 BCE (Lloyd, 1984; Nissen, 1988). The SKL's opening claim is therefore not invention: </w:t>
      </w:r>
      <w:proofErr w:type="spellStart"/>
      <w:r>
        <w:rPr>
          <w:color w:val="000000"/>
        </w:rPr>
        <w:t>Eridu</w:t>
      </w:r>
      <w:proofErr w:type="spellEnd"/>
      <w:r>
        <w:rPr>
          <w:color w:val="000000"/>
        </w:rPr>
        <w:t xml:space="preserve"> was genuinely the earliest significant settlement in the Sumerian heartland.</w:t>
      </w:r>
    </w:p>
    <w:p w14:paraId="06CEC88A" w14:textId="77777777" w:rsidR="00433D68" w:rsidRDefault="00000000">
      <w:pPr>
        <w:pStyle w:val="Heading2"/>
      </w:pPr>
      <w:r>
        <w:t>2.2 The Fertile Crescent Corridor and Deep Symbolic Prehistory</w:t>
      </w:r>
    </w:p>
    <w:p w14:paraId="45EFF826" w14:textId="77777777" w:rsidR="00433D68" w:rsidRDefault="00000000">
      <w:pPr>
        <w:spacing w:after="180" w:line="284" w:lineRule="auto"/>
        <w:jc w:val="both"/>
      </w:pPr>
      <w:r>
        <w:rPr>
          <w:color w:val="000000"/>
        </w:rPr>
        <w:t xml:space="preserve">The broader symbolic and cultural corridor within which Sumer developed stretches from the Levant through southeastern Turkey and down through the Tigris-Euphrates valley. </w:t>
      </w:r>
      <w:proofErr w:type="spellStart"/>
      <w:r>
        <w:rPr>
          <w:color w:val="000000"/>
        </w:rPr>
        <w:t>Göbekli</w:t>
      </w:r>
      <w:proofErr w:type="spellEnd"/>
      <w:r>
        <w:rPr>
          <w:color w:val="000000"/>
        </w:rPr>
        <w:t xml:space="preserve"> Tepe, located in southeastern Turkey approximately 800 kilometers north of </w:t>
      </w:r>
      <w:r>
        <w:rPr>
          <w:color w:val="000000"/>
        </w:rPr>
        <w:lastRenderedPageBreak/>
        <w:t xml:space="preserve">Sumer's heartland, demonstrates organized symbolic behavior and coordinated monumental construction as early as 9600 BCE (Schmidt, 2010; Dietrich et al., 2012) — more than six millennia before the earliest dates implied by the SKL. The site establishes that the symbolic capacity required to produce a document like the SKL had deep regional roots, even if no direct institutional continuity connects </w:t>
      </w:r>
      <w:proofErr w:type="spellStart"/>
      <w:r>
        <w:rPr>
          <w:color w:val="000000"/>
        </w:rPr>
        <w:t>Göbekli</w:t>
      </w:r>
      <w:proofErr w:type="spellEnd"/>
      <w:r>
        <w:rPr>
          <w:color w:val="000000"/>
        </w:rPr>
        <w:t xml:space="preserve"> Tepe to </w:t>
      </w:r>
      <w:proofErr w:type="spellStart"/>
      <w:r>
        <w:rPr>
          <w:color w:val="000000"/>
        </w:rPr>
        <w:t>Uruk</w:t>
      </w:r>
      <w:proofErr w:type="spellEnd"/>
      <w:r>
        <w:rPr>
          <w:color w:val="000000"/>
        </w:rPr>
        <w:t>-period Sumer.</w:t>
      </w:r>
    </w:p>
    <w:p w14:paraId="220FB57B" w14:textId="77777777" w:rsidR="00433D68" w:rsidRDefault="00000000">
      <w:pPr>
        <w:spacing w:after="180" w:line="284" w:lineRule="auto"/>
        <w:jc w:val="both"/>
      </w:pPr>
      <w:r>
        <w:rPr>
          <w:color w:val="000000"/>
        </w:rPr>
        <w:t xml:space="preserve">The DSSM analysis of the Mesopotamian corridor (Vondoom, 2026a) traces this symbolic substrate from Upper Paleolithic site reuse in the Zagros foothills through the Ubaid temple sequence at </w:t>
      </w:r>
      <w:proofErr w:type="spellStart"/>
      <w:r>
        <w:rPr>
          <w:color w:val="000000"/>
        </w:rPr>
        <w:t>Eridu</w:t>
      </w:r>
      <w:proofErr w:type="spellEnd"/>
      <w:r>
        <w:rPr>
          <w:color w:val="000000"/>
        </w:rPr>
        <w:t xml:space="preserve">, establishing that writing and institutional forms are late-stage externalizations of symbolic systems that were already saturated by 5500 BCE. </w:t>
      </w:r>
      <w:proofErr w:type="spellStart"/>
      <w:r>
        <w:rPr>
          <w:color w:val="000000"/>
        </w:rPr>
        <w:t>Göbekli</w:t>
      </w:r>
      <w:proofErr w:type="spellEnd"/>
      <w:r>
        <w:rPr>
          <w:color w:val="000000"/>
        </w:rPr>
        <w:t xml:space="preserve"> Tepe functions in the present paper as an outer archaeological boundary: it establishes that organized symbolic society in the region predates the SKL's implied temporal horizon by millennia, making deep-time cultural memory a plausible contributing factor in the list's composition.</w:t>
      </w:r>
    </w:p>
    <w:p w14:paraId="4FB1E3D5" w14:textId="77777777" w:rsidR="00433D68" w:rsidRDefault="00000000">
      <w:pPr>
        <w:pStyle w:val="Heading2"/>
      </w:pPr>
      <w:r>
        <w:t>2.3 Contemporary Civilizations</w:t>
      </w:r>
    </w:p>
    <w:p w14:paraId="767E4C66" w14:textId="77777777" w:rsidR="00433D68" w:rsidRDefault="00000000">
      <w:pPr>
        <w:spacing w:after="180" w:line="284" w:lineRule="auto"/>
        <w:jc w:val="both"/>
      </w:pPr>
      <w:r>
        <w:rPr>
          <w:color w:val="000000"/>
        </w:rPr>
        <w:t>The SKL's historical window — roughly 3000 to 2000 BCE — coincides with the emergence of complex civilization across multiple regions simultaneously. Egypt's Old Kingdom, including the construction of the Giza pyramids around 2560 BCE, is contemporary with the SKL's historically attested kings. The Indus Valley civilization at Harappa and Mohenjo-daro reached its peak between 2600 and 1900 BCE (Kenoyer, 1998). Early Minoan Crete was emerging around 3000 BCE. Elam, in western Iran, was a direct Sumerian neighbor and appears in the SKL itself as a competing power (Kuhrt, 1995).</w:t>
      </w:r>
    </w:p>
    <w:p w14:paraId="6645E614" w14:textId="77777777" w:rsidR="00433D68" w:rsidRDefault="00000000">
      <w:pPr>
        <w:spacing w:after="180" w:line="284" w:lineRule="auto"/>
        <w:jc w:val="both"/>
        <w:rPr>
          <w:color w:val="000000"/>
        </w:rPr>
      </w:pPr>
      <w:r>
        <w:rPr>
          <w:color w:val="000000"/>
        </w:rPr>
        <w:t xml:space="preserve">This contemporaneity is analytically significant for DSSM. The world described by the SKL's post-flood section is one node in the world's first multistate system, with parallel Stage 3–4 symbolic transitions occurring across the globe within the same few centuries (Vondoom, 2026a; Trigger, 2003; Kemp, 2006; Possehl, 2002; </w:t>
      </w:r>
      <w:proofErr w:type="spellStart"/>
      <w:r>
        <w:rPr>
          <w:color w:val="000000"/>
        </w:rPr>
        <w:t>Wengrow</w:t>
      </w:r>
      <w:proofErr w:type="spellEnd"/>
      <w:r>
        <w:rPr>
          <w:color w:val="000000"/>
        </w:rPr>
        <w:t xml:space="preserve">, 2006). The SKL is not a document produced in civilizational isolation — it is produced </w:t>
      </w:r>
      <w:proofErr w:type="gramStart"/>
      <w:r>
        <w:rPr>
          <w:color w:val="000000"/>
        </w:rPr>
        <w:t>at the moment</w:t>
      </w:r>
      <w:proofErr w:type="gramEnd"/>
      <w:r>
        <w:rPr>
          <w:color w:val="000000"/>
        </w:rPr>
        <w:t xml:space="preserve"> when institutionalized symbolic authority becomes the shared grammar of complex polities worldwide.</w:t>
      </w:r>
    </w:p>
    <w:p w14:paraId="77CB6273" w14:textId="77777777" w:rsidR="002B796D" w:rsidRDefault="002B796D">
      <w:pPr>
        <w:spacing w:after="180" w:line="284" w:lineRule="auto"/>
        <w:jc w:val="both"/>
        <w:rPr>
          <w:color w:val="000000"/>
        </w:rPr>
      </w:pPr>
    </w:p>
    <w:p w14:paraId="42E91329" w14:textId="77777777" w:rsidR="002B796D" w:rsidRDefault="002B796D">
      <w:pPr>
        <w:spacing w:after="180" w:line="284" w:lineRule="auto"/>
        <w:jc w:val="both"/>
        <w:rPr>
          <w:color w:val="000000"/>
        </w:rPr>
      </w:pPr>
    </w:p>
    <w:p w14:paraId="0D98FA27" w14:textId="77777777" w:rsidR="002B796D" w:rsidRDefault="002B796D">
      <w:pPr>
        <w:spacing w:after="180" w:line="284" w:lineRule="auto"/>
        <w:jc w:val="both"/>
      </w:pPr>
    </w:p>
    <w:p w14:paraId="2298853A" w14:textId="77777777" w:rsidR="00433D68" w:rsidRDefault="00433D68">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560"/>
        <w:gridCol w:w="1560"/>
        <w:gridCol w:w="2160"/>
        <w:gridCol w:w="2280"/>
      </w:tblGrid>
      <w:tr w:rsidR="00433D68" w14:paraId="3C17D37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03BD47E" w14:textId="77777777" w:rsidR="00433D68" w:rsidRDefault="00000000">
            <w:r>
              <w:rPr>
                <w:b/>
                <w:bCs/>
                <w:color w:val="FFFFFF"/>
                <w:sz w:val="20"/>
                <w:szCs w:val="20"/>
              </w:rPr>
              <w:lastRenderedPageBreak/>
              <w:t>Period</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253B81F" w14:textId="77777777" w:rsidR="00433D68" w:rsidRDefault="00000000">
            <w:r>
              <w:rPr>
                <w:b/>
                <w:bCs/>
                <w:color w:val="FFFFFF"/>
                <w:sz w:val="20"/>
                <w:szCs w:val="20"/>
              </w:rPr>
              <w:t>Key Sites</w:t>
            </w:r>
          </w:p>
        </w:tc>
        <w:tc>
          <w:tcPr>
            <w:tcW w:w="15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0CB48A5" w14:textId="77777777" w:rsidR="00433D68" w:rsidRDefault="00000000">
            <w:r>
              <w:rPr>
                <w:b/>
                <w:bCs/>
                <w:color w:val="FFFFFF"/>
                <w:sz w:val="20"/>
                <w:szCs w:val="20"/>
              </w:rPr>
              <w:t>DSSM Stage</w:t>
            </w:r>
          </w:p>
        </w:tc>
        <w:tc>
          <w:tcPr>
            <w:tcW w:w="2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1AE8B15" w14:textId="77777777" w:rsidR="00433D68" w:rsidRDefault="00000000">
            <w:r>
              <w:rPr>
                <w:b/>
                <w:bCs/>
                <w:color w:val="FFFFFF"/>
                <w:sz w:val="20"/>
                <w:szCs w:val="20"/>
              </w:rPr>
              <w:t>Key Evidence</w:t>
            </w:r>
          </w:p>
        </w:tc>
        <w:tc>
          <w:tcPr>
            <w:tcW w:w="22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701A4D63" w14:textId="77777777" w:rsidR="00433D68" w:rsidRDefault="00000000">
            <w:r>
              <w:rPr>
                <w:b/>
                <w:bCs/>
                <w:color w:val="FFFFFF"/>
                <w:sz w:val="20"/>
                <w:szCs w:val="20"/>
              </w:rPr>
              <w:t>FCP Status</w:t>
            </w:r>
          </w:p>
        </w:tc>
      </w:tr>
      <w:tr w:rsidR="00433D68" w14:paraId="48C63AE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18BED1" w14:textId="77777777" w:rsidR="00433D68" w:rsidRDefault="00000000">
            <w:proofErr w:type="spellStart"/>
            <w:r>
              <w:rPr>
                <w:color w:val="000000"/>
                <w:sz w:val="20"/>
                <w:szCs w:val="20"/>
              </w:rPr>
              <w:t>Göbekli</w:t>
            </w:r>
            <w:proofErr w:type="spellEnd"/>
            <w:r>
              <w:rPr>
                <w:color w:val="000000"/>
                <w:sz w:val="20"/>
                <w:szCs w:val="20"/>
              </w:rPr>
              <w:t xml:space="preserve"> Tepe 9600 BCE</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55D4D6A" w14:textId="77777777" w:rsidR="00433D68" w:rsidRDefault="00000000">
            <w:proofErr w:type="spellStart"/>
            <w:r>
              <w:rPr>
                <w:color w:val="000000"/>
                <w:sz w:val="20"/>
                <w:szCs w:val="20"/>
              </w:rPr>
              <w:t>Göbekli</w:t>
            </w:r>
            <w:proofErr w:type="spellEnd"/>
            <w:r>
              <w:rPr>
                <w:color w:val="000000"/>
                <w:sz w:val="20"/>
                <w:szCs w:val="20"/>
              </w:rPr>
              <w:t xml:space="preserve"> Tepe, Karahan Tepe</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6FAE28" w14:textId="77777777" w:rsidR="00433D68" w:rsidRDefault="00000000">
            <w:r>
              <w:rPr>
                <w:color w:val="000000"/>
                <w:sz w:val="20"/>
                <w:szCs w:val="20"/>
              </w:rPr>
              <w:t>Stage 1–2</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78F56C" w14:textId="77777777" w:rsidR="00433D68" w:rsidRDefault="00000000">
            <w:r>
              <w:rPr>
                <w:color w:val="000000"/>
                <w:sz w:val="20"/>
                <w:szCs w:val="20"/>
              </w:rPr>
              <w:t>Monumental ritual architecture before agriculture</w:t>
            </w:r>
          </w:p>
        </w:tc>
        <w:tc>
          <w:tcPr>
            <w:tcW w:w="2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6BEF3F" w14:textId="77777777" w:rsidR="00433D68" w:rsidRDefault="00000000">
            <w:r>
              <w:rPr>
                <w:color w:val="000000"/>
                <w:sz w:val="20"/>
                <w:szCs w:val="20"/>
              </w:rPr>
              <w:t>FCP Stage 1–2 — Ritual anchoring</w:t>
            </w:r>
          </w:p>
        </w:tc>
      </w:tr>
      <w:tr w:rsidR="00433D68" w14:paraId="79B904D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CD7EDC" w14:textId="77777777" w:rsidR="00433D68" w:rsidRDefault="00000000">
            <w:r>
              <w:rPr>
                <w:color w:val="000000"/>
                <w:sz w:val="20"/>
                <w:szCs w:val="20"/>
              </w:rPr>
              <w:t>Ubaid 5500–4000 BCE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88B5CF" w14:textId="77777777" w:rsidR="00433D68" w:rsidRDefault="00000000">
            <w:proofErr w:type="spellStart"/>
            <w:r>
              <w:rPr>
                <w:color w:val="000000"/>
                <w:sz w:val="20"/>
                <w:szCs w:val="20"/>
              </w:rPr>
              <w:t>Eridu</w:t>
            </w:r>
            <w:proofErr w:type="spellEnd"/>
            <w:r>
              <w:rPr>
                <w:color w:val="000000"/>
                <w:sz w:val="20"/>
                <w:szCs w:val="20"/>
              </w:rPr>
              <w:t>, Ubaid sites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B391A8" w14:textId="77777777" w:rsidR="00433D68" w:rsidRDefault="00000000">
            <w:r>
              <w:rPr>
                <w:color w:val="000000"/>
                <w:sz w:val="20"/>
                <w:szCs w:val="20"/>
              </w:rPr>
              <w:t>Stage 3–4</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E78A23" w14:textId="77777777" w:rsidR="00433D68" w:rsidRDefault="00000000">
            <w:r>
              <w:rPr>
                <w:color w:val="000000"/>
                <w:sz w:val="20"/>
                <w:szCs w:val="20"/>
              </w:rPr>
              <w:t>Temple platforms, craft specialization</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B2BB9" w14:textId="77777777" w:rsidR="00433D68" w:rsidRDefault="00000000">
            <w:r>
              <w:rPr>
                <w:color w:val="000000"/>
                <w:sz w:val="20"/>
                <w:szCs w:val="20"/>
              </w:rPr>
              <w:t>FCP Stage 3–4 — Saturated</w:t>
            </w:r>
          </w:p>
        </w:tc>
      </w:tr>
      <w:tr w:rsidR="00433D68" w14:paraId="3491C58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FC7604" w14:textId="77777777" w:rsidR="00433D68" w:rsidRDefault="00000000">
            <w:r>
              <w:rPr>
                <w:color w:val="000000"/>
                <w:sz w:val="20"/>
                <w:szCs w:val="20"/>
              </w:rPr>
              <w:t xml:space="preserve">Proto-Urban </w:t>
            </w:r>
            <w:proofErr w:type="spellStart"/>
            <w:r>
              <w:rPr>
                <w:color w:val="000000"/>
                <w:sz w:val="20"/>
                <w:szCs w:val="20"/>
              </w:rPr>
              <w:t>Uruk</w:t>
            </w:r>
            <w:proofErr w:type="spellEnd"/>
            <w:r>
              <w:rPr>
                <w:color w:val="000000"/>
                <w:sz w:val="20"/>
                <w:szCs w:val="20"/>
              </w:rPr>
              <w:t xml:space="preserve"> 4000–3000 BCE</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48484C" w14:textId="77777777" w:rsidR="00433D68" w:rsidRDefault="00000000">
            <w:proofErr w:type="spellStart"/>
            <w:r>
              <w:rPr>
                <w:color w:val="000000"/>
                <w:sz w:val="20"/>
                <w:szCs w:val="20"/>
              </w:rPr>
              <w:t>Uruk</w:t>
            </w:r>
            <w:proofErr w:type="spellEnd"/>
            <w:r>
              <w:rPr>
                <w:color w:val="000000"/>
                <w:sz w:val="20"/>
                <w:szCs w:val="20"/>
              </w:rPr>
              <w:t>, Nippur, Ur</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10A8B6F" w14:textId="77777777" w:rsidR="00433D68" w:rsidRDefault="00000000">
            <w:r>
              <w:rPr>
                <w:color w:val="000000"/>
                <w:sz w:val="20"/>
                <w:szCs w:val="20"/>
              </w:rPr>
              <w:t>Stage 4</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941CE2" w14:textId="77777777" w:rsidR="00433D68" w:rsidRDefault="00000000">
            <w:r>
              <w:rPr>
                <w:color w:val="000000"/>
                <w:sz w:val="20"/>
                <w:szCs w:val="20"/>
              </w:rPr>
              <w:t>Cuneiform, monumentality, hierarchy</w:t>
            </w:r>
          </w:p>
        </w:tc>
        <w:tc>
          <w:tcPr>
            <w:tcW w:w="2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24D1D0" w14:textId="77777777" w:rsidR="00433D68" w:rsidRDefault="00000000">
            <w:r>
              <w:rPr>
                <w:color w:val="000000"/>
                <w:sz w:val="20"/>
                <w:szCs w:val="20"/>
              </w:rPr>
              <w:t>FCP Stage 4 — Externalized</w:t>
            </w:r>
          </w:p>
        </w:tc>
      </w:tr>
      <w:tr w:rsidR="00433D68" w14:paraId="68FCC7C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53588E" w14:textId="77777777" w:rsidR="00433D68" w:rsidRDefault="00000000">
            <w:r>
              <w:rPr>
                <w:color w:val="000000"/>
                <w:sz w:val="20"/>
                <w:szCs w:val="20"/>
              </w:rPr>
              <w:t>Early Dynastic 3000–2350 BCE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79263D" w14:textId="77777777" w:rsidR="00433D68" w:rsidRDefault="00000000">
            <w:r>
              <w:rPr>
                <w:color w:val="000000"/>
                <w:sz w:val="20"/>
                <w:szCs w:val="20"/>
              </w:rPr>
              <w:t>Kish, Ur, Lagash</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BCC628" w14:textId="77777777" w:rsidR="00433D68" w:rsidRDefault="00000000">
            <w:r>
              <w:rPr>
                <w:color w:val="000000"/>
                <w:sz w:val="20"/>
                <w:szCs w:val="20"/>
              </w:rPr>
              <w:t>Stage 4</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0AB7C2" w14:textId="77777777" w:rsidR="00433D68" w:rsidRDefault="00000000">
            <w:r>
              <w:rPr>
                <w:color w:val="000000"/>
                <w:sz w:val="20"/>
                <w:szCs w:val="20"/>
              </w:rPr>
              <w:t>City-state rivalry, SKL historical window</w:t>
            </w:r>
          </w:p>
        </w:tc>
        <w:tc>
          <w:tcPr>
            <w:tcW w:w="22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387567" w14:textId="77777777" w:rsidR="00433D68" w:rsidRDefault="00000000">
            <w:r>
              <w:rPr>
                <w:color w:val="000000"/>
                <w:sz w:val="20"/>
                <w:szCs w:val="20"/>
              </w:rPr>
              <w:t>FCP Stage 4 — Institutionalized</w:t>
            </w:r>
          </w:p>
        </w:tc>
      </w:tr>
      <w:tr w:rsidR="00433D68" w14:paraId="1F75A39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893BEB" w14:textId="77777777" w:rsidR="00433D68" w:rsidRDefault="00000000">
            <w:r>
              <w:rPr>
                <w:color w:val="000000"/>
                <w:sz w:val="20"/>
                <w:szCs w:val="20"/>
              </w:rPr>
              <w:t>Ur III 2112–2004 BCE</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CC6E4D" w14:textId="77777777" w:rsidR="00433D68" w:rsidRDefault="00000000">
            <w:r>
              <w:rPr>
                <w:color w:val="000000"/>
                <w:sz w:val="20"/>
                <w:szCs w:val="20"/>
              </w:rPr>
              <w:t>Ur, Nippur</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0B06833" w14:textId="77777777" w:rsidR="00433D68" w:rsidRDefault="00000000">
            <w:r>
              <w:rPr>
                <w:color w:val="000000"/>
                <w:sz w:val="20"/>
                <w:szCs w:val="20"/>
              </w:rPr>
              <w:t>Stage 4</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9A3967" w14:textId="77777777" w:rsidR="00433D68" w:rsidRDefault="00000000">
            <w:r>
              <w:rPr>
                <w:color w:val="000000"/>
                <w:sz w:val="20"/>
                <w:szCs w:val="20"/>
              </w:rPr>
              <w:t>SKL composed; bureaucratic apex</w:t>
            </w:r>
          </w:p>
        </w:tc>
        <w:tc>
          <w:tcPr>
            <w:tcW w:w="2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990C32" w14:textId="77777777" w:rsidR="00433D68" w:rsidRDefault="00000000">
            <w:r>
              <w:rPr>
                <w:color w:val="000000"/>
                <w:sz w:val="20"/>
                <w:szCs w:val="20"/>
              </w:rPr>
              <w:t>FCP Stage 4 — Codified</w:t>
            </w:r>
          </w:p>
        </w:tc>
      </w:tr>
    </w:tbl>
    <w:p w14:paraId="7F11D85B" w14:textId="77777777" w:rsidR="00433D68" w:rsidRDefault="00000000">
      <w:pPr>
        <w:spacing w:after="300" w:line="284" w:lineRule="auto"/>
        <w:jc w:val="both"/>
      </w:pPr>
      <w:r>
        <w:rPr>
          <w:i/>
          <w:iCs/>
          <w:color w:val="555555"/>
          <w:sz w:val="20"/>
          <w:szCs w:val="20"/>
        </w:rPr>
        <w:t>Table 1: DSSM staging across the Mesopotamian corridor. Adapted from Vondoom (2026a).</w:t>
      </w:r>
    </w:p>
    <w:p w14:paraId="6AA6089A" w14:textId="77777777" w:rsidR="00433D68" w:rsidRDefault="00000000">
      <w:pPr>
        <w:pStyle w:val="Heading1"/>
      </w:pPr>
      <w:r>
        <w:t>3. The Document Itself</w:t>
      </w:r>
    </w:p>
    <w:p w14:paraId="7EA4EB36" w14:textId="77777777" w:rsidR="00433D68" w:rsidRDefault="00000000">
      <w:pPr>
        <w:pStyle w:val="Heading2"/>
      </w:pPr>
      <w:r>
        <w:t>3.1 Physical Artifacts and Manuscript Tradition</w:t>
      </w:r>
    </w:p>
    <w:p w14:paraId="17E06CB5" w14:textId="77777777" w:rsidR="00433D68" w:rsidRDefault="00000000">
      <w:pPr>
        <w:spacing w:after="180" w:line="284" w:lineRule="auto"/>
        <w:jc w:val="both"/>
      </w:pPr>
      <w:r>
        <w:rPr>
          <w:color w:val="000000"/>
        </w:rPr>
        <w:t xml:space="preserve">The SKL survives in multiple copies, all ultimately derived from a common original (Jacobsen, 1939, p. 7). The oldest surviving source is a tablet from Larsa (WB 62) dating to approximately 2000 BCE. The most complete surviving version is the Weld-Blundell Prism (WB 444), a four-sided clay prism approximately 20 centimeters tall, impressed with cuneiform in the Sumerian language and dated to slightly before 1800 BCE, now held in the Ashmolean Museum, Oxford. Additional fragments have been recovered from Nippur, Kish, </w:t>
      </w:r>
      <w:proofErr w:type="spellStart"/>
      <w:r>
        <w:rPr>
          <w:color w:val="000000"/>
        </w:rPr>
        <w:t>Uruk</w:t>
      </w:r>
      <w:proofErr w:type="spellEnd"/>
      <w:r>
        <w:rPr>
          <w:color w:val="000000"/>
        </w:rPr>
        <w:t>, and other sites across Mesopotamia (Glassner, 2004), indicating wide scribal circulation and institutional significance.</w:t>
      </w:r>
    </w:p>
    <w:p w14:paraId="17B7196C" w14:textId="77777777" w:rsidR="00433D68" w:rsidRDefault="00000000">
      <w:pPr>
        <w:spacing w:after="180" w:line="284" w:lineRule="auto"/>
        <w:jc w:val="both"/>
      </w:pPr>
      <w:r>
        <w:rPr>
          <w:color w:val="000000"/>
        </w:rPr>
        <w:t xml:space="preserve">Jacobsen's (1939) critical edition — The Sumerian King List, </w:t>
      </w:r>
      <w:proofErr w:type="spellStart"/>
      <w:r>
        <w:rPr>
          <w:color w:val="000000"/>
        </w:rPr>
        <w:t>Assyriological</w:t>
      </w:r>
      <w:proofErr w:type="spellEnd"/>
      <w:r>
        <w:rPr>
          <w:color w:val="000000"/>
        </w:rPr>
        <w:t xml:space="preserve"> Studies 11 (Oriental Institute, University of Chicago) — reconstructed the most probable original text through systematic textual criticism of all surviving variants. That reconstruction has been accepted as the scholarly standard for over eight decades and is the primary data source for all reign-length figures cited in this paper. Subsequent scholarship, including Vincente (1995), Glassner (2004), and Michalowski (1983), has confirmed Jacobsen's core findings while adding manuscript distribution analysis and compositional critique.</w:t>
      </w:r>
    </w:p>
    <w:p w14:paraId="66570A84" w14:textId="77777777" w:rsidR="00433D68" w:rsidRDefault="00000000">
      <w:pPr>
        <w:pStyle w:val="Heading2"/>
      </w:pPr>
      <w:r>
        <w:t>3.2 Date of Composition and Political Function</w:t>
      </w:r>
    </w:p>
    <w:p w14:paraId="343B5254" w14:textId="77777777" w:rsidR="00433D68" w:rsidRDefault="00000000">
      <w:pPr>
        <w:spacing w:after="180" w:line="284" w:lineRule="auto"/>
        <w:jc w:val="both"/>
      </w:pPr>
      <w:r>
        <w:rPr>
          <w:color w:val="000000"/>
        </w:rPr>
        <w:t>The SKL was almost certainly first compiled during the Third Dynasty of Ur (Ur III), approximately 2100–2000 BCE, most likely under Utu-</w:t>
      </w:r>
      <w:proofErr w:type="spellStart"/>
      <w:r>
        <w:rPr>
          <w:color w:val="000000"/>
        </w:rPr>
        <w:t>hegal</w:t>
      </w:r>
      <w:proofErr w:type="spellEnd"/>
      <w:r>
        <w:rPr>
          <w:color w:val="000000"/>
        </w:rPr>
        <w:t xml:space="preserve"> of </w:t>
      </w:r>
      <w:proofErr w:type="spellStart"/>
      <w:r>
        <w:rPr>
          <w:color w:val="000000"/>
        </w:rPr>
        <w:t>Uruk</w:t>
      </w:r>
      <w:proofErr w:type="spellEnd"/>
      <w:r>
        <w:rPr>
          <w:color w:val="000000"/>
        </w:rPr>
        <w:t xml:space="preserve"> or his successor Ur-Nammu (Glassner, 2004; Van De Mieroop, 2007). Its political function is transparent from </w:t>
      </w:r>
      <w:r>
        <w:rPr>
          <w:color w:val="000000"/>
        </w:rPr>
        <w:lastRenderedPageBreak/>
        <w:t>its structure: by presenting a single unbroken line of divinely sanctioned kingship descending from heaven and passing through successive cities, the document legitimizes the current ruling power as the culmination of a continuous sacred tradition. Oppenheim (1977, p. 147) characterizes this as a constructed narrative prioritizing ideological validation over empirical chronicle. Liverani (2004) similarly identifies the SKL as a retrospective legitimation device, arguing that its selective inclusion of city-states reflects the political geography of the Ur III state rather than any neutral historical record.</w:t>
      </w:r>
    </w:p>
    <w:p w14:paraId="62D23B54" w14:textId="77777777" w:rsidR="00433D68" w:rsidRDefault="00000000">
      <w:pPr>
        <w:spacing w:after="180" w:line="284" w:lineRule="auto"/>
        <w:jc w:val="both"/>
      </w:pPr>
      <w:r>
        <w:rPr>
          <w:color w:val="000000"/>
        </w:rPr>
        <w:t>This political function does not preclude historical content. Administrative documents in the ancient Near East routinely embed real institutional data within legitimizing frameworks (Kuhrt, 1995; Yoffee, 2005). The question is not whether the SKL is propaganda — it clearly is — but whether its propaganda framework encodes recoverable historical information below the level of its mythological superstructure. Walton (1981) drew attention to the structural parallel between the SKL's antediluvian section and the Genesis 5 genealogies — both listing eight to ten figures before a flood, both showing dramatically compressed post-flood lifespans — a parallel consistent with both traditions drawing on shared oral-literary material.</w:t>
      </w:r>
    </w:p>
    <w:p w14:paraId="363AE50D" w14:textId="77777777" w:rsidR="00433D68" w:rsidRDefault="00433D68">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3D68" w14:paraId="09C08A0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2E5394"/>
            <w:tcMar>
              <w:top w:w="100" w:type="dxa"/>
              <w:left w:w="180" w:type="dxa"/>
              <w:bottom w:w="80" w:type="dxa"/>
              <w:right w:w="180" w:type="dxa"/>
            </w:tcMar>
          </w:tcPr>
          <w:p w14:paraId="0C71EDE8" w14:textId="77777777" w:rsidR="00433D68" w:rsidRDefault="00000000">
            <w:r>
              <w:rPr>
                <w:b/>
                <w:bCs/>
                <w:color w:val="C9A84C"/>
                <w:sz w:val="18"/>
                <w:szCs w:val="18"/>
              </w:rPr>
              <w:t xml:space="preserve">ANALYTICAL NOTE </w:t>
            </w:r>
            <w:proofErr w:type="gramStart"/>
            <w:r>
              <w:rPr>
                <w:b/>
                <w:bCs/>
                <w:color w:val="C9A84C"/>
                <w:sz w:val="18"/>
                <w:szCs w:val="18"/>
              </w:rPr>
              <w:t xml:space="preserve">1  </w:t>
            </w:r>
            <w:r>
              <w:rPr>
                <w:b/>
                <w:bCs/>
                <w:color w:val="FFFFFF"/>
                <w:sz w:val="20"/>
                <w:szCs w:val="20"/>
              </w:rPr>
              <w:t>The</w:t>
            </w:r>
            <w:proofErr w:type="gramEnd"/>
            <w:r>
              <w:rPr>
                <w:b/>
                <w:bCs/>
                <w:color w:val="FFFFFF"/>
                <w:sz w:val="20"/>
                <w:szCs w:val="20"/>
              </w:rPr>
              <w:t xml:space="preserve"> SKL as Political Architecture</w:t>
            </w:r>
          </w:p>
        </w:tc>
      </w:tr>
      <w:tr w:rsidR="00433D68" w14:paraId="2EE2350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80" w:type="dxa"/>
              <w:bottom w:w="120" w:type="dxa"/>
              <w:right w:w="180" w:type="dxa"/>
            </w:tcMar>
          </w:tcPr>
          <w:p w14:paraId="3A7B7FCA" w14:textId="77777777" w:rsidR="00433D68" w:rsidRDefault="00000000">
            <w:pPr>
              <w:jc w:val="both"/>
            </w:pPr>
            <w:r>
              <w:rPr>
                <w:i/>
                <w:iCs/>
                <w:color w:val="333333"/>
                <w:sz w:val="22"/>
                <w:szCs w:val="22"/>
              </w:rPr>
              <w:t>The SKL was not written to record history. It was written to construct legitimacy. Every structural choice — which cities to include, which kings to name, how long their reigns were — served the political requirements of the Ur III state asserting authority after the Gutian incursion (c. 2150–2050 BCE). Glassner (2004) notes that it is also possible the antediluvian section's addition was motivated not by political bias but by a scholarly desire to reconcile different literary traditions. Understanding these compositional motivations does not invalidate the document as a historical source. It specifies which distortions to look for and why they were introduced.</w:t>
            </w:r>
          </w:p>
        </w:tc>
      </w:tr>
    </w:tbl>
    <w:p w14:paraId="37196D24" w14:textId="77777777" w:rsidR="00433D68" w:rsidRDefault="00433D68">
      <w:pPr>
        <w:spacing w:after="200"/>
      </w:pPr>
    </w:p>
    <w:p w14:paraId="657CD3DE" w14:textId="77777777" w:rsidR="00433D68" w:rsidRDefault="00000000">
      <w:pPr>
        <w:pStyle w:val="Heading1"/>
      </w:pPr>
      <w:r>
        <w:t>4. Jacobsen's Textual Evidence</w:t>
      </w:r>
    </w:p>
    <w:p w14:paraId="00D8EB08" w14:textId="77777777" w:rsidR="00433D68" w:rsidRDefault="00000000">
      <w:pPr>
        <w:pStyle w:val="Heading2"/>
      </w:pPr>
      <w:r>
        <w:t>4.1 The Formulaic Discontinuity</w:t>
      </w:r>
    </w:p>
    <w:p w14:paraId="1CBD3D4B" w14:textId="77777777" w:rsidR="00433D68" w:rsidRDefault="00000000">
      <w:pPr>
        <w:spacing w:after="180" w:line="284" w:lineRule="auto"/>
        <w:jc w:val="both"/>
      </w:pPr>
      <w:r>
        <w:rPr>
          <w:color w:val="000000"/>
        </w:rPr>
        <w:t>Jacobsen's (1939) most important analytical contribution to SKL scholarship was not his translation but his structural observation: the antediluvian and postdiluvian sections of the SKL are linguistically and formulaically distinct. The formulas used for dynastic transitions — 'X was defeated; its kingship was carried off to Y' — and for totaling reign lengths are applied with consistency and precision throughout the postdiluvian section. The antediluvian section uses an entirely different set of formulas (Jacobsen, 1939, pp. 55–58).</w:t>
      </w:r>
    </w:p>
    <w:p w14:paraId="22E5203E" w14:textId="77777777" w:rsidR="00433D68" w:rsidRDefault="00000000">
      <w:pPr>
        <w:spacing w:after="180" w:line="284" w:lineRule="auto"/>
        <w:jc w:val="both"/>
      </w:pPr>
      <w:r>
        <w:rPr>
          <w:color w:val="000000"/>
        </w:rPr>
        <w:lastRenderedPageBreak/>
        <w:t>This is not a minor stylistic variation. In cuneiform scribal practice, formulaic consistency is a diagnostic marker of compositional unity (Glassner, 2004). Different formulas indicate different compositional origins. Jacobsen concluded that the antediluvian section was composed by a different scribe, working from different source material, and grafted onto an older postdiluvian document that did not originally contain pre-flood kings at all (Jacobsen, 1939, p. 58). This finding has been corroborated independently: Peterson (2008) identified a fragment preserving antediluvian dynasty material in a separate composition, and Civil (1969) had earlier noted the formulaic anomalies as indicators of composite authorship, confirming that the pre-flood kings circulated as an independent literary tradition before their incorporation into the SKL.</w:t>
      </w:r>
    </w:p>
    <w:p w14:paraId="4B12C021" w14:textId="77777777" w:rsidR="00433D68" w:rsidRDefault="00000000">
      <w:pPr>
        <w:pStyle w:val="Heading2"/>
      </w:pPr>
      <w:r>
        <w:t>4.2 The Later-Addition Argument</w:t>
      </w:r>
    </w:p>
    <w:p w14:paraId="29618CC4" w14:textId="77777777" w:rsidR="00433D68" w:rsidRDefault="00000000">
      <w:pPr>
        <w:spacing w:after="180" w:line="284" w:lineRule="auto"/>
        <w:jc w:val="both"/>
      </w:pPr>
      <w:r>
        <w:t xml:space="preserve">Jacobsen's (1939, p. 58) precise formulation is worth quoting directly: the antediluvian section was </w:t>
      </w:r>
      <w:r>
        <w:rPr>
          <w:i/>
          <w:iCs/>
        </w:rPr>
        <w:t>'copied and adapted from information that was current in various settings in Sumerian literature at the time when most of our copies of the King List were written... written later by a person different from the one who originally composed the postdiluvian section of the list... by a scribe who was bringing his copy of an older original up to date.'</w:t>
      </w:r>
      <w:r>
        <w:t xml:space="preserve"> Vincente (1995, p. 244) independently reached the same conclusion through analysis of manuscript distribution patterns across known SKL copies. Glassner (2004, pp. 56–58) similarly treats the antediluvian section's addition as an act of scholarly reconciliation, a later scribe integrating material from separate literary traditions into a unified chronological framework.</w:t>
      </w:r>
    </w:p>
    <w:p w14:paraId="1E62041C" w14:textId="77777777" w:rsidR="00433D68" w:rsidRDefault="00000000">
      <w:pPr>
        <w:spacing w:after="180" w:line="284" w:lineRule="auto"/>
        <w:jc w:val="both"/>
      </w:pPr>
      <w:r>
        <w:rPr>
          <w:color w:val="000000"/>
        </w:rPr>
        <w:t>The structural implication is critical: the enormous reign lengths are not original to the SKL. They were introduced when mythological material circulating in Sumerian literary tradition was adapted for insertion into what had been a purely historical king list. The question then becomes: what mathematical conventions governed that adaptation, and can they be reversed?</w:t>
      </w:r>
    </w:p>
    <w:p w14:paraId="314475E6" w14:textId="77777777" w:rsidR="00433D68" w:rsidRDefault="00000000">
      <w:pPr>
        <w:spacing w:after="180" w:line="284" w:lineRule="auto"/>
        <w:jc w:val="both"/>
      </w:pPr>
      <w:r>
        <w:rPr>
          <w:color w:val="000000"/>
        </w:rPr>
        <w:t xml:space="preserve">A significant </w:t>
      </w:r>
      <w:proofErr w:type="gramStart"/>
      <w:r>
        <w:rPr>
          <w:color w:val="000000"/>
        </w:rPr>
        <w:t>counter-argument</w:t>
      </w:r>
      <w:proofErr w:type="gramEnd"/>
      <w:r>
        <w:rPr>
          <w:color w:val="000000"/>
        </w:rPr>
        <w:t xml:space="preserve"> must be acknowledged here. Jacobsen himself, having established the later-addition argument, did not proceed to recover historical data from the antediluvian numbers. He treated them as mythological on their face — as expressions of sacred time and divine legitimacy that were never intended as historical measurements and therefore cannot be corrected into historical measurements (Jacobsen, 1939, p. 58; see also Van De Mieroop, 2007). On this reading, the </w:t>
      </w:r>
      <w:proofErr w:type="spellStart"/>
      <w:r>
        <w:rPr>
          <w:color w:val="000000"/>
        </w:rPr>
        <w:t>sar</w:t>
      </w:r>
      <w:proofErr w:type="spellEnd"/>
      <w:r>
        <w:rPr>
          <w:color w:val="000000"/>
        </w:rPr>
        <w:t xml:space="preserve">-multiple </w:t>
      </w:r>
      <w:proofErr w:type="gramStart"/>
      <w:r>
        <w:rPr>
          <w:color w:val="000000"/>
        </w:rPr>
        <w:t>pattern</w:t>
      </w:r>
      <w:proofErr w:type="gramEnd"/>
      <w:r>
        <w:rPr>
          <w:color w:val="000000"/>
        </w:rPr>
        <w:t xml:space="preserve"> reflects deliberate theological construction rather than encoding error: the scribe chose round sacred numbers because they communicated divine authority, not because they were miscalculated historical durations. This paper does not dismiss that interpretation. It proposes that the two readings are not mutually exclusive. A scribe working in </w:t>
      </w:r>
      <w:proofErr w:type="spellStart"/>
      <w:r>
        <w:rPr>
          <w:color w:val="000000"/>
        </w:rPr>
        <w:t>sars</w:t>
      </w:r>
      <w:proofErr w:type="spellEnd"/>
      <w:r>
        <w:rPr>
          <w:color w:val="000000"/>
        </w:rPr>
        <w:t xml:space="preserve"> to encode sacred authority may simultaneously have been compressing </w:t>
      </w:r>
      <w:r>
        <w:rPr>
          <w:color w:val="000000"/>
        </w:rPr>
        <w:lastRenderedPageBreak/>
        <w:t>a genuine dynastic memory into those sacred units — the theological and the historical functions need not have been alternatives. The mathematical signature remains the same either way; the question is whether anything recoverable lies beneath it. The three-layer argument advanced here is that something does.</w:t>
      </w:r>
    </w:p>
    <w:p w14:paraId="2A6BB639" w14:textId="77777777" w:rsidR="00433D68" w:rsidRDefault="00000000">
      <w:pPr>
        <w:pStyle w:val="Heading1"/>
      </w:pPr>
      <w:r>
        <w:t>5. The Sexagesimal Problem</w:t>
      </w:r>
    </w:p>
    <w:p w14:paraId="013A6EFE" w14:textId="77777777" w:rsidR="00433D68" w:rsidRDefault="00000000">
      <w:pPr>
        <w:pStyle w:val="Heading2"/>
      </w:pPr>
      <w:r>
        <w:t>5.1 Sumerian Mathematical Conventions</w:t>
      </w:r>
    </w:p>
    <w:p w14:paraId="39C0C849" w14:textId="77777777" w:rsidR="00433D68" w:rsidRDefault="00000000">
      <w:pPr>
        <w:spacing w:after="180" w:line="284" w:lineRule="auto"/>
        <w:jc w:val="both"/>
      </w:pPr>
      <w:r>
        <w:rPr>
          <w:color w:val="000000"/>
        </w:rPr>
        <w:t xml:space="preserve">The Sumerians operated with a base-60 (sexagesimal) numerical system — the system whose remnants survive in our division of hours into 60 minutes and circles into 360 degrees. Their large-number units were the </w:t>
      </w:r>
      <w:proofErr w:type="spellStart"/>
      <w:r>
        <w:rPr>
          <w:color w:val="000000"/>
        </w:rPr>
        <w:t>sosse</w:t>
      </w:r>
      <w:proofErr w:type="spellEnd"/>
      <w:r>
        <w:rPr>
          <w:color w:val="000000"/>
        </w:rPr>
        <w:t xml:space="preserve"> (60), the </w:t>
      </w:r>
      <w:proofErr w:type="spellStart"/>
      <w:r>
        <w:rPr>
          <w:color w:val="000000"/>
        </w:rPr>
        <w:t>ner</w:t>
      </w:r>
      <w:proofErr w:type="spellEnd"/>
      <w:r>
        <w:rPr>
          <w:color w:val="000000"/>
        </w:rPr>
        <w:t xml:space="preserve"> (600), and the </w:t>
      </w:r>
      <w:proofErr w:type="spellStart"/>
      <w:r>
        <w:rPr>
          <w:color w:val="000000"/>
        </w:rPr>
        <w:t>sar</w:t>
      </w:r>
      <w:proofErr w:type="spellEnd"/>
      <w:r>
        <w:rPr>
          <w:color w:val="000000"/>
        </w:rPr>
        <w:t xml:space="preserve"> (3,600) (Friberg, 1984). These units were the standard vocabulary for expressing large quantities across administrative, astronomical, and literary contexts (Nissen, 1988; Robson, 2008). The sexagesimal system's use in astronomical calculations — the precession cycle of approximately 25,920 years is divisible by 3,600 — has led some scholars to propose that the pre-flood reigns encode astronomical periods rather than historical durations (Friberg, 1984; Beaulieu, 2007), though this interpretation does not preclude the </w:t>
      </w:r>
      <w:proofErr w:type="spellStart"/>
      <w:r>
        <w:rPr>
          <w:color w:val="000000"/>
        </w:rPr>
        <w:t>sar</w:t>
      </w:r>
      <w:proofErr w:type="spellEnd"/>
      <w:r>
        <w:rPr>
          <w:color w:val="000000"/>
        </w:rPr>
        <w:t>-correction hypothesis advanced here.</w:t>
      </w:r>
    </w:p>
    <w:p w14:paraId="33D07356" w14:textId="77777777" w:rsidR="00433D68" w:rsidRDefault="00000000">
      <w:pPr>
        <w:spacing w:after="180" w:line="284" w:lineRule="auto"/>
        <w:jc w:val="both"/>
        <w:rPr>
          <w:color w:val="000000"/>
        </w:rPr>
      </w:pPr>
      <w:r>
        <w:rPr>
          <w:color w:val="000000"/>
        </w:rPr>
        <w:t xml:space="preserve">Jacobsen's (1939) analysis of the pre-flood reign lengths identified a critical mathematical signature: all but two of the eight antediluvian reigns are exact multiples of 3,600 — one </w:t>
      </w:r>
      <w:proofErr w:type="spellStart"/>
      <w:r>
        <w:rPr>
          <w:color w:val="000000"/>
        </w:rPr>
        <w:t>sar</w:t>
      </w:r>
      <w:proofErr w:type="spellEnd"/>
      <w:r>
        <w:rPr>
          <w:color w:val="000000"/>
        </w:rPr>
        <w:t xml:space="preserve">. Friberg (1984, p. 114) confirms that numbers systematically built from a single large unit are a scribal convention, not a historical measurement. They indicate that the composing scribe was working in units of </w:t>
      </w:r>
      <w:proofErr w:type="spellStart"/>
      <w:r>
        <w:rPr>
          <w:color w:val="000000"/>
        </w:rPr>
        <w:t>sars</w:t>
      </w:r>
      <w:proofErr w:type="spellEnd"/>
      <w:r>
        <w:rPr>
          <w:color w:val="000000"/>
        </w:rPr>
        <w:t xml:space="preserve">, not years. The two exceptions — En-men-dur-ana (21,000) and </w:t>
      </w:r>
      <w:proofErr w:type="spellStart"/>
      <w:r>
        <w:rPr>
          <w:color w:val="000000"/>
        </w:rPr>
        <w:t>Ubara</w:t>
      </w:r>
      <w:proofErr w:type="spellEnd"/>
      <w:r>
        <w:rPr>
          <w:color w:val="000000"/>
        </w:rPr>
        <w:t xml:space="preserve">-Tutu (18,600) — are the only figures not cleanly divisible by 3,600, and both cluster around 5–6 </w:t>
      </w:r>
      <w:proofErr w:type="spellStart"/>
      <w:r>
        <w:rPr>
          <w:color w:val="000000"/>
        </w:rPr>
        <w:t>sars</w:t>
      </w:r>
      <w:proofErr w:type="spellEnd"/>
      <w:r>
        <w:rPr>
          <w:color w:val="000000"/>
        </w:rPr>
        <w:t>, consistent with the same unit applied less precisely.</w:t>
      </w:r>
    </w:p>
    <w:p w14:paraId="438EF4ED" w14:textId="77777777" w:rsidR="002B796D" w:rsidRDefault="002B796D">
      <w:pPr>
        <w:spacing w:after="180" w:line="284" w:lineRule="auto"/>
        <w:jc w:val="both"/>
        <w:rPr>
          <w:color w:val="000000"/>
        </w:rPr>
      </w:pPr>
    </w:p>
    <w:p w14:paraId="4ADE06C4" w14:textId="77777777" w:rsidR="002B796D" w:rsidRDefault="002B796D">
      <w:pPr>
        <w:spacing w:after="180" w:line="284" w:lineRule="auto"/>
        <w:jc w:val="both"/>
        <w:rPr>
          <w:color w:val="000000"/>
        </w:rPr>
      </w:pPr>
    </w:p>
    <w:p w14:paraId="691D93DE" w14:textId="77777777" w:rsidR="002B796D" w:rsidRDefault="002B796D">
      <w:pPr>
        <w:spacing w:after="180" w:line="284" w:lineRule="auto"/>
        <w:jc w:val="both"/>
        <w:rPr>
          <w:color w:val="000000"/>
        </w:rPr>
      </w:pPr>
    </w:p>
    <w:p w14:paraId="5FA92BD8" w14:textId="77777777" w:rsidR="002B796D" w:rsidRDefault="002B796D">
      <w:pPr>
        <w:spacing w:after="180" w:line="284" w:lineRule="auto"/>
        <w:jc w:val="both"/>
        <w:rPr>
          <w:color w:val="000000"/>
        </w:rPr>
      </w:pPr>
    </w:p>
    <w:p w14:paraId="4B3EABA2" w14:textId="77777777" w:rsidR="002B796D" w:rsidRDefault="002B796D">
      <w:pPr>
        <w:spacing w:after="180" w:line="284" w:lineRule="auto"/>
        <w:jc w:val="both"/>
        <w:rPr>
          <w:color w:val="000000"/>
        </w:rPr>
      </w:pPr>
    </w:p>
    <w:p w14:paraId="66110F67" w14:textId="77777777" w:rsidR="002B796D" w:rsidRDefault="002B796D">
      <w:pPr>
        <w:spacing w:after="180" w:line="284" w:lineRule="auto"/>
        <w:jc w:val="both"/>
        <w:rPr>
          <w:color w:val="000000"/>
        </w:rPr>
      </w:pPr>
    </w:p>
    <w:p w14:paraId="19314206" w14:textId="77777777" w:rsidR="002B796D" w:rsidRDefault="002B796D">
      <w:pPr>
        <w:spacing w:after="180" w:line="284" w:lineRule="auto"/>
        <w:jc w:val="both"/>
      </w:pPr>
    </w:p>
    <w:p w14:paraId="54953389" w14:textId="7AE6F27F" w:rsidR="002B796D" w:rsidRDefault="00000000">
      <w:pPr>
        <w:pStyle w:val="Heading2"/>
      </w:pPr>
      <w:r>
        <w:lastRenderedPageBreak/>
        <w:t>5.2 Three Correction Methods: Data Table</w:t>
      </w:r>
    </w:p>
    <w:p w14:paraId="22DB6FE7" w14:textId="77777777" w:rsidR="00433D68" w:rsidRDefault="00000000">
      <w:pPr>
        <w:spacing w:after="180" w:line="284" w:lineRule="auto"/>
        <w:jc w:val="both"/>
      </w:pPr>
      <w:r>
        <w:rPr>
          <w:color w:val="000000"/>
        </w:rPr>
        <w:t>Table 2 applies three correction methods to all eight pre-flood kings using Jacobsen's (1939) Weld-Blundell translation data:</w:t>
      </w:r>
    </w:p>
    <w:p w14:paraId="5760B34E" w14:textId="77777777" w:rsidR="00433D68" w:rsidRDefault="00433D68">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440"/>
        <w:gridCol w:w="1440"/>
        <w:gridCol w:w="1680"/>
        <w:gridCol w:w="1680"/>
        <w:gridCol w:w="1320"/>
      </w:tblGrid>
      <w:tr w:rsidR="00433D68" w14:paraId="1048406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3CB8EA1" w14:textId="77777777" w:rsidR="00433D68" w:rsidRDefault="00000000">
            <w:r>
              <w:rPr>
                <w:b/>
                <w:bCs/>
                <w:color w:val="FFFFFF"/>
                <w:sz w:val="20"/>
                <w:szCs w:val="20"/>
              </w:rPr>
              <w:t>King / City</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2B816B" w14:textId="77777777" w:rsidR="00433D68" w:rsidRDefault="00000000">
            <w:r>
              <w:rPr>
                <w:b/>
                <w:bCs/>
                <w:color w:val="FFFFFF"/>
                <w:sz w:val="20"/>
                <w:szCs w:val="20"/>
              </w:rPr>
              <w:t>SKL Years</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5710B1EC" w14:textId="77777777" w:rsidR="00433D68" w:rsidRDefault="00000000">
            <w:r>
              <w:rPr>
                <w:b/>
                <w:bCs/>
                <w:color w:val="FFFFFF"/>
                <w:sz w:val="20"/>
                <w:szCs w:val="20"/>
              </w:rPr>
              <w:t>÷ 60</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36869296" w14:textId="77777777" w:rsidR="00433D68" w:rsidRDefault="00000000">
            <w:r>
              <w:rPr>
                <w:b/>
                <w:bCs/>
                <w:color w:val="FFFFFF"/>
                <w:sz w:val="20"/>
                <w:szCs w:val="20"/>
              </w:rPr>
              <w:t xml:space="preserve">÷ 3,600 (1 </w:t>
            </w:r>
            <w:proofErr w:type="spellStart"/>
            <w:r>
              <w:rPr>
                <w:b/>
                <w:bCs/>
                <w:color w:val="FFFFFF"/>
                <w:sz w:val="20"/>
                <w:szCs w:val="20"/>
              </w:rPr>
              <w:t>sar</w:t>
            </w:r>
            <w:proofErr w:type="spellEnd"/>
            <w:r>
              <w:rPr>
                <w:b/>
                <w:bCs/>
                <w:color w:val="FFFFFF"/>
                <w:sz w:val="20"/>
                <w:szCs w:val="20"/>
              </w:rPr>
              <w:t>)</w:t>
            </w:r>
          </w:p>
        </w:tc>
        <w:tc>
          <w:tcPr>
            <w:tcW w:w="16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63B254E3" w14:textId="77777777" w:rsidR="00433D68" w:rsidRDefault="00000000">
            <w:r>
              <w:rPr>
                <w:b/>
                <w:bCs/>
                <w:color w:val="FFFFFF"/>
                <w:sz w:val="20"/>
                <w:szCs w:val="20"/>
              </w:rPr>
              <w:t>As Months → Yrs</w:t>
            </w:r>
          </w:p>
        </w:tc>
        <w:tc>
          <w:tcPr>
            <w:tcW w:w="132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4B6F84D8" w14:textId="77777777" w:rsidR="00433D68" w:rsidRDefault="00000000">
            <w:r>
              <w:rPr>
                <w:b/>
                <w:bCs/>
                <w:color w:val="FFFFFF"/>
                <w:sz w:val="20"/>
                <w:szCs w:val="20"/>
              </w:rPr>
              <w:t>Sars Used</w:t>
            </w:r>
          </w:p>
        </w:tc>
      </w:tr>
      <w:tr w:rsidR="00433D68" w14:paraId="5871384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DB01B6" w14:textId="77777777" w:rsidR="00433D68" w:rsidRDefault="00000000">
            <w:r>
              <w:rPr>
                <w:color w:val="000000"/>
                <w:sz w:val="20"/>
                <w:szCs w:val="20"/>
              </w:rPr>
              <w:t xml:space="preserve">Alulim / </w:t>
            </w:r>
            <w:proofErr w:type="spellStart"/>
            <w:r>
              <w:rPr>
                <w:color w:val="000000"/>
                <w:sz w:val="20"/>
                <w:szCs w:val="20"/>
              </w:rPr>
              <w:t>Eridu</w:t>
            </w:r>
            <w:proofErr w:type="spellEnd"/>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DD8499" w14:textId="77777777" w:rsidR="00433D68" w:rsidRDefault="00000000">
            <w:r>
              <w:rPr>
                <w:color w:val="000000"/>
                <w:sz w:val="20"/>
                <w:szCs w:val="20"/>
              </w:rPr>
              <w:t>28,800</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34C77C" w14:textId="77777777" w:rsidR="00433D68" w:rsidRDefault="00000000">
            <w:r>
              <w:rPr>
                <w:color w:val="000000"/>
                <w:sz w:val="20"/>
                <w:szCs w:val="20"/>
              </w:rPr>
              <w:t>480 yrs</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ED5BB15" w14:textId="77777777" w:rsidR="00433D68" w:rsidRDefault="00000000">
            <w:r>
              <w:rPr>
                <w:color w:val="000000"/>
                <w:sz w:val="20"/>
                <w:szCs w:val="20"/>
              </w:rPr>
              <w:t>8 yrs ✓</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770911" w14:textId="77777777" w:rsidR="00433D68" w:rsidRDefault="00000000">
            <w:r>
              <w:rPr>
                <w:color w:val="000000"/>
                <w:sz w:val="20"/>
                <w:szCs w:val="20"/>
              </w:rPr>
              <w:t>2,400 yrs</w:t>
            </w:r>
          </w:p>
        </w:tc>
        <w:tc>
          <w:tcPr>
            <w:tcW w:w="13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A3B55B" w14:textId="77777777" w:rsidR="00433D68" w:rsidRDefault="00000000">
            <w:r>
              <w:rPr>
                <w:color w:val="000000"/>
                <w:sz w:val="20"/>
                <w:szCs w:val="20"/>
              </w:rPr>
              <w:t xml:space="preserve">8 </w:t>
            </w:r>
            <w:proofErr w:type="spellStart"/>
            <w:r>
              <w:rPr>
                <w:color w:val="000000"/>
                <w:sz w:val="20"/>
                <w:szCs w:val="20"/>
              </w:rPr>
              <w:t>sars</w:t>
            </w:r>
            <w:proofErr w:type="spellEnd"/>
          </w:p>
        </w:tc>
      </w:tr>
      <w:tr w:rsidR="00433D68" w14:paraId="58BC920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88DBEE" w14:textId="77777777" w:rsidR="00433D68" w:rsidRDefault="00000000">
            <w:proofErr w:type="spellStart"/>
            <w:r>
              <w:rPr>
                <w:color w:val="000000"/>
                <w:sz w:val="20"/>
                <w:szCs w:val="20"/>
              </w:rPr>
              <w:t>Alalngar</w:t>
            </w:r>
            <w:proofErr w:type="spellEnd"/>
            <w:r>
              <w:rPr>
                <w:color w:val="000000"/>
                <w:sz w:val="20"/>
                <w:szCs w:val="20"/>
              </w:rPr>
              <w:t xml:space="preserve"> / </w:t>
            </w:r>
            <w:proofErr w:type="spellStart"/>
            <w:r>
              <w:rPr>
                <w:color w:val="000000"/>
                <w:sz w:val="20"/>
                <w:szCs w:val="20"/>
              </w:rPr>
              <w:t>Eridu</w:t>
            </w:r>
            <w:proofErr w:type="spellEnd"/>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69EEA9" w14:textId="77777777" w:rsidR="00433D68" w:rsidRDefault="00000000">
            <w:r>
              <w:rPr>
                <w:color w:val="000000"/>
                <w:sz w:val="20"/>
                <w:szCs w:val="20"/>
              </w:rPr>
              <w:t>36,000</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F5A1E2" w14:textId="77777777" w:rsidR="00433D68" w:rsidRDefault="00000000">
            <w:r>
              <w:rPr>
                <w:color w:val="000000"/>
                <w:sz w:val="20"/>
                <w:szCs w:val="20"/>
              </w:rPr>
              <w:t>600 yrs</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5048CC" w14:textId="77777777" w:rsidR="00433D68" w:rsidRDefault="00000000">
            <w:r>
              <w:rPr>
                <w:color w:val="000000"/>
                <w:sz w:val="20"/>
                <w:szCs w:val="20"/>
              </w:rPr>
              <w:t>10 yrs ✓</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0590F4" w14:textId="77777777" w:rsidR="00433D68" w:rsidRDefault="00000000">
            <w:r>
              <w:rPr>
                <w:color w:val="000000"/>
                <w:sz w:val="20"/>
                <w:szCs w:val="20"/>
              </w:rPr>
              <w:t>3,000 yrs</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96A820" w14:textId="77777777" w:rsidR="00433D68" w:rsidRDefault="00000000">
            <w:r>
              <w:rPr>
                <w:color w:val="000000"/>
                <w:sz w:val="20"/>
                <w:szCs w:val="20"/>
              </w:rPr>
              <w:t xml:space="preserve">10 </w:t>
            </w:r>
            <w:proofErr w:type="spellStart"/>
            <w:r>
              <w:rPr>
                <w:color w:val="000000"/>
                <w:sz w:val="20"/>
                <w:szCs w:val="20"/>
              </w:rPr>
              <w:t>sars</w:t>
            </w:r>
            <w:proofErr w:type="spellEnd"/>
          </w:p>
        </w:tc>
      </w:tr>
      <w:tr w:rsidR="00433D68" w14:paraId="5508E75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3B6F3C" w14:textId="77777777" w:rsidR="00433D68" w:rsidRDefault="00000000">
            <w:r>
              <w:rPr>
                <w:color w:val="000000"/>
                <w:sz w:val="20"/>
                <w:szCs w:val="20"/>
              </w:rPr>
              <w:t>En-men-</w:t>
            </w:r>
            <w:proofErr w:type="spellStart"/>
            <w:r>
              <w:rPr>
                <w:color w:val="000000"/>
                <w:sz w:val="20"/>
                <w:szCs w:val="20"/>
              </w:rPr>
              <w:t>lu</w:t>
            </w:r>
            <w:proofErr w:type="spellEnd"/>
            <w:r>
              <w:rPr>
                <w:color w:val="000000"/>
                <w:sz w:val="20"/>
                <w:szCs w:val="20"/>
              </w:rPr>
              <w:t>-ana / Bad-</w:t>
            </w:r>
            <w:proofErr w:type="spellStart"/>
            <w:r>
              <w:rPr>
                <w:color w:val="000000"/>
                <w:sz w:val="20"/>
                <w:szCs w:val="20"/>
              </w:rPr>
              <w:t>tibira</w:t>
            </w:r>
            <w:proofErr w:type="spellEnd"/>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4273653" w14:textId="77777777" w:rsidR="00433D68" w:rsidRDefault="00000000">
            <w:r>
              <w:rPr>
                <w:color w:val="000000"/>
                <w:sz w:val="20"/>
                <w:szCs w:val="20"/>
              </w:rPr>
              <w:t>43,200</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F5BECB6" w14:textId="77777777" w:rsidR="00433D68" w:rsidRDefault="00000000">
            <w:r>
              <w:rPr>
                <w:color w:val="000000"/>
                <w:sz w:val="20"/>
                <w:szCs w:val="20"/>
              </w:rPr>
              <w:t>720 yrs</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94E4CD" w14:textId="77777777" w:rsidR="00433D68" w:rsidRDefault="00000000">
            <w:r>
              <w:rPr>
                <w:color w:val="000000"/>
                <w:sz w:val="20"/>
                <w:szCs w:val="20"/>
              </w:rPr>
              <w:t>12 yrs ✓</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1A486B" w14:textId="77777777" w:rsidR="00433D68" w:rsidRDefault="00000000">
            <w:r>
              <w:rPr>
                <w:color w:val="000000"/>
                <w:sz w:val="20"/>
                <w:szCs w:val="20"/>
              </w:rPr>
              <w:t>3,600 yrs</w:t>
            </w:r>
          </w:p>
        </w:tc>
        <w:tc>
          <w:tcPr>
            <w:tcW w:w="13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E58F056" w14:textId="77777777" w:rsidR="00433D68" w:rsidRDefault="00000000">
            <w:r>
              <w:rPr>
                <w:color w:val="000000"/>
                <w:sz w:val="20"/>
                <w:szCs w:val="20"/>
              </w:rPr>
              <w:t xml:space="preserve">12 </w:t>
            </w:r>
            <w:proofErr w:type="spellStart"/>
            <w:r>
              <w:rPr>
                <w:color w:val="000000"/>
                <w:sz w:val="20"/>
                <w:szCs w:val="20"/>
              </w:rPr>
              <w:t>sars</w:t>
            </w:r>
            <w:proofErr w:type="spellEnd"/>
          </w:p>
        </w:tc>
      </w:tr>
      <w:tr w:rsidR="00433D68" w14:paraId="689E180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9EBA42" w14:textId="77777777" w:rsidR="00433D68" w:rsidRDefault="00000000">
            <w:r>
              <w:rPr>
                <w:color w:val="000000"/>
                <w:sz w:val="20"/>
                <w:szCs w:val="20"/>
              </w:rPr>
              <w:t>En-men-gal-ana / Bad-</w:t>
            </w:r>
            <w:proofErr w:type="spellStart"/>
            <w:r>
              <w:rPr>
                <w:color w:val="000000"/>
                <w:sz w:val="20"/>
                <w:szCs w:val="20"/>
              </w:rPr>
              <w:t>tibira</w:t>
            </w:r>
            <w:proofErr w:type="spellEnd"/>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5C59C8" w14:textId="77777777" w:rsidR="00433D68" w:rsidRDefault="00000000">
            <w:r>
              <w:rPr>
                <w:color w:val="000000"/>
                <w:sz w:val="20"/>
                <w:szCs w:val="20"/>
              </w:rPr>
              <w:t>28,800</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ED2565" w14:textId="77777777" w:rsidR="00433D68" w:rsidRDefault="00000000">
            <w:r>
              <w:rPr>
                <w:color w:val="000000"/>
                <w:sz w:val="20"/>
                <w:szCs w:val="20"/>
              </w:rPr>
              <w:t>480 yrs</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C0886E" w14:textId="77777777" w:rsidR="00433D68" w:rsidRDefault="00000000">
            <w:r>
              <w:rPr>
                <w:color w:val="000000"/>
                <w:sz w:val="20"/>
                <w:szCs w:val="20"/>
              </w:rPr>
              <w:t>8 yrs ✓</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3EBDA6" w14:textId="77777777" w:rsidR="00433D68" w:rsidRDefault="00000000">
            <w:r>
              <w:rPr>
                <w:color w:val="000000"/>
                <w:sz w:val="20"/>
                <w:szCs w:val="20"/>
              </w:rPr>
              <w:t>2,400 yrs</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FE7368" w14:textId="77777777" w:rsidR="00433D68" w:rsidRDefault="00000000">
            <w:r>
              <w:rPr>
                <w:color w:val="000000"/>
                <w:sz w:val="20"/>
                <w:szCs w:val="20"/>
              </w:rPr>
              <w:t xml:space="preserve">8 </w:t>
            </w:r>
            <w:proofErr w:type="spellStart"/>
            <w:r>
              <w:rPr>
                <w:color w:val="000000"/>
                <w:sz w:val="20"/>
                <w:szCs w:val="20"/>
              </w:rPr>
              <w:t>sars</w:t>
            </w:r>
            <w:proofErr w:type="spellEnd"/>
          </w:p>
        </w:tc>
      </w:tr>
      <w:tr w:rsidR="00433D68" w14:paraId="674A20D2"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0D7834" w14:textId="77777777" w:rsidR="00433D68" w:rsidRDefault="00000000">
            <w:r>
              <w:rPr>
                <w:color w:val="000000"/>
                <w:sz w:val="20"/>
                <w:szCs w:val="20"/>
              </w:rPr>
              <w:t>Dumuzid / Bad-</w:t>
            </w:r>
            <w:proofErr w:type="spellStart"/>
            <w:r>
              <w:rPr>
                <w:color w:val="000000"/>
                <w:sz w:val="20"/>
                <w:szCs w:val="20"/>
              </w:rPr>
              <w:t>tibira</w:t>
            </w:r>
            <w:proofErr w:type="spellEnd"/>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C90F52" w14:textId="77777777" w:rsidR="00433D68" w:rsidRDefault="00000000">
            <w:r>
              <w:rPr>
                <w:color w:val="000000"/>
                <w:sz w:val="20"/>
                <w:szCs w:val="20"/>
              </w:rPr>
              <w:t>36,000</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35DB1FA" w14:textId="77777777" w:rsidR="00433D68" w:rsidRDefault="00000000">
            <w:r>
              <w:rPr>
                <w:color w:val="000000"/>
                <w:sz w:val="20"/>
                <w:szCs w:val="20"/>
              </w:rPr>
              <w:t>600 yrs</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81A0F5" w14:textId="77777777" w:rsidR="00433D68" w:rsidRDefault="00000000">
            <w:r>
              <w:rPr>
                <w:color w:val="000000"/>
                <w:sz w:val="20"/>
                <w:szCs w:val="20"/>
              </w:rPr>
              <w:t>10 yrs ✓</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08A861" w14:textId="77777777" w:rsidR="00433D68" w:rsidRDefault="00000000">
            <w:r>
              <w:rPr>
                <w:color w:val="000000"/>
                <w:sz w:val="20"/>
                <w:szCs w:val="20"/>
              </w:rPr>
              <w:t>3,000 yrs</w:t>
            </w:r>
          </w:p>
        </w:tc>
        <w:tc>
          <w:tcPr>
            <w:tcW w:w="13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304EC1" w14:textId="77777777" w:rsidR="00433D68" w:rsidRDefault="00000000">
            <w:r>
              <w:rPr>
                <w:color w:val="000000"/>
                <w:sz w:val="20"/>
                <w:szCs w:val="20"/>
              </w:rPr>
              <w:t xml:space="preserve">10 </w:t>
            </w:r>
            <w:proofErr w:type="spellStart"/>
            <w:r>
              <w:rPr>
                <w:color w:val="000000"/>
                <w:sz w:val="20"/>
                <w:szCs w:val="20"/>
              </w:rPr>
              <w:t>sars</w:t>
            </w:r>
            <w:proofErr w:type="spellEnd"/>
          </w:p>
        </w:tc>
      </w:tr>
      <w:tr w:rsidR="00433D68" w14:paraId="4E9FAC6C"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DA08E9" w14:textId="77777777" w:rsidR="00433D68" w:rsidRDefault="00000000">
            <w:r>
              <w:rPr>
                <w:color w:val="000000"/>
                <w:sz w:val="20"/>
                <w:szCs w:val="20"/>
              </w:rPr>
              <w:t>En-</w:t>
            </w:r>
            <w:proofErr w:type="spellStart"/>
            <w:r>
              <w:rPr>
                <w:color w:val="000000"/>
                <w:sz w:val="20"/>
                <w:szCs w:val="20"/>
              </w:rPr>
              <w:t>sipad</w:t>
            </w:r>
            <w:proofErr w:type="spellEnd"/>
            <w:r>
              <w:rPr>
                <w:color w:val="000000"/>
                <w:sz w:val="20"/>
                <w:szCs w:val="20"/>
              </w:rPr>
              <w:t>-</w:t>
            </w:r>
            <w:proofErr w:type="spellStart"/>
            <w:r>
              <w:rPr>
                <w:color w:val="000000"/>
                <w:sz w:val="20"/>
                <w:szCs w:val="20"/>
              </w:rPr>
              <w:t>zid</w:t>
            </w:r>
            <w:proofErr w:type="spellEnd"/>
            <w:r>
              <w:rPr>
                <w:color w:val="000000"/>
                <w:sz w:val="20"/>
                <w:szCs w:val="20"/>
              </w:rPr>
              <w:t>-ana / Larak</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948658" w14:textId="77777777" w:rsidR="00433D68" w:rsidRDefault="00000000">
            <w:r>
              <w:rPr>
                <w:color w:val="000000"/>
                <w:sz w:val="20"/>
                <w:szCs w:val="20"/>
              </w:rPr>
              <w:t>28,800</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F2C48C" w14:textId="77777777" w:rsidR="00433D68" w:rsidRDefault="00000000">
            <w:r>
              <w:rPr>
                <w:color w:val="000000"/>
                <w:sz w:val="20"/>
                <w:szCs w:val="20"/>
              </w:rPr>
              <w:t>480 yrs</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6AFBE3" w14:textId="77777777" w:rsidR="00433D68" w:rsidRDefault="00000000">
            <w:r>
              <w:rPr>
                <w:color w:val="000000"/>
                <w:sz w:val="20"/>
                <w:szCs w:val="20"/>
              </w:rPr>
              <w:t>8 yrs ✓</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4E02D0" w14:textId="77777777" w:rsidR="00433D68" w:rsidRDefault="00000000">
            <w:r>
              <w:rPr>
                <w:color w:val="000000"/>
                <w:sz w:val="20"/>
                <w:szCs w:val="20"/>
              </w:rPr>
              <w:t>2,400 yrs</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CECD1D" w14:textId="77777777" w:rsidR="00433D68" w:rsidRDefault="00000000">
            <w:r>
              <w:rPr>
                <w:color w:val="000000"/>
                <w:sz w:val="20"/>
                <w:szCs w:val="20"/>
              </w:rPr>
              <w:t xml:space="preserve">8 </w:t>
            </w:r>
            <w:proofErr w:type="spellStart"/>
            <w:r>
              <w:rPr>
                <w:color w:val="000000"/>
                <w:sz w:val="20"/>
                <w:szCs w:val="20"/>
              </w:rPr>
              <w:t>sars</w:t>
            </w:r>
            <w:proofErr w:type="spellEnd"/>
          </w:p>
        </w:tc>
      </w:tr>
      <w:tr w:rsidR="00433D68" w14:paraId="3DC7513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A691BC" w14:textId="77777777" w:rsidR="00433D68" w:rsidRDefault="00000000">
            <w:r>
              <w:rPr>
                <w:color w:val="000000"/>
                <w:sz w:val="20"/>
                <w:szCs w:val="20"/>
              </w:rPr>
              <w:t>En-men-dur-ana / Sippar</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31C5B8" w14:textId="77777777" w:rsidR="00433D68" w:rsidRDefault="00000000">
            <w:r>
              <w:rPr>
                <w:color w:val="000000"/>
                <w:sz w:val="20"/>
                <w:szCs w:val="20"/>
              </w:rPr>
              <w:t>21,000</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7AF751" w14:textId="77777777" w:rsidR="00433D68" w:rsidRDefault="00000000">
            <w:r>
              <w:rPr>
                <w:color w:val="000000"/>
                <w:sz w:val="20"/>
                <w:szCs w:val="20"/>
              </w:rPr>
              <w:t>350 yrs</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6E9F3E" w14:textId="77777777" w:rsidR="00433D68" w:rsidRDefault="00000000">
            <w:r>
              <w:rPr>
                <w:color w:val="000000"/>
                <w:sz w:val="20"/>
                <w:szCs w:val="20"/>
              </w:rPr>
              <w:t>5.8 yrs ✓</w:t>
            </w:r>
          </w:p>
        </w:tc>
        <w:tc>
          <w:tcPr>
            <w:tcW w:w="16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DFC592" w14:textId="77777777" w:rsidR="00433D68" w:rsidRDefault="00000000">
            <w:r>
              <w:rPr>
                <w:color w:val="000000"/>
                <w:sz w:val="20"/>
                <w:szCs w:val="20"/>
              </w:rPr>
              <w:t>1,750 yrs</w:t>
            </w:r>
          </w:p>
        </w:tc>
        <w:tc>
          <w:tcPr>
            <w:tcW w:w="13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AB46C8" w14:textId="77777777" w:rsidR="00433D68" w:rsidRDefault="00000000">
            <w:r>
              <w:rPr>
                <w:color w:val="000000"/>
                <w:sz w:val="20"/>
                <w:szCs w:val="20"/>
              </w:rPr>
              <w:t xml:space="preserve">~5.8 </w:t>
            </w:r>
            <w:proofErr w:type="spellStart"/>
            <w:r>
              <w:rPr>
                <w:color w:val="000000"/>
                <w:sz w:val="20"/>
                <w:szCs w:val="20"/>
              </w:rPr>
              <w:t>sars</w:t>
            </w:r>
            <w:proofErr w:type="spellEnd"/>
          </w:p>
        </w:tc>
      </w:tr>
      <w:tr w:rsidR="00433D68" w14:paraId="61574AAD"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831CF9" w14:textId="77777777" w:rsidR="00433D68" w:rsidRDefault="00000000">
            <w:proofErr w:type="spellStart"/>
            <w:r>
              <w:rPr>
                <w:color w:val="000000"/>
                <w:sz w:val="20"/>
                <w:szCs w:val="20"/>
              </w:rPr>
              <w:t>Ubara</w:t>
            </w:r>
            <w:proofErr w:type="spellEnd"/>
            <w:r>
              <w:rPr>
                <w:color w:val="000000"/>
                <w:sz w:val="20"/>
                <w:szCs w:val="20"/>
              </w:rPr>
              <w:t xml:space="preserve">-Tutu / </w:t>
            </w:r>
            <w:proofErr w:type="spellStart"/>
            <w:r>
              <w:rPr>
                <w:color w:val="000000"/>
                <w:sz w:val="20"/>
                <w:szCs w:val="20"/>
              </w:rPr>
              <w:t>Shuruppak</w:t>
            </w:r>
            <w:proofErr w:type="spellEnd"/>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B3136" w14:textId="77777777" w:rsidR="00433D68" w:rsidRDefault="00000000">
            <w:r>
              <w:rPr>
                <w:color w:val="000000"/>
                <w:sz w:val="20"/>
                <w:szCs w:val="20"/>
              </w:rPr>
              <w:t>18,600</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9B934C" w14:textId="77777777" w:rsidR="00433D68" w:rsidRDefault="00000000">
            <w:r>
              <w:rPr>
                <w:color w:val="000000"/>
                <w:sz w:val="20"/>
                <w:szCs w:val="20"/>
              </w:rPr>
              <w:t>310 yrs</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6EAAAB" w14:textId="77777777" w:rsidR="00433D68" w:rsidRDefault="00000000">
            <w:r>
              <w:rPr>
                <w:color w:val="000000"/>
                <w:sz w:val="20"/>
                <w:szCs w:val="20"/>
              </w:rPr>
              <w:t>5.2 yrs ✓</w:t>
            </w:r>
          </w:p>
        </w:tc>
        <w:tc>
          <w:tcPr>
            <w:tcW w:w="1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9636B8" w14:textId="77777777" w:rsidR="00433D68" w:rsidRDefault="00000000">
            <w:r>
              <w:rPr>
                <w:color w:val="000000"/>
                <w:sz w:val="20"/>
                <w:szCs w:val="20"/>
              </w:rPr>
              <w:t>1,550 yrs</w:t>
            </w:r>
          </w:p>
        </w:tc>
        <w:tc>
          <w:tcPr>
            <w:tcW w:w="13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BDE719" w14:textId="77777777" w:rsidR="00433D68" w:rsidRDefault="00000000">
            <w:r>
              <w:rPr>
                <w:color w:val="000000"/>
                <w:sz w:val="20"/>
                <w:szCs w:val="20"/>
              </w:rPr>
              <w:t xml:space="preserve">~5.2 </w:t>
            </w:r>
            <w:proofErr w:type="spellStart"/>
            <w:r>
              <w:rPr>
                <w:color w:val="000000"/>
                <w:sz w:val="20"/>
                <w:szCs w:val="20"/>
              </w:rPr>
              <w:t>sars</w:t>
            </w:r>
            <w:proofErr w:type="spellEnd"/>
          </w:p>
        </w:tc>
      </w:tr>
      <w:tr w:rsidR="00433D68" w14:paraId="1DAC99E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6CD8A935" w14:textId="77777777" w:rsidR="00433D68" w:rsidRDefault="00000000">
            <w:r>
              <w:rPr>
                <w:b/>
                <w:bCs/>
                <w:color w:val="000000"/>
                <w:sz w:val="20"/>
                <w:szCs w:val="20"/>
              </w:rPr>
              <w:t>TOTAL</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4EE058B4" w14:textId="77777777" w:rsidR="00433D68" w:rsidRDefault="00000000">
            <w:r>
              <w:rPr>
                <w:b/>
                <w:bCs/>
                <w:color w:val="000000"/>
                <w:sz w:val="20"/>
                <w:szCs w:val="20"/>
              </w:rPr>
              <w:t>241,200</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0FB7D460" w14:textId="77777777" w:rsidR="00433D68" w:rsidRDefault="00000000">
            <w:r>
              <w:rPr>
                <w:b/>
                <w:bCs/>
                <w:color w:val="000000"/>
                <w:sz w:val="20"/>
                <w:szCs w:val="20"/>
              </w:rPr>
              <w:t>4,020 yrs</w:t>
            </w:r>
          </w:p>
        </w:tc>
        <w:tc>
          <w:tcPr>
            <w:tcW w:w="1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A5B1855" w14:textId="77777777" w:rsidR="00433D68" w:rsidRDefault="00000000">
            <w:r>
              <w:rPr>
                <w:b/>
                <w:bCs/>
                <w:color w:val="000000"/>
                <w:sz w:val="20"/>
                <w:szCs w:val="20"/>
              </w:rPr>
              <w:t>67 yrs ✓</w:t>
            </w:r>
          </w:p>
        </w:tc>
        <w:tc>
          <w:tcPr>
            <w:tcW w:w="16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33C123DC" w14:textId="77777777" w:rsidR="00433D68" w:rsidRDefault="00000000">
            <w:r>
              <w:rPr>
                <w:b/>
                <w:bCs/>
                <w:color w:val="000000"/>
                <w:sz w:val="20"/>
                <w:szCs w:val="20"/>
              </w:rPr>
              <w:t>20,100 yrs</w:t>
            </w:r>
          </w:p>
        </w:tc>
        <w:tc>
          <w:tcPr>
            <w:tcW w:w="13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tcPr>
          <w:p w14:paraId="1389847E" w14:textId="77777777" w:rsidR="00433D68" w:rsidRDefault="00000000">
            <w:r>
              <w:rPr>
                <w:b/>
                <w:bCs/>
                <w:color w:val="000000"/>
                <w:sz w:val="20"/>
                <w:szCs w:val="20"/>
              </w:rPr>
              <w:t xml:space="preserve">~67 </w:t>
            </w:r>
            <w:proofErr w:type="spellStart"/>
            <w:r>
              <w:rPr>
                <w:b/>
                <w:bCs/>
                <w:color w:val="000000"/>
                <w:sz w:val="20"/>
                <w:szCs w:val="20"/>
              </w:rPr>
              <w:t>sars</w:t>
            </w:r>
            <w:proofErr w:type="spellEnd"/>
          </w:p>
        </w:tc>
      </w:tr>
    </w:tbl>
    <w:p w14:paraId="01985137" w14:textId="77777777" w:rsidR="00433D68" w:rsidRDefault="00000000">
      <w:pPr>
        <w:spacing w:after="240" w:line="284" w:lineRule="auto"/>
        <w:jc w:val="both"/>
      </w:pPr>
      <w:r>
        <w:rPr>
          <w:i/>
          <w:iCs/>
          <w:color w:val="555555"/>
          <w:sz w:val="20"/>
          <w:szCs w:val="20"/>
        </w:rPr>
        <w:t>Table 2: Pre-flood reign lengths under three sexagesimal correction methods. Reign data from Jacobsen (1939) / Weld-Blundell Prism. ✓ indicates result within normal human reign parameters.</w:t>
      </w:r>
    </w:p>
    <w:p w14:paraId="4B7063DA" w14:textId="77777777" w:rsidR="00433D68" w:rsidRDefault="00000000">
      <w:pPr>
        <w:pStyle w:val="Heading2"/>
      </w:pPr>
      <w:r>
        <w:t>5.3 The Sar-Correction Result</w:t>
      </w:r>
    </w:p>
    <w:p w14:paraId="31B376DE" w14:textId="77777777" w:rsidR="00433D68" w:rsidRDefault="00000000">
      <w:pPr>
        <w:spacing w:after="180" w:line="284" w:lineRule="auto"/>
        <w:jc w:val="both"/>
      </w:pPr>
      <w:r>
        <w:rPr>
          <w:color w:val="000000"/>
        </w:rPr>
        <w:t xml:space="preserve">The </w:t>
      </w:r>
      <w:proofErr w:type="spellStart"/>
      <w:r>
        <w:rPr>
          <w:color w:val="000000"/>
        </w:rPr>
        <w:t>sar</w:t>
      </w:r>
      <w:proofErr w:type="spellEnd"/>
      <w:r>
        <w:rPr>
          <w:color w:val="000000"/>
        </w:rPr>
        <w:t xml:space="preserve">-correction — 8 to 12 years per king, 67 </w:t>
      </w:r>
      <w:proofErr w:type="spellStart"/>
      <w:r>
        <w:rPr>
          <w:color w:val="000000"/>
        </w:rPr>
        <w:t>years</w:t>
      </w:r>
      <w:proofErr w:type="spellEnd"/>
      <w:r>
        <w:rPr>
          <w:color w:val="000000"/>
        </w:rPr>
        <w:t xml:space="preserve"> total — is the analytically significant finding. These figures are not merely plausible as human reign lengths; they are typical of early city-state rulers operating under conditions of political competition and succession pressure. Early Dynastic Sumerian kings for whom independent attestation exists tend to rule for decades, not centuries (Van De Mieroop, 2007; Kuhrt, 1995; Roux, 1992). The division by 60 produces figures (310–720 years) that remain implausible as individual reigns, though compatible with compressed dynasty spans. The lunar month conversion produces figures (1,550–3,600 years) that remain as implausible as the originals. The </w:t>
      </w:r>
      <w:proofErr w:type="spellStart"/>
      <w:r>
        <w:rPr>
          <w:color w:val="000000"/>
        </w:rPr>
        <w:t>sar</w:t>
      </w:r>
      <w:proofErr w:type="spellEnd"/>
      <w:r>
        <w:rPr>
          <w:color w:val="000000"/>
        </w:rPr>
        <w:t>-correction is the only method that produces results consistent across all eight entries with documented early governance patterns.</w:t>
      </w:r>
    </w:p>
    <w:p w14:paraId="4CE3EB54" w14:textId="77777777" w:rsidR="00433D68" w:rsidRDefault="00000000">
      <w:pPr>
        <w:spacing w:after="180" w:line="284" w:lineRule="auto"/>
        <w:jc w:val="both"/>
      </w:pPr>
      <w:r>
        <w:rPr>
          <w:color w:val="000000"/>
        </w:rPr>
        <w:t xml:space="preserve">The </w:t>
      </w:r>
      <w:proofErr w:type="spellStart"/>
      <w:r>
        <w:rPr>
          <w:color w:val="000000"/>
        </w:rPr>
        <w:t>sar</w:t>
      </w:r>
      <w:proofErr w:type="spellEnd"/>
      <w:r>
        <w:rPr>
          <w:color w:val="000000"/>
        </w:rPr>
        <w:t xml:space="preserve"> total of approximately 67 has a further structural property: it implies that all eight pre-flood kings ruled within a window of roughly 67 years, immediately preceding the flood </w:t>
      </w:r>
      <w:r>
        <w:rPr>
          <w:color w:val="000000"/>
        </w:rPr>
        <w:lastRenderedPageBreak/>
        <w:t xml:space="preserve">stratum archaeologically attested at </w:t>
      </w:r>
      <w:proofErr w:type="spellStart"/>
      <w:r>
        <w:rPr>
          <w:color w:val="000000"/>
        </w:rPr>
        <w:t>Shuruppak</w:t>
      </w:r>
      <w:proofErr w:type="spellEnd"/>
      <w:r>
        <w:rPr>
          <w:color w:val="000000"/>
        </w:rPr>
        <w:t xml:space="preserve"> around 2900–2800 BCE (Nissen, 1988). This places the corrected pre-flood period in the Early Dynastic I period — precisely the phase during which the city-state system was consolidating but before any single dynasty achieved regional dominance.</w:t>
      </w:r>
    </w:p>
    <w:p w14:paraId="5EC7D6B2" w14:textId="77777777" w:rsidR="00433D68" w:rsidRDefault="00000000">
      <w:pPr>
        <w:spacing w:after="180" w:line="284" w:lineRule="auto"/>
        <w:jc w:val="both"/>
      </w:pPr>
      <w:r>
        <w:rPr>
          <w:color w:val="000000"/>
        </w:rPr>
        <w:t xml:space="preserve">A note on prior scholarship is warranted here. The observation that pre-flood reigns are expressible as </w:t>
      </w:r>
      <w:proofErr w:type="spellStart"/>
      <w:r>
        <w:rPr>
          <w:color w:val="000000"/>
        </w:rPr>
        <w:t>sar</w:t>
      </w:r>
      <w:proofErr w:type="spellEnd"/>
      <w:r>
        <w:rPr>
          <w:color w:val="000000"/>
        </w:rPr>
        <w:t xml:space="preserve"> multiples is not original to this paper. Friberg (1984, p. 117) noted the mathematical pattern, and López (1998) applied it systematically to all eight entries, arriving at the same 67-sar total. The present paper's contribution is not the arithmetic but the synthesis: combining the </w:t>
      </w:r>
      <w:proofErr w:type="spellStart"/>
      <w:r>
        <w:rPr>
          <w:color w:val="000000"/>
        </w:rPr>
        <w:t>sar</w:t>
      </w:r>
      <w:proofErr w:type="spellEnd"/>
      <w:r>
        <w:rPr>
          <w:color w:val="000000"/>
        </w:rPr>
        <w:t xml:space="preserve">-correction with Jacobsen's (1939) compositional finding that the antediluvian section is a later addition, and with the dynasty-compression hypothesis derived from the Egyptian parallel, to produce a three-layer explanatory framework that addresses not only the inflated numbers but the pre/post-flood asymmetry and the structural invisibility of name repetition. The </w:t>
      </w:r>
      <w:proofErr w:type="spellStart"/>
      <w:r>
        <w:rPr>
          <w:color w:val="000000"/>
        </w:rPr>
        <w:t>sar</w:t>
      </w:r>
      <w:proofErr w:type="spellEnd"/>
      <w:r>
        <w:rPr>
          <w:color w:val="000000"/>
        </w:rPr>
        <w:t>-correction alone recovers plausible reign lengths. The three-layer synthesis explains why the distortion took the specific form it did — and why it is asymmetric across the flood boundary.</w:t>
      </w:r>
    </w:p>
    <w:p w14:paraId="33845B0F" w14:textId="77777777" w:rsidR="00433D68" w:rsidRDefault="00000000">
      <w:pPr>
        <w:pStyle w:val="Heading1"/>
      </w:pPr>
      <w:r>
        <w:t>6. The Dynasty Compression Hypothesis</w:t>
      </w:r>
    </w:p>
    <w:p w14:paraId="77A6139B" w14:textId="77777777" w:rsidR="00433D68" w:rsidRDefault="00000000">
      <w:pPr>
        <w:pStyle w:val="Heading2"/>
      </w:pPr>
      <w:r>
        <w:t>6.1 The Egyptian Parallel</w:t>
      </w:r>
    </w:p>
    <w:p w14:paraId="394B1440" w14:textId="77777777" w:rsidR="00433D68" w:rsidRDefault="00000000">
      <w:pPr>
        <w:spacing w:after="180" w:line="284" w:lineRule="auto"/>
        <w:jc w:val="both"/>
      </w:pPr>
      <w:r>
        <w:rPr>
          <w:color w:val="000000"/>
        </w:rPr>
        <w:t>The Egyptian royal record provides an instructive parallel for understanding how name-reuse and dynastic compression can produce apparent reign-length inflation in ancient king lists. The pharaonic title 'Ramesses' was used across eleven rulers spanning roughly 200 years, from Ramesses I (c. 1295 BCE) to Ramesses XI (c. 1069 BCE). A compressed list attributing all achievements of the Ramesside period to a single 'Ramesses' would infer an impossibly long reign. Apply a sexagesimal multiplier of 60 to such a figure and the result approaches 12,000 years.</w:t>
      </w:r>
    </w:p>
    <w:p w14:paraId="1054A728" w14:textId="77777777" w:rsidR="00433D68" w:rsidRDefault="00000000">
      <w:pPr>
        <w:spacing w:after="180" w:line="284" w:lineRule="auto"/>
        <w:jc w:val="both"/>
      </w:pPr>
      <w:r>
        <w:rPr>
          <w:color w:val="000000"/>
        </w:rPr>
        <w:t>The same pattern applies across multiple Egyptian dynasties. The titles Thutmose (four rulers, c. 1506–1388 BCE) and Amenhotep (four rulers, c. 1550–1352 BCE) each compress multi-generational dynastic periods into a single name. This is not an eccentric Egyptian practice; it is a structural feature of ancient royal succession systems in which the name carries cultic and legitimizing weight beyond any individual ruler (Kemp, 2006; Shaw, 2000; Wilkinson, 2010). The Egyptian evidence establishes the compression mechanism as archaeologically documented and cross-culturally plausible.</w:t>
      </w:r>
    </w:p>
    <w:p w14:paraId="57FC9CA6" w14:textId="77777777" w:rsidR="002B796D" w:rsidRDefault="002B796D">
      <w:pPr>
        <w:pStyle w:val="Heading2"/>
      </w:pPr>
    </w:p>
    <w:p w14:paraId="0C974C14" w14:textId="77777777" w:rsidR="002B796D" w:rsidRDefault="002B796D">
      <w:pPr>
        <w:pStyle w:val="Heading2"/>
      </w:pPr>
    </w:p>
    <w:p w14:paraId="1A9D5D16" w14:textId="11127821" w:rsidR="00433D68" w:rsidRDefault="00000000">
      <w:pPr>
        <w:pStyle w:val="Heading2"/>
      </w:pPr>
      <w:r>
        <w:lastRenderedPageBreak/>
        <w:t>6.2 Mechanisms in the Sumerian Record</w:t>
      </w:r>
    </w:p>
    <w:p w14:paraId="2208C745" w14:textId="77777777" w:rsidR="00433D68" w:rsidRDefault="00000000">
      <w:pPr>
        <w:spacing w:after="180" w:line="284" w:lineRule="auto"/>
        <w:jc w:val="both"/>
      </w:pPr>
      <w:r>
        <w:rPr>
          <w:color w:val="000000"/>
        </w:rPr>
        <w:t xml:space="preserve">The SKL does not show obvious name repetition of the Egyptian type, but several mechanisms could produce equivalent compression without visible duplication. Title-as-name or cultic role designation may have replaced personal names in the earliest stratum of the tradition: what the SKL records as 'Alulim' may encode the title of an office held by a succession of rulers rather than a single individual's name — though this remains speculative in the absence of direct Sumerian parallel evidence (Oppenheim, 1977). City-as-unit recording presents a second plausible mechanism: the SKL assigns kingship to cities rather than to continuous dynastic lines, and 'the two </w:t>
      </w:r>
      <w:proofErr w:type="spellStart"/>
      <w:r>
        <w:rPr>
          <w:color w:val="000000"/>
        </w:rPr>
        <w:t>Eridu</w:t>
      </w:r>
      <w:proofErr w:type="spellEnd"/>
      <w:r>
        <w:rPr>
          <w:color w:val="000000"/>
        </w:rPr>
        <w:t xml:space="preserve"> reigns </w:t>
      </w:r>
      <w:proofErr w:type="spellStart"/>
      <w:r>
        <w:rPr>
          <w:color w:val="000000"/>
        </w:rPr>
        <w:t>totalling</w:t>
      </w:r>
      <w:proofErr w:type="spellEnd"/>
      <w:r>
        <w:rPr>
          <w:color w:val="000000"/>
        </w:rPr>
        <w:t xml:space="preserve"> 64,800 years' may compress an entire sequence of </w:t>
      </w:r>
      <w:proofErr w:type="spellStart"/>
      <w:r>
        <w:rPr>
          <w:color w:val="000000"/>
        </w:rPr>
        <w:t>Eridu</w:t>
      </w:r>
      <w:proofErr w:type="spellEnd"/>
      <w:r>
        <w:rPr>
          <w:color w:val="000000"/>
        </w:rPr>
        <w:t>-based administrations into a single entry.</w:t>
      </w:r>
    </w:p>
    <w:p w14:paraId="45D17756" w14:textId="77777777" w:rsidR="00433D68" w:rsidRDefault="00000000">
      <w:pPr>
        <w:spacing w:after="180" w:line="284" w:lineRule="auto"/>
        <w:jc w:val="both"/>
      </w:pPr>
      <w:r>
        <w:rPr>
          <w:color w:val="000000"/>
        </w:rPr>
        <w:t>The most significant plausible compression mechanism, though the evidence remains circumstantial rather than direct, is oral transmission. Jacobsen (1939) established that the antediluvian material was drawn from oral and literary traditions circulating for centuries before any scribe encoded them. In oral transmission systems, entire lineages routinely collapse into singular legendary figures (Ong, 1982; Henrich, 2016). DSSM's Stage 2 oral transmission mechanics — intergenerational repetition, spatial constraint, cross-media redundancy, persistence under stress — preserve the existence and significance of early rulers while losing the granular detail required to distinguish individual reigns from dynastic periods (Vondoom, 2025; Rappaport, 1999). Donald (1991), Assmann (2011), and Connerton (1989) document how oral cultures manage this compression without perceiving it as loss: the legendary figure is not a distortion of multiple individuals but the culturally correct encoding of a period's symbolic authority into a single transmissible form. The dynasty-compression hypothesis is advanced here as a plausible contributing mechanism consistent with the available evidence, not as a demonstrated historical fact. Its function in the three-layer argument is to explain why name repetition — the most visible marker of dynastic compression in the Egyptian record — need not be visible in the SKL even if the same process occurred.</w:t>
      </w:r>
    </w:p>
    <w:p w14:paraId="0F6052FD" w14:textId="77777777" w:rsidR="002B796D" w:rsidRDefault="002B796D">
      <w:pPr>
        <w:pStyle w:val="Heading1"/>
      </w:pPr>
    </w:p>
    <w:p w14:paraId="606C6ACD" w14:textId="77777777" w:rsidR="002B796D" w:rsidRDefault="002B796D">
      <w:pPr>
        <w:pStyle w:val="Heading1"/>
      </w:pPr>
    </w:p>
    <w:p w14:paraId="4C2A16FC" w14:textId="77777777" w:rsidR="002B796D" w:rsidRDefault="002B796D">
      <w:pPr>
        <w:pStyle w:val="Heading1"/>
      </w:pPr>
    </w:p>
    <w:p w14:paraId="4B26DED7" w14:textId="77777777" w:rsidR="002B796D" w:rsidRDefault="002B796D">
      <w:pPr>
        <w:pStyle w:val="Heading1"/>
      </w:pPr>
    </w:p>
    <w:p w14:paraId="0FDBECD8" w14:textId="05C0A92D" w:rsidR="00433D68" w:rsidRDefault="00000000">
      <w:pPr>
        <w:pStyle w:val="Heading1"/>
      </w:pPr>
      <w:r>
        <w:lastRenderedPageBreak/>
        <w:t>7. The Asymmetry Problem and Its Resolution</w:t>
      </w:r>
    </w:p>
    <w:p w14:paraId="0319E2B4" w14:textId="77777777" w:rsidR="00433D68" w:rsidRDefault="00000000">
      <w:pPr>
        <w:spacing w:after="180" w:line="284" w:lineRule="auto"/>
        <w:jc w:val="both"/>
      </w:pPr>
      <w:r>
        <w:rPr>
          <w:color w:val="000000"/>
        </w:rPr>
        <w:t xml:space="preserve">The most analytically challenging feature of the SKL is the sharp drop in reign lengths after the flood. If sexagesimal inflation and dynastic compression explain the pre-flood figures, why don't they apply equally to post-flood kings? The First Dynasty of Kish attributes </w:t>
      </w:r>
      <w:proofErr w:type="gramStart"/>
      <w:r>
        <w:rPr>
          <w:color w:val="000000"/>
        </w:rPr>
        <w:t>reigns</w:t>
      </w:r>
      <w:proofErr w:type="gramEnd"/>
      <w:r>
        <w:rPr>
          <w:color w:val="000000"/>
        </w:rPr>
        <w:t xml:space="preserve"> of 1,200 years to individual rulers — still implausible, but dramatically shorter than the antediluvian figures. Later dynasties compress further, eventually reaching historically attested durations (Jacobsen, 1939; Van De Mieroop, 2007).</w:t>
      </w:r>
    </w:p>
    <w:p w14:paraId="131ACAC4" w14:textId="77777777" w:rsidR="00433D68" w:rsidRDefault="00000000">
      <w:pPr>
        <w:spacing w:after="180" w:line="284" w:lineRule="auto"/>
        <w:jc w:val="both"/>
      </w:pPr>
      <w:r>
        <w:rPr>
          <w:color w:val="000000"/>
        </w:rPr>
        <w:t>Three factors resolve this asymmetry. First, Jacobsen's (1939) later-addition finding means the pre-flood and post-flood sections were not composed by the same scribe using the same conventions. The post-flood section is the original document; its inflations are internal to the postdiluvian tradition and operate at a different magnitude. The antediluvian inflation was introduced by a later scribe adapting mythological literary material — material that already contained the enormous figures — rather than generating numbers from scratch.</w:t>
      </w:r>
    </w:p>
    <w:p w14:paraId="05E17D9A" w14:textId="77777777" w:rsidR="00433D68" w:rsidRDefault="00000000">
      <w:pPr>
        <w:spacing w:after="180" w:line="284" w:lineRule="auto"/>
        <w:jc w:val="both"/>
      </w:pPr>
      <w:r>
        <w:rPr>
          <w:color w:val="000000"/>
        </w:rPr>
        <w:t>Second, the graduated compression visible across the full list is precisely what DSSM predicts for a document composed by scribes working from increasingly recent oral and written sources (Vondoom, 2025). The further back in time, the more compressed and inflated the record; the closer to the scribal present, the more granular and verifiable. Ong (1982) documents this as a universal property of oral-to-written transitions: temporally proximate events survive with greater fidelity than temporally distant ones, not because the distant events are invented but because the transmission chain is longer and more subject to compression. Whitehouse (2004) further distinguishes between imagistic and doctrinal modes of religiosity, demonstrating that high-arousal ritual encodes events with greater fidelity than low-frequency doctrinal transmission — a distinction directly relevant to how a catastrophic flood event would have been encoded and preserved with exceptional fidelity relative to routine governance records.</w:t>
      </w:r>
    </w:p>
    <w:p w14:paraId="369C307F" w14:textId="77777777" w:rsidR="00433D68" w:rsidRDefault="00000000">
      <w:pPr>
        <w:spacing w:after="180" w:line="284" w:lineRule="auto"/>
        <w:jc w:val="both"/>
        <w:rPr>
          <w:color w:val="000000"/>
        </w:rPr>
      </w:pPr>
      <w:r>
        <w:rPr>
          <w:color w:val="000000"/>
        </w:rPr>
        <w:t xml:space="preserve">Third, the post-flood section names seven kings for whom independent archaeological or textual corroboration exists — including Gilgamesh of </w:t>
      </w:r>
      <w:proofErr w:type="spellStart"/>
      <w:r>
        <w:rPr>
          <w:color w:val="000000"/>
        </w:rPr>
        <w:t>Uruk</w:t>
      </w:r>
      <w:proofErr w:type="spellEnd"/>
      <w:r>
        <w:rPr>
          <w:color w:val="000000"/>
        </w:rPr>
        <w:t xml:space="preserve">, </w:t>
      </w:r>
      <w:proofErr w:type="spellStart"/>
      <w:r>
        <w:rPr>
          <w:color w:val="000000"/>
        </w:rPr>
        <w:t>Enmebaragesi</w:t>
      </w:r>
      <w:proofErr w:type="spellEnd"/>
      <w:r>
        <w:rPr>
          <w:color w:val="000000"/>
        </w:rPr>
        <w:t xml:space="preserve"> of Kish, and </w:t>
      </w:r>
      <w:proofErr w:type="spellStart"/>
      <w:r>
        <w:rPr>
          <w:color w:val="000000"/>
        </w:rPr>
        <w:t>Mesannepada</w:t>
      </w:r>
      <w:proofErr w:type="spellEnd"/>
      <w:r>
        <w:rPr>
          <w:color w:val="000000"/>
        </w:rPr>
        <w:t xml:space="preserve"> of Ur (Van De Mieroop, 2007; Kuhrt, 1995; Finkelstein, 1963). This attestation is entirely absent from the pre-flood section. The two sections are operating at different relationships to historical reality, which is exactly what different compositional origins would predict (Jacobsen, 1939).</w:t>
      </w:r>
    </w:p>
    <w:p w14:paraId="01C841D9" w14:textId="77777777" w:rsidR="002B796D" w:rsidRDefault="002B796D">
      <w:pPr>
        <w:spacing w:after="180" w:line="284" w:lineRule="auto"/>
        <w:jc w:val="both"/>
        <w:rPr>
          <w:color w:val="000000"/>
        </w:rPr>
      </w:pPr>
    </w:p>
    <w:p w14:paraId="6C929A71" w14:textId="77777777" w:rsidR="002B796D" w:rsidRDefault="002B796D">
      <w:pPr>
        <w:spacing w:after="180" w:line="284" w:lineRule="auto"/>
        <w:jc w:val="both"/>
      </w:pPr>
    </w:p>
    <w:p w14:paraId="20FD50C7" w14:textId="77777777" w:rsidR="00433D68" w:rsidRDefault="00433D68">
      <w:pPr>
        <w:spacing w:after="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433D68" w14:paraId="695EDDE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2E5394"/>
            <w:tcMar>
              <w:top w:w="100" w:type="dxa"/>
              <w:left w:w="180" w:type="dxa"/>
              <w:bottom w:w="80" w:type="dxa"/>
              <w:right w:w="180" w:type="dxa"/>
            </w:tcMar>
          </w:tcPr>
          <w:p w14:paraId="3110B790" w14:textId="77777777" w:rsidR="00433D68" w:rsidRDefault="00000000">
            <w:r>
              <w:rPr>
                <w:b/>
                <w:bCs/>
                <w:color w:val="C9A84C"/>
                <w:sz w:val="18"/>
                <w:szCs w:val="18"/>
              </w:rPr>
              <w:lastRenderedPageBreak/>
              <w:t xml:space="preserve">ANALYTICAL NOTE </w:t>
            </w:r>
            <w:proofErr w:type="gramStart"/>
            <w:r>
              <w:rPr>
                <w:b/>
                <w:bCs/>
                <w:color w:val="C9A84C"/>
                <w:sz w:val="18"/>
                <w:szCs w:val="18"/>
              </w:rPr>
              <w:t xml:space="preserve">2  </w:t>
            </w:r>
            <w:r>
              <w:rPr>
                <w:b/>
                <w:bCs/>
                <w:color w:val="FFFFFF"/>
                <w:sz w:val="20"/>
                <w:szCs w:val="20"/>
              </w:rPr>
              <w:t>The</w:t>
            </w:r>
            <w:proofErr w:type="gramEnd"/>
            <w:r>
              <w:rPr>
                <w:b/>
                <w:bCs/>
                <w:color w:val="FFFFFF"/>
                <w:sz w:val="20"/>
                <w:szCs w:val="20"/>
              </w:rPr>
              <w:t xml:space="preserve"> Asymmetry as Textual Evidence</w:t>
            </w:r>
          </w:p>
        </w:tc>
      </w:tr>
      <w:tr w:rsidR="00433D68" w14:paraId="3D525BE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5E8F0"/>
            <w:tcMar>
              <w:top w:w="120" w:type="dxa"/>
              <w:left w:w="180" w:type="dxa"/>
              <w:bottom w:w="120" w:type="dxa"/>
              <w:right w:w="180" w:type="dxa"/>
            </w:tcMar>
          </w:tcPr>
          <w:p w14:paraId="7774223C" w14:textId="77777777" w:rsidR="00433D68" w:rsidRDefault="00000000">
            <w:pPr>
              <w:jc w:val="both"/>
            </w:pPr>
            <w:r>
              <w:rPr>
                <w:i/>
                <w:iCs/>
                <w:color w:val="333333"/>
                <w:sz w:val="22"/>
                <w:szCs w:val="22"/>
              </w:rPr>
              <w:t xml:space="preserve">The sharp pre/post-flood discontinuity in reign lengths is not a problem for the </w:t>
            </w:r>
            <w:proofErr w:type="spellStart"/>
            <w:r>
              <w:rPr>
                <w:i/>
                <w:iCs/>
                <w:color w:val="333333"/>
                <w:sz w:val="22"/>
                <w:szCs w:val="22"/>
              </w:rPr>
              <w:t>sar</w:t>
            </w:r>
            <w:proofErr w:type="spellEnd"/>
            <w:r>
              <w:rPr>
                <w:i/>
                <w:iCs/>
                <w:color w:val="333333"/>
                <w:sz w:val="22"/>
                <w:szCs w:val="22"/>
              </w:rPr>
              <w:t>-correction hypothesis — it is confirmatory evidence for it. If the pre-flood section had been composed by the same scribal tradition as the post-flood section, consistent inflation patterns would be expected throughout. The discontinuity at the flood boundary is the textual fingerprint of Jacobsen's (1939) later-addition finding: two documents with different origins, different source materials, and different encoding conventions, joined at the flood as a narrative seam. The asymmetry that has puzzled scholarship for a century is, on this reading, the primary structural evidence that the pre-flood section requires a different corrective method than the post-flood section.</w:t>
            </w:r>
          </w:p>
        </w:tc>
      </w:tr>
    </w:tbl>
    <w:p w14:paraId="1B9C4306" w14:textId="77777777" w:rsidR="00433D68" w:rsidRDefault="00433D68">
      <w:pPr>
        <w:spacing w:after="200"/>
      </w:pPr>
    </w:p>
    <w:p w14:paraId="54C4070F" w14:textId="77777777" w:rsidR="00433D68" w:rsidRDefault="00000000">
      <w:pPr>
        <w:pStyle w:val="Heading1"/>
      </w:pPr>
      <w:r>
        <w:t>8. DSSM Analysis</w:t>
      </w:r>
    </w:p>
    <w:p w14:paraId="7F4FA808" w14:textId="77777777" w:rsidR="00433D68" w:rsidRDefault="00000000">
      <w:pPr>
        <w:pStyle w:val="Heading2"/>
      </w:pPr>
      <w:r>
        <w:t>8.1 The SKL as Stage 3–4 Threshold Artifact</w:t>
      </w:r>
    </w:p>
    <w:p w14:paraId="2DEE3617" w14:textId="77777777" w:rsidR="00433D68" w:rsidRDefault="00000000">
      <w:pPr>
        <w:spacing w:after="180" w:line="284" w:lineRule="auto"/>
        <w:jc w:val="both"/>
      </w:pPr>
      <w:r>
        <w:rPr>
          <w:color w:val="000000"/>
        </w:rPr>
        <w:t xml:space="preserve">The Deep Symbolic Systems Model (DSSM; Vondoom, 2025) identifies four stages of symbolic development: Stage 1 (Embodied Symbolic Familiarity), Stage 2 (Ritualized Repetition and Oral Transmission), Stage 3 (Material Amplification and Externalization), and Stage 4 (Cognitive Offloading and Institutional Emergence). The threshold between Stages 3 and 4 is marked by the emergence of writing as an administrative storage technology — precisely the threshold the SKL's composition marks. The DSSM Field Companion Protocol (FCP; Vondoom, 2026d) scores six observable criteria — Mnemonic Architectures, Symbolic Stabilization, Externalized Cognition, Symbolic Regulation, Distributed Symbolic Authority, and Portable Symbolic Anchors — each on a 0–2 scale via </w:t>
      </w:r>
      <w:proofErr w:type="gramStart"/>
      <w:r>
        <w:rPr>
          <w:color w:val="000000"/>
        </w:rPr>
        <w:t>min(</w:t>
      </w:r>
      <w:proofErr w:type="gramEnd"/>
      <w:r>
        <w:rPr>
          <w:color w:val="000000"/>
        </w:rPr>
        <w:t>Evidence Strength, Symbolic Specificity), producing a maximum total of 12. Saturation requires a total score of ≥7 out of 12 with no criterion at zero; a zero in any single criterion indicates a structural absence that prevents full saturation classification regardless of the total (Vondoom, 2026d, Section 6.2).</w:t>
      </w:r>
    </w:p>
    <w:p w14:paraId="269DDB83" w14:textId="77777777" w:rsidR="00433D68" w:rsidRDefault="00000000">
      <w:pPr>
        <w:spacing w:after="180" w:line="284" w:lineRule="auto"/>
        <w:jc w:val="both"/>
      </w:pPr>
      <w:r>
        <w:rPr>
          <w:color w:val="000000"/>
        </w:rPr>
        <w:t xml:space="preserve">The SKL is a Stage 4 document: symbolic authority externalized into durable written form, capable of transmission without the physical presence of the community that generated it. But its content encodes Stage 1–2 time — the period before institutional memory existed, when symbolic authority was transmitted through oral tradition, ritual, and spatial practice. The enormous reign lengths are the written form's representation of oral time: deep, undifferentiated, ancestral authority that preceded the administrative clock. Donald (1991) identifies this as a universal feature of early writing: the first function of written institutional memory is not to record the present but to anchor authority in a past that oral tradition alone can no longer adequately stabilize. </w:t>
      </w:r>
      <w:proofErr w:type="spellStart"/>
      <w:r>
        <w:rPr>
          <w:color w:val="000000"/>
        </w:rPr>
        <w:t>Malafouris</w:t>
      </w:r>
      <w:proofErr w:type="spellEnd"/>
      <w:r>
        <w:rPr>
          <w:color w:val="000000"/>
        </w:rPr>
        <w:t xml:space="preserve"> (2013) frames the same transition in material engagement terms: writing is not a neutral recording technology but an active cognitive scaffold that restructures the symbolic systems it encodes. Connerton </w:t>
      </w:r>
      <w:r>
        <w:rPr>
          <w:color w:val="000000"/>
        </w:rPr>
        <w:lastRenderedPageBreak/>
        <w:t>(1989) establishes that commemorative ceremonies and bodily practices — the pre-literate substrate from which written institutional memory emerges — encode collective historical experience through performative repetition rather than propositional content, explaining why the transition to writing introduces distortion as well as preservation.</w:t>
      </w:r>
    </w:p>
    <w:p w14:paraId="10FAEB30" w14:textId="77777777" w:rsidR="00433D68" w:rsidRDefault="00000000">
      <w:pPr>
        <w:pStyle w:val="Heading2"/>
      </w:pPr>
      <w:r>
        <w:t>8.2 The Flood as Symbolic Rupture and Reconstruction</w:t>
      </w:r>
    </w:p>
    <w:p w14:paraId="051D4591" w14:textId="77777777" w:rsidR="00433D68" w:rsidRDefault="00000000">
      <w:pPr>
        <w:spacing w:after="180" w:line="284" w:lineRule="auto"/>
        <w:jc w:val="both"/>
      </w:pPr>
      <w:r>
        <w:rPr>
          <w:color w:val="000000"/>
        </w:rPr>
        <w:t xml:space="preserve">In DSSM terms, the flood functions as a forced Stage 3 reconstruction event. The alluvial plain flood — archaeologically attested at </w:t>
      </w:r>
      <w:proofErr w:type="spellStart"/>
      <w:r>
        <w:rPr>
          <w:color w:val="000000"/>
        </w:rPr>
        <w:t>Shuruppak</w:t>
      </w:r>
      <w:proofErr w:type="spellEnd"/>
      <w:r>
        <w:rPr>
          <w:color w:val="000000"/>
        </w:rPr>
        <w:t>, Kish, and Ur around 2900–2800 BCE (Nissen, 1988) — was catastrophic enough to function as a civilizational reset in collective memory. After such a rupture, the symbolic infrastructure of the preceding period — ritual knowledge, spatial anchors, oral transmission chains — would require reconstruction. The SKL's narrative structure encodes this: 'The flood swept over. Kingship descended from heaven again' (Jacobsen, 1939, p. 77). Institutional authority must be re-legitimized because its previous embodiment was physically disrupted.</w:t>
      </w:r>
    </w:p>
    <w:p w14:paraId="4F0276D5" w14:textId="77777777" w:rsidR="00433D68" w:rsidRDefault="00000000">
      <w:pPr>
        <w:spacing w:after="180" w:line="284" w:lineRule="auto"/>
        <w:jc w:val="both"/>
        <w:rPr>
          <w:color w:val="000000"/>
        </w:rPr>
      </w:pPr>
      <w:r>
        <w:rPr>
          <w:color w:val="000000"/>
        </w:rPr>
        <w:t>The flood myth paper (Vondoom, 2026b) establishes Egypt as the structural negative case: the Egyptian symbolic pathway — Nile as abundance, water as generative rather than catastrophic — predicts the absence of a catastrophic flood narrative, and Egypt indeed lacks one. The Egyptological consensus supports this reading: Wilkinson (2003, pp. 106–108) documents Hapi, the Nile flood deity, as an emblem of fertility, abundance, and cosmic order — the inundation celebrated as the annual renewal of life, not feared as destruction. Butzer (1976) established that the Nile's predictable annual inundation created the most stable agricultural ecology in the ancient world — a material foundation that shaped Egyptian theology from its earliest stratum. Assmann (2001, p. 34) notes that Egyptian theology systematically encoded the Nile's cycle as the manifestation of Ma'at — the ordered, beneficent cosmos — in direct contrast to the Mesopotamian conception of water as a force of chaos and annihilation. Quirke (2015) confirms that no Egyptian textual tradition preserves a narrative of world-destroying inundation comparable to the Atrahasis or Gilgamesh accounts; the closest equivalents — the Destruction of Mankind and the Book of the Heavenly Cow — involve solar, not aquatic, catastrophe. The Mesopotamian flood tradition confirms the positive prediction: an ecologically volatile alluvial plain, genuine flood events, and a symbolic system that encoded water as civilizational rupture. The SKL's flood boundary is not theological decoration. It is the historically grounded narrative encoding of an event that genuinely disrupted the symbolic transmission chains of the preceding period.</w:t>
      </w:r>
    </w:p>
    <w:p w14:paraId="45E45BE1" w14:textId="77777777" w:rsidR="002B796D" w:rsidRDefault="002B796D">
      <w:pPr>
        <w:spacing w:after="180" w:line="284" w:lineRule="auto"/>
        <w:jc w:val="both"/>
        <w:rPr>
          <w:color w:val="000000"/>
        </w:rPr>
      </w:pPr>
    </w:p>
    <w:p w14:paraId="41673B6E" w14:textId="77777777" w:rsidR="002B796D" w:rsidRDefault="002B796D">
      <w:pPr>
        <w:spacing w:after="180" w:line="284" w:lineRule="auto"/>
        <w:jc w:val="both"/>
      </w:pPr>
    </w:p>
    <w:p w14:paraId="2C95BB32" w14:textId="77777777" w:rsidR="00433D68" w:rsidRDefault="00000000">
      <w:pPr>
        <w:pStyle w:val="Heading2"/>
      </w:pPr>
      <w:r>
        <w:lastRenderedPageBreak/>
        <w:t>8.3 The SKL Within the DSSM Corpus</w:t>
      </w:r>
    </w:p>
    <w:p w14:paraId="073B43A3" w14:textId="77777777" w:rsidR="00433D68" w:rsidRDefault="00000000">
      <w:pPr>
        <w:spacing w:after="180" w:line="284" w:lineRule="auto"/>
        <w:jc w:val="both"/>
      </w:pPr>
      <w:r>
        <w:rPr>
          <w:color w:val="000000"/>
        </w:rPr>
        <w:t xml:space="preserve">The Mesopotamia paper (Vondoom, 2026a) provides the full archaeological calibration: the Ubaid temple sequence at </w:t>
      </w:r>
      <w:proofErr w:type="spellStart"/>
      <w:r>
        <w:rPr>
          <w:color w:val="000000"/>
        </w:rPr>
        <w:t>Eridu</w:t>
      </w:r>
      <w:proofErr w:type="spellEnd"/>
      <w:r>
        <w:rPr>
          <w:color w:val="000000"/>
        </w:rPr>
        <w:t xml:space="preserve"> demonstrating Stage 3 saturation before writing; cuneiform as administrative externalization of pre-existing symbolic load; and the ziggurat as scalar amplification of spatial grammar already established in Ubaid temple platforms. The SKL represents the same symbolic architecture operating in the domain of political legitimacy rather than temple </w:t>
      </w:r>
      <w:proofErr w:type="gramStart"/>
      <w:r>
        <w:rPr>
          <w:color w:val="000000"/>
        </w:rPr>
        <w:t>economics, but</w:t>
      </w:r>
      <w:proofErr w:type="gramEnd"/>
      <w:r>
        <w:rPr>
          <w:color w:val="000000"/>
        </w:rPr>
        <w:t xml:space="preserve"> drawing on identical DSSM mechanisms. Postgate (1992) establishes that Mesopotamian institutional authority and temple economics were, in the </w:t>
      </w:r>
      <w:proofErr w:type="spellStart"/>
      <w:r>
        <w:rPr>
          <w:color w:val="000000"/>
        </w:rPr>
        <w:t>Uruk</w:t>
      </w:r>
      <w:proofErr w:type="spellEnd"/>
      <w:r>
        <w:rPr>
          <w:color w:val="000000"/>
        </w:rPr>
        <w:t xml:space="preserve"> and Early Dynastic periods, structurally inseparable: administrative and symbolic functions were co-located in the same institutions, making the transition from temple record to king list a natural extension of the same externalizing impulse.</w:t>
      </w:r>
    </w:p>
    <w:p w14:paraId="079E68DC" w14:textId="77777777" w:rsidR="00433D68" w:rsidRDefault="00000000">
      <w:pPr>
        <w:spacing w:after="180" w:line="284" w:lineRule="auto"/>
        <w:jc w:val="both"/>
      </w:pPr>
      <w:r>
        <w:rPr>
          <w:color w:val="000000"/>
        </w:rPr>
        <w:t>The descent of kingship 'from heaven' after the flood (Jacobsen, 1939) is not theological decoration. It is the symbolic grammar by which a Stage 4 institution — the Ur III state — re-anchors its authority in the deep time of pre-institutional sacred legitimacy. The document performs the re-legitimization it describes. Assmann (2011, p. 63) identifies this as a foundational function of institutional memory: the past is not merely recorded but actively invoked to stabilize present authority against the entropy of political succession.</w:t>
      </w:r>
    </w:p>
    <w:p w14:paraId="63296C94" w14:textId="77777777" w:rsidR="00433D68" w:rsidRDefault="00000000">
      <w:pPr>
        <w:pStyle w:val="Heading1"/>
      </w:pPr>
      <w:r>
        <w:t>9. Archaeological Calibration</w:t>
      </w:r>
    </w:p>
    <w:p w14:paraId="47374D7F" w14:textId="77777777" w:rsidR="00433D68" w:rsidRDefault="00000000">
      <w:pPr>
        <w:spacing w:after="180" w:line="284" w:lineRule="auto"/>
        <w:jc w:val="both"/>
      </w:pPr>
      <w:r>
        <w:rPr>
          <w:color w:val="000000"/>
        </w:rPr>
        <w:t xml:space="preserve">If the </w:t>
      </w:r>
      <w:proofErr w:type="spellStart"/>
      <w:r>
        <w:rPr>
          <w:color w:val="000000"/>
        </w:rPr>
        <w:t>sar</w:t>
      </w:r>
      <w:proofErr w:type="spellEnd"/>
      <w:r>
        <w:rPr>
          <w:color w:val="000000"/>
        </w:rPr>
        <w:t>-correction produces plausible reign lengths, the next question is whether the corrected timeline can be mapped onto the known archaeological record. The total corrected pre-flood period of approximately 67 years implies that all eight pre-flood kings ruled within a window immediately preceding the flood event — or within a single generation's oral transmission range of it.</w:t>
      </w:r>
    </w:p>
    <w:p w14:paraId="2FA4D1E9" w14:textId="77777777" w:rsidR="00433D68" w:rsidRDefault="00000000">
      <w:pPr>
        <w:spacing w:after="180" w:line="284" w:lineRule="auto"/>
        <w:jc w:val="both"/>
      </w:pPr>
      <w:r>
        <w:rPr>
          <w:color w:val="000000"/>
        </w:rPr>
        <w:t xml:space="preserve">This is consistent with what the archaeological record shows for the relevant period. The flood stratum at </w:t>
      </w:r>
      <w:proofErr w:type="spellStart"/>
      <w:r>
        <w:rPr>
          <w:color w:val="000000"/>
        </w:rPr>
        <w:t>Shuruppak</w:t>
      </w:r>
      <w:proofErr w:type="spellEnd"/>
      <w:r>
        <w:rPr>
          <w:color w:val="000000"/>
        </w:rPr>
        <w:t xml:space="preserve"> is dated to approximately 2900–2800 BCE (Nissen, 1988; </w:t>
      </w:r>
      <w:proofErr w:type="spellStart"/>
      <w:r>
        <w:rPr>
          <w:color w:val="000000"/>
        </w:rPr>
        <w:t>Staubwasser</w:t>
      </w:r>
      <w:proofErr w:type="spellEnd"/>
      <w:r>
        <w:rPr>
          <w:color w:val="000000"/>
        </w:rPr>
        <w:t xml:space="preserve"> &amp; Weiss, 2006), with the same horizon archaeologically confirmed at Kish and Ur. The period immediately preceding — roughly 2970–2900 BCE — corresponds to the late Early Dynastic I period, when the city-state system was already established but before the First Dynasty of Kish emerged as the dominant post-flood power (Kuhrt, 1995). Eight rulers of the five named pre-flood cities across a 67-year window </w:t>
      </w:r>
      <w:proofErr w:type="gramStart"/>
      <w:r>
        <w:rPr>
          <w:color w:val="000000"/>
        </w:rPr>
        <w:t>is</w:t>
      </w:r>
      <w:proofErr w:type="gramEnd"/>
      <w:r>
        <w:rPr>
          <w:color w:val="000000"/>
        </w:rPr>
        <w:t xml:space="preserve"> compatible with the political fragmentation documented archaeologically for this period, during which multiple city-states competed without stable regional dominance (Van De Mieroop, 2007; Yoffee, 2005).</w:t>
      </w:r>
    </w:p>
    <w:p w14:paraId="6115AA24" w14:textId="77777777" w:rsidR="00433D68" w:rsidRDefault="00000000">
      <w:pPr>
        <w:spacing w:after="180" w:line="284" w:lineRule="auto"/>
        <w:jc w:val="both"/>
      </w:pPr>
      <w:r>
        <w:rPr>
          <w:color w:val="000000"/>
        </w:rPr>
        <w:lastRenderedPageBreak/>
        <w:t xml:space="preserve">The outer boundary established by </w:t>
      </w:r>
      <w:proofErr w:type="spellStart"/>
      <w:r>
        <w:rPr>
          <w:color w:val="000000"/>
        </w:rPr>
        <w:t>Göbekli</w:t>
      </w:r>
      <w:proofErr w:type="spellEnd"/>
      <w:r>
        <w:rPr>
          <w:color w:val="000000"/>
        </w:rPr>
        <w:t xml:space="preserve"> Tepe (Schmidt, 2010) does not constrain the SKL's timeline but contextualizes it: organized symbolic society in the region had existed for approximately 6,700 years before the pre-flood kings. The SKL does not claim to record </w:t>
      </w:r>
      <w:proofErr w:type="gramStart"/>
      <w:r>
        <w:rPr>
          <w:color w:val="000000"/>
        </w:rPr>
        <w:t>all of</w:t>
      </w:r>
      <w:proofErr w:type="gramEnd"/>
      <w:r>
        <w:rPr>
          <w:color w:val="000000"/>
        </w:rPr>
        <w:t xml:space="preserve"> that time — only the period of recognized institutionalized kingship. The </w:t>
      </w:r>
      <w:proofErr w:type="spellStart"/>
      <w:r>
        <w:rPr>
          <w:color w:val="000000"/>
        </w:rPr>
        <w:t>sar</w:t>
      </w:r>
      <w:proofErr w:type="spellEnd"/>
      <w:r>
        <w:rPr>
          <w:color w:val="000000"/>
        </w:rPr>
        <w:t xml:space="preserve">-correction places the beginning of that period in the late fourth millennium BCE, consistent with the emergence of the city-state system at </w:t>
      </w:r>
      <w:proofErr w:type="spellStart"/>
      <w:r>
        <w:rPr>
          <w:color w:val="000000"/>
        </w:rPr>
        <w:t>Uruk</w:t>
      </w:r>
      <w:proofErr w:type="spellEnd"/>
      <w:r>
        <w:rPr>
          <w:color w:val="000000"/>
        </w:rPr>
        <w:t xml:space="preserve"> (Nissen, 1988).</w:t>
      </w:r>
    </w:p>
    <w:p w14:paraId="172D0065" w14:textId="77777777" w:rsidR="00433D68" w:rsidRDefault="00000000">
      <w:pPr>
        <w:spacing w:after="180" w:line="284" w:lineRule="auto"/>
        <w:jc w:val="both"/>
      </w:pPr>
      <w:r>
        <w:rPr>
          <w:color w:val="000000"/>
        </w:rPr>
        <w:t xml:space="preserve">Two honest limits apply. First, the two reigns not precisely divisible by 3,600 — En-men-dur-ana (21,000) and </w:t>
      </w:r>
      <w:proofErr w:type="spellStart"/>
      <w:r>
        <w:rPr>
          <w:color w:val="000000"/>
        </w:rPr>
        <w:t>Ubara</w:t>
      </w:r>
      <w:proofErr w:type="spellEnd"/>
      <w:r>
        <w:rPr>
          <w:color w:val="000000"/>
        </w:rPr>
        <w:t>-Tutu (18,600) — introduce uncertainty about whether a uniform divisor is the correct correction method for all entries, or whether different encoding conventions applied to different portions of the pre-flood section. Second, the complete absence of independent attestation for any pre-flood king means the corrected figures, while historically plausible, remain unverifiable against external evidence. The argument is structural and mathematical, not documentary.</w:t>
      </w:r>
    </w:p>
    <w:p w14:paraId="6316B4C6" w14:textId="792207F6" w:rsidR="002B796D" w:rsidRDefault="00000000">
      <w:pPr>
        <w:spacing w:after="180" w:line="284" w:lineRule="auto"/>
        <w:jc w:val="both"/>
        <w:rPr>
          <w:color w:val="000000"/>
        </w:rPr>
      </w:pPr>
      <w:r>
        <w:rPr>
          <w:color w:val="000000"/>
        </w:rPr>
        <w:t xml:space="preserve">A deeper context supports the plausibility of pre-flood governance. The populations that became the Sumerians did not emerge from nowhere </w:t>
      </w:r>
      <w:proofErr w:type="gramStart"/>
      <w:r>
        <w:rPr>
          <w:color w:val="000000"/>
        </w:rPr>
        <w:t>at the moment</w:t>
      </w:r>
      <w:proofErr w:type="gramEnd"/>
      <w:r>
        <w:rPr>
          <w:color w:val="000000"/>
        </w:rPr>
        <w:t xml:space="preserve"> of first writing. Rose (2010) documents that the Persian Gulf Oasis — a fertile lowland fed by the Tigris, Euphrates, Karun, and Wadi Batin rivers — supported significant human populations through the Late Pleistocene before progressive inundation from approximately 12,500 BP forced populations northward into lower Mesopotamia. These Gulf Oasis populations arrived in Sumer carrying oral traditions of a drowned world and, critically, carrying the symbolic infrastructure that had sustained complex society in the Oasis before its submergence. DSSM analysis of the Mesopotamian corridor (Vondoom, 2026a) places Stage 3 saturation — the threshold for institutionalized governance — in the Ubaid period at approximately 5500 BCE, well before the flood stratum at </w:t>
      </w:r>
      <w:proofErr w:type="spellStart"/>
      <w:r>
        <w:rPr>
          <w:color w:val="000000"/>
        </w:rPr>
        <w:t>Shuruppak</w:t>
      </w:r>
      <w:proofErr w:type="spellEnd"/>
      <w:r>
        <w:rPr>
          <w:color w:val="000000"/>
        </w:rPr>
        <w:t xml:space="preserve">. The flood myth paper (Vondoom, 2026b) independently establishes through post-LGM sea level analysis that the Gulf Oasis populations encoding the flood tradition were not pre-civilizational refugees but </w:t>
      </w:r>
      <w:proofErr w:type="spellStart"/>
      <w:r>
        <w:rPr>
          <w:color w:val="000000"/>
        </w:rPr>
        <w:t>organised</w:t>
      </w:r>
      <w:proofErr w:type="spellEnd"/>
      <w:r>
        <w:rPr>
          <w:color w:val="000000"/>
        </w:rPr>
        <w:t xml:space="preserve"> coastal communities with developed symbolic systems, trade networks, and the kind of resource management that precedes and produces kingship. The pre-flood kings of the SKL, on this reading, are not mythological inventions imposed on a blank historical canvas. They are the oral memory of governance structures that existed in the Gulf Oasis corridor before the sea took it — transmitted northward by the same populations whose descendants built </w:t>
      </w:r>
      <w:proofErr w:type="spellStart"/>
      <w:r>
        <w:rPr>
          <w:color w:val="000000"/>
        </w:rPr>
        <w:t>Eridu</w:t>
      </w:r>
      <w:proofErr w:type="spellEnd"/>
      <w:r>
        <w:rPr>
          <w:color w:val="000000"/>
        </w:rPr>
        <w:t xml:space="preserve">, </w:t>
      </w:r>
      <w:proofErr w:type="spellStart"/>
      <w:r>
        <w:rPr>
          <w:color w:val="000000"/>
        </w:rPr>
        <w:t>Uruk</w:t>
      </w:r>
      <w:proofErr w:type="spellEnd"/>
      <w:r>
        <w:rPr>
          <w:color w:val="000000"/>
        </w:rPr>
        <w:t xml:space="preserve">, and </w:t>
      </w:r>
      <w:proofErr w:type="spellStart"/>
      <w:r>
        <w:rPr>
          <w:color w:val="000000"/>
        </w:rPr>
        <w:t>Shuruppak</w:t>
      </w:r>
      <w:proofErr w:type="spellEnd"/>
      <w:r>
        <w:rPr>
          <w:color w:val="000000"/>
        </w:rPr>
        <w:t>, and eventually wrote the memory down.</w:t>
      </w:r>
    </w:p>
    <w:p w14:paraId="56DF3B90" w14:textId="77777777" w:rsidR="002B796D" w:rsidRDefault="002B796D">
      <w:pPr>
        <w:spacing w:after="180" w:line="284" w:lineRule="auto"/>
        <w:jc w:val="both"/>
        <w:rPr>
          <w:color w:val="000000"/>
        </w:rPr>
      </w:pPr>
    </w:p>
    <w:p w14:paraId="1AABDF21" w14:textId="77777777" w:rsidR="002B796D" w:rsidRDefault="002B796D">
      <w:pPr>
        <w:spacing w:after="180" w:line="284" w:lineRule="auto"/>
        <w:jc w:val="both"/>
      </w:pPr>
    </w:p>
    <w:p w14:paraId="043FDF28" w14:textId="77777777" w:rsidR="00433D68" w:rsidRDefault="00000000">
      <w:pPr>
        <w:pStyle w:val="Heading1"/>
      </w:pPr>
      <w:r>
        <w:lastRenderedPageBreak/>
        <w:t>10. Implications</w:t>
      </w:r>
    </w:p>
    <w:p w14:paraId="2160A6C6" w14:textId="77777777" w:rsidR="00433D68" w:rsidRDefault="00000000">
      <w:pPr>
        <w:spacing w:after="180" w:line="284" w:lineRule="auto"/>
        <w:jc w:val="both"/>
      </w:pPr>
      <w:r>
        <w:rPr>
          <w:color w:val="000000"/>
        </w:rPr>
        <w:t>The argument developed in this paper has implications beyond the SKL itself. First, it proposes a general analytical approach to inflated reign lengths in ancient king lists: treat them as encoding problems, not as mythological expressions to be dismissed or literalized. The encoding conventions of the scribal culture that produced the document are recoverable through textual criticism (Jacobsen, 1939) and mathematical analysis (Friberg, 1984</w:t>
      </w:r>
      <w:proofErr w:type="gramStart"/>
      <w:r>
        <w:rPr>
          <w:color w:val="000000"/>
        </w:rPr>
        <w:t>), and</w:t>
      </w:r>
      <w:proofErr w:type="gramEnd"/>
      <w:r>
        <w:rPr>
          <w:color w:val="000000"/>
        </w:rPr>
        <w:t xml:space="preserve"> applying them to the data may yield historically plausible results.</w:t>
      </w:r>
    </w:p>
    <w:p w14:paraId="13EAB7F9" w14:textId="77777777" w:rsidR="00433D68" w:rsidRDefault="00000000">
      <w:pPr>
        <w:spacing w:after="180" w:line="284" w:lineRule="auto"/>
        <w:jc w:val="both"/>
      </w:pPr>
      <w:r>
        <w:rPr>
          <w:color w:val="000000"/>
        </w:rPr>
        <w:t>Second, it reinforces Jacobsen's (1939) under-emphasized finding about compositional discontinuity. The antediluvian section's status as a later addition is not merely a technical detail of textual criticism — it is the structural explanation for the most puzzling feature of the SKL. Future scholarship on king lists with inflated reigns would benefit from applying compositional analysis before interpretive analysis: the question of who wrote a section, from what sources, and when, is prior to the question of what the section means. Hallo (1963) demonstrated this method in his analysis of SKL variants, showing that textual archaeology — tracing the manuscript genealogy — consistently precedes reliable historical interpretation.</w:t>
      </w:r>
    </w:p>
    <w:p w14:paraId="2EA08E38" w14:textId="77777777" w:rsidR="00433D68" w:rsidRDefault="00000000">
      <w:pPr>
        <w:spacing w:after="180" w:line="284" w:lineRule="auto"/>
        <w:jc w:val="both"/>
      </w:pPr>
      <w:r>
        <w:rPr>
          <w:color w:val="000000"/>
        </w:rPr>
        <w:t>Third, the DSSM framing offers a resolution to the apparent paradox of a political propaganda document that also encodes historical data. In DSSM terms, these functions are not contradictory. Stage 4 symbolic legitimacy documents routinely embed real institutional memory within mythological frameworks, not despite their political function but as a requirement of it (Assmann, 2011; Donald, 1991). Authority grounded only in myth is less stable than authority grounded in myth plus recoverable history. The SKL's scribes, consciously or not, produced a document whose historical content survives the distortions introduced by its legitimizing function.</w:t>
      </w:r>
    </w:p>
    <w:p w14:paraId="607CCE1D" w14:textId="77777777" w:rsidR="00433D68" w:rsidRDefault="00000000">
      <w:pPr>
        <w:spacing w:after="180" w:line="284" w:lineRule="auto"/>
        <w:jc w:val="both"/>
        <w:rPr>
          <w:color w:val="000000"/>
        </w:rPr>
      </w:pPr>
      <w:r>
        <w:rPr>
          <w:color w:val="000000"/>
        </w:rPr>
        <w:t>Finally, the SKL's position within the world's first multistate system deserves more analytical attention than it typically receives. The simultaneous emergence of comparable legitimacy documents in Egypt and of comparable symbolic complexity in the Indus Valley and early China (Trigger, 2003; Vondoom, 2026a) suggests that Stage 4 institutional memory — written symbolic legitimacy — represents a convergent solution to a shared coordination problem: how does a complex polity maintain authority across generations without continuous divine intervention? The answer, across every early civilization we can document, is the same: write the authority down.</w:t>
      </w:r>
    </w:p>
    <w:p w14:paraId="45B74219" w14:textId="77777777" w:rsidR="002B796D" w:rsidRDefault="002B796D">
      <w:pPr>
        <w:spacing w:after="180" w:line="284" w:lineRule="auto"/>
        <w:jc w:val="both"/>
        <w:rPr>
          <w:color w:val="000000"/>
        </w:rPr>
      </w:pPr>
    </w:p>
    <w:p w14:paraId="2F6C8200" w14:textId="77777777" w:rsidR="002B796D" w:rsidRDefault="002B796D">
      <w:pPr>
        <w:spacing w:after="180" w:line="284" w:lineRule="auto"/>
        <w:jc w:val="both"/>
      </w:pPr>
    </w:p>
    <w:p w14:paraId="2EFC0B39" w14:textId="77777777" w:rsidR="00433D68" w:rsidRDefault="00000000">
      <w:pPr>
        <w:pStyle w:val="Heading1"/>
      </w:pPr>
      <w:r>
        <w:lastRenderedPageBreak/>
        <w:t>11. Conclusion</w:t>
      </w:r>
    </w:p>
    <w:p w14:paraId="164757A3" w14:textId="77777777" w:rsidR="00433D68" w:rsidRDefault="00000000">
      <w:pPr>
        <w:spacing w:after="180" w:line="284" w:lineRule="auto"/>
        <w:jc w:val="both"/>
      </w:pPr>
      <w:r>
        <w:rPr>
          <w:color w:val="000000"/>
        </w:rPr>
        <w:t xml:space="preserve">This paper has argued that the Sumerian Kings List's pre-flood reign lengths are not mythological invention but distorted historical data recoverable through three converging lines of analysis. Jacobsen's (1939) textual evidence establishes that the antediluvian section is a later scribal addition, composed from oral and literary material using different formulaic conventions than the original postdiluvian document (pp. 55–58). Vincente (1995) and Glassner (2004) corroborate this finding through independent manuscript analysis. The mathematical signature — all but two reigns expressed as exact multiples of 3,600 (Friberg, 1984) — identifies the </w:t>
      </w:r>
      <w:proofErr w:type="spellStart"/>
      <w:r>
        <w:rPr>
          <w:color w:val="000000"/>
        </w:rPr>
        <w:t>sar</w:t>
      </w:r>
      <w:proofErr w:type="spellEnd"/>
      <w:r>
        <w:rPr>
          <w:color w:val="000000"/>
        </w:rPr>
        <w:t xml:space="preserve"> as the encoding unit, and dividing by one </w:t>
      </w:r>
      <w:proofErr w:type="spellStart"/>
      <w:r>
        <w:rPr>
          <w:color w:val="000000"/>
        </w:rPr>
        <w:t>sar</w:t>
      </w:r>
      <w:proofErr w:type="spellEnd"/>
      <w:r>
        <w:rPr>
          <w:color w:val="000000"/>
        </w:rPr>
        <w:t xml:space="preserve"> produces reign lengths of 8 to 12 years, consistent with early city-state governance. The dynasty compression hypothesis, grounded in the Egyptian parallel and in oral transmission theory (Ong, 1982; Henrich, 2016; Assmann, 2011), explains why individual names may encode dynastic periods rather than single individuals. George (2003) documents precisely this process in the Epic of Gilgamesh: a historical king of </w:t>
      </w:r>
      <w:proofErr w:type="spellStart"/>
      <w:r>
        <w:rPr>
          <w:color w:val="000000"/>
        </w:rPr>
        <w:t>Uruk</w:t>
      </w:r>
      <w:proofErr w:type="spellEnd"/>
      <w:r>
        <w:rPr>
          <w:color w:val="000000"/>
        </w:rPr>
        <w:t xml:space="preserve"> whose deeds accumulated legendary accretions across centuries of oral circulation before the Standard Babylonian version fixed them in writing — the same oral-compression mechanism proposed here for the SKL's pre-flood kings.</w:t>
      </w:r>
    </w:p>
    <w:p w14:paraId="49F9B818" w14:textId="77777777" w:rsidR="00433D68" w:rsidRDefault="00000000">
      <w:pPr>
        <w:spacing w:after="180" w:line="284" w:lineRule="auto"/>
        <w:jc w:val="both"/>
      </w:pPr>
      <w:r>
        <w:rPr>
          <w:color w:val="000000"/>
        </w:rPr>
        <w:t>The DSSM analysis (Vondoom, 2025; 2026a) positions the SKL as a Stage 3–4 threshold artifact: a document that encodes Stage 1–2 oral time in the grammar of Stage 4 institutional writing. The flood functions as a symbolic rupture requiring legitimacy reconstruction (Vondoom, 2026b), and the SKL's structure performs that reconstruction by anchoring post-flood institutional authority in a pre-institutional sacred past. The asymmetry in reign lengths across the flood boundary — far from being a puzzle — is the structural fingerprint of two documents with different compositional origins, joined by a scribe who understood that legitimacy requires deep time.</w:t>
      </w:r>
    </w:p>
    <w:p w14:paraId="0C184D2F" w14:textId="77777777" w:rsidR="00433D68" w:rsidRDefault="00000000">
      <w:pPr>
        <w:spacing w:after="180" w:line="284" w:lineRule="auto"/>
        <w:jc w:val="both"/>
      </w:pPr>
      <w:r>
        <w:rPr>
          <w:color w:val="000000"/>
        </w:rPr>
        <w:t xml:space="preserve">What the SKL preserves, beneath its distortions, is a memory of the world's first city-state system: eight rulers, five cities, a period of perhaps 67 years, and a catastrophic flood that ended it. That the memory was encoded in sacred numbers, transmitted through centuries of oral tradition, and eventually grafted onto a political legitimacy document by a scribe updating an older text does not make it less historical. It makes it more human. The rulers it names governed the descendants of populations who had been building symbolic systems, trade networks, and governance structures in the Persian Gulf Oasis for millennia before the sea took their world (Rose, 2010; Vondoom, 2026b). The flood did not end </w:t>
      </w:r>
      <w:proofErr w:type="spellStart"/>
      <w:r>
        <w:rPr>
          <w:color w:val="000000"/>
        </w:rPr>
        <w:t>civilisation</w:t>
      </w:r>
      <w:proofErr w:type="spellEnd"/>
      <w:r>
        <w:rPr>
          <w:color w:val="000000"/>
        </w:rPr>
        <w:t>. It relocated it.</w:t>
      </w:r>
    </w:p>
    <w:p w14:paraId="1B55BD19" w14:textId="77777777" w:rsidR="00433D68" w:rsidRDefault="00433D68">
      <w:pPr>
        <w:pBdr>
          <w:bottom w:val="single" w:sz="4" w:space="1" w:color="2E5394"/>
        </w:pBdr>
        <w:spacing w:before="240" w:after="240"/>
      </w:pPr>
    </w:p>
    <w:p w14:paraId="43442453" w14:textId="77777777" w:rsidR="00433D68" w:rsidRDefault="00000000">
      <w:pPr>
        <w:pStyle w:val="Heading1"/>
      </w:pPr>
      <w:r>
        <w:lastRenderedPageBreak/>
        <w:t>Sustainable Development Goals (SDG) Alignment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433D68" w14:paraId="48C7251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8325F7E" w14:textId="77777777" w:rsidR="00433D68" w:rsidRDefault="00000000">
            <w:r>
              <w:rPr>
                <w:b/>
                <w:bCs/>
                <w:color w:val="FFFFFF"/>
                <w:sz w:val="20"/>
                <w:szCs w:val="20"/>
              </w:rPr>
              <w:t>SDG</w:t>
            </w:r>
          </w:p>
        </w:tc>
        <w:tc>
          <w:tcPr>
            <w:tcW w:w="69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F86285C" w14:textId="77777777" w:rsidR="00433D68" w:rsidRDefault="00000000">
            <w:r>
              <w:rPr>
                <w:b/>
                <w:bCs/>
                <w:color w:val="FFFFFF"/>
                <w:sz w:val="20"/>
                <w:szCs w:val="20"/>
              </w:rPr>
              <w:t>Relevance</w:t>
            </w:r>
          </w:p>
        </w:tc>
      </w:tr>
      <w:tr w:rsidR="00433D68" w14:paraId="19A4BB4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E7C59E" w14:textId="77777777" w:rsidR="00433D68" w:rsidRDefault="00000000">
            <w:r>
              <w:rPr>
                <w:b/>
                <w:bCs/>
                <w:color w:val="000000"/>
                <w:sz w:val="20"/>
                <w:szCs w:val="20"/>
              </w:rPr>
              <w:t>SDG 4 — Quality Education</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951072" w14:textId="77777777" w:rsidR="00433D68" w:rsidRDefault="00000000">
            <w:r>
              <w:rPr>
                <w:color w:val="000000"/>
                <w:sz w:val="20"/>
                <w:szCs w:val="20"/>
              </w:rPr>
              <w:t>Advances rigorous, evidence-based engagement with ancient history, proposing analytical methods that challenge both dismissive and literalist readings of ancient numerical records.</w:t>
            </w:r>
          </w:p>
        </w:tc>
      </w:tr>
      <w:tr w:rsidR="00433D68" w14:paraId="0B96252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B19923" w14:textId="77777777" w:rsidR="00433D68" w:rsidRDefault="00000000">
            <w:r>
              <w:rPr>
                <w:b/>
                <w:bCs/>
                <w:color w:val="000000"/>
                <w:sz w:val="20"/>
                <w:szCs w:val="20"/>
              </w:rPr>
              <w:t>SDG 11 — Sustainable Cities and Communities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4CC7B4" w14:textId="77777777" w:rsidR="00433D68" w:rsidRDefault="00000000">
            <w:r>
              <w:rPr>
                <w:color w:val="000000"/>
                <w:sz w:val="20"/>
                <w:szCs w:val="20"/>
              </w:rPr>
              <w:t>Recovers the historical memory of the world's earliest urban system — the Sumerian city-states — contextualizing contemporary urbanism within deep civilizational roots.</w:t>
            </w:r>
          </w:p>
        </w:tc>
      </w:tr>
      <w:tr w:rsidR="00433D68" w14:paraId="35C7BD6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A1B0336" w14:textId="77777777" w:rsidR="00433D68" w:rsidRDefault="00000000">
            <w:r>
              <w:rPr>
                <w:b/>
                <w:bCs/>
                <w:color w:val="000000"/>
                <w:sz w:val="20"/>
                <w:szCs w:val="20"/>
              </w:rPr>
              <w:t>SDG 16 — Peace, Justice and Strong Institutions</w:t>
            </w:r>
          </w:p>
        </w:tc>
        <w:tc>
          <w:tcPr>
            <w:tcW w:w="6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56E624" w14:textId="77777777" w:rsidR="00433D68" w:rsidRDefault="00000000">
            <w:r>
              <w:rPr>
                <w:color w:val="000000"/>
                <w:sz w:val="20"/>
                <w:szCs w:val="20"/>
              </w:rPr>
              <w:t>Analyzes how ancient societies constructed and legitimized institutional authority through symbolic documents, directly relevant to understanding the symbolic foundations of durable governance.</w:t>
            </w:r>
          </w:p>
        </w:tc>
      </w:tr>
      <w:tr w:rsidR="00433D68" w14:paraId="3A27FA3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BA1FD0" w14:textId="77777777" w:rsidR="00433D68" w:rsidRDefault="00000000">
            <w:r>
              <w:rPr>
                <w:b/>
                <w:bCs/>
                <w:color w:val="000000"/>
                <w:sz w:val="20"/>
                <w:szCs w:val="20"/>
              </w:rPr>
              <w:t>SDG 17 — Partnerships for the Goals</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635104" w14:textId="77777777" w:rsidR="00433D68" w:rsidRDefault="00000000">
            <w:r>
              <w:rPr>
                <w:color w:val="000000"/>
                <w:sz w:val="20"/>
                <w:szCs w:val="20"/>
              </w:rPr>
              <w:t>Exemplifies cross-disciplinary synthesis across cognitive archaeology, mathematics, textual criticism, and political theory, modeling collaborative analytical approaches to shared scholarly problems.</w:t>
            </w:r>
          </w:p>
        </w:tc>
      </w:tr>
    </w:tbl>
    <w:p w14:paraId="2AB7022C" w14:textId="77777777" w:rsidR="00433D68" w:rsidRDefault="00433D68">
      <w:pPr>
        <w:spacing w:after="300"/>
      </w:pPr>
    </w:p>
    <w:p w14:paraId="49DB24EE" w14:textId="77777777" w:rsidR="00433D68" w:rsidRDefault="00000000">
      <w:pPr>
        <w:pStyle w:val="Heading1"/>
      </w:pPr>
      <w:r>
        <w:t>References</w:t>
      </w:r>
    </w:p>
    <w:p w14:paraId="77249B38" w14:textId="77777777" w:rsidR="00433D68" w:rsidRDefault="00000000">
      <w:pPr>
        <w:pStyle w:val="Heading2"/>
      </w:pPr>
      <w:r>
        <w:t>Primary Source</w:t>
      </w:r>
    </w:p>
    <w:p w14:paraId="5263AE9A" w14:textId="77777777" w:rsidR="00433D68" w:rsidRDefault="00000000">
      <w:pPr>
        <w:spacing w:after="180" w:line="284" w:lineRule="auto"/>
        <w:jc w:val="both"/>
      </w:pPr>
      <w:r>
        <w:rPr>
          <w:color w:val="000000"/>
        </w:rPr>
        <w:t xml:space="preserve">Jacobsen, T. (1939). The Sumerian King List. </w:t>
      </w:r>
      <w:proofErr w:type="spellStart"/>
      <w:r>
        <w:rPr>
          <w:color w:val="000000"/>
        </w:rPr>
        <w:t>Assyriological</w:t>
      </w:r>
      <w:proofErr w:type="spellEnd"/>
      <w:r>
        <w:rPr>
          <w:color w:val="000000"/>
        </w:rPr>
        <w:t xml:space="preserve"> Studies 11. Oriental Institute, University of Chicago.</w:t>
      </w:r>
    </w:p>
    <w:p w14:paraId="552E1C24" w14:textId="77777777" w:rsidR="00433D68" w:rsidRDefault="00000000">
      <w:pPr>
        <w:pStyle w:val="Heading2"/>
      </w:pPr>
      <w:r>
        <w:t>Mesopotamian Archaeology and History</w:t>
      </w:r>
    </w:p>
    <w:p w14:paraId="64FA74E1" w14:textId="77777777" w:rsidR="00433D68" w:rsidRDefault="00000000">
      <w:pPr>
        <w:spacing w:after="180" w:line="284" w:lineRule="auto"/>
        <w:jc w:val="both"/>
      </w:pPr>
      <w:r>
        <w:rPr>
          <w:color w:val="000000"/>
        </w:rPr>
        <w:t>Crawford, H. (2004). Sumer and the Sumerians (2nd ed.). Cambridge University Press.</w:t>
      </w:r>
    </w:p>
    <w:p w14:paraId="7762D9D7" w14:textId="77777777" w:rsidR="00433D68" w:rsidRDefault="00000000">
      <w:pPr>
        <w:spacing w:after="180" w:line="284" w:lineRule="auto"/>
        <w:jc w:val="both"/>
      </w:pPr>
      <w:r>
        <w:rPr>
          <w:color w:val="000000"/>
        </w:rPr>
        <w:t>Glassner, J.-J. (2004). Mesopotamian Chronicles. Society of Biblical Literature.</w:t>
      </w:r>
    </w:p>
    <w:p w14:paraId="264C01D8" w14:textId="77777777" w:rsidR="00433D68" w:rsidRDefault="00000000">
      <w:pPr>
        <w:spacing w:after="180" w:line="284" w:lineRule="auto"/>
        <w:jc w:val="both"/>
      </w:pPr>
      <w:r>
        <w:rPr>
          <w:color w:val="000000"/>
        </w:rPr>
        <w:t>Kemp, B. (2006). Ancient Egypt: Anatomy of a Civilization (2nd ed.). Routledge.</w:t>
      </w:r>
    </w:p>
    <w:p w14:paraId="4CEF9528" w14:textId="77777777" w:rsidR="00433D68" w:rsidRDefault="00000000">
      <w:pPr>
        <w:spacing w:after="180" w:line="284" w:lineRule="auto"/>
        <w:jc w:val="both"/>
      </w:pPr>
      <w:r>
        <w:rPr>
          <w:color w:val="000000"/>
        </w:rPr>
        <w:t>Kenoyer, J.M. (1998). Ancient Cities of the Indus Valley Civilization. Oxford University Press.</w:t>
      </w:r>
    </w:p>
    <w:p w14:paraId="1E3A09A2" w14:textId="77777777" w:rsidR="00433D68" w:rsidRDefault="00000000">
      <w:pPr>
        <w:spacing w:after="180" w:line="284" w:lineRule="auto"/>
        <w:jc w:val="both"/>
      </w:pPr>
      <w:r>
        <w:rPr>
          <w:color w:val="000000"/>
        </w:rPr>
        <w:t>Kuhrt, A. (1995). The Ancient Near East c. 3000–330 BC (2 vols.). Routledge.</w:t>
      </w:r>
    </w:p>
    <w:p w14:paraId="3390471F" w14:textId="77777777" w:rsidR="00433D68" w:rsidRDefault="00000000">
      <w:pPr>
        <w:spacing w:after="180" w:line="284" w:lineRule="auto"/>
        <w:jc w:val="both"/>
      </w:pPr>
      <w:r>
        <w:rPr>
          <w:color w:val="000000"/>
        </w:rPr>
        <w:t>Lloyd, S. (1984). The Archaeology of Mesopotamia (Rev. ed.). Thames &amp; Hudson.</w:t>
      </w:r>
    </w:p>
    <w:p w14:paraId="41053DBD" w14:textId="77777777" w:rsidR="00433D68" w:rsidRDefault="00000000">
      <w:pPr>
        <w:spacing w:after="180" w:line="284" w:lineRule="auto"/>
        <w:jc w:val="both"/>
      </w:pPr>
      <w:r>
        <w:rPr>
          <w:color w:val="000000"/>
        </w:rPr>
        <w:t>Nissen, H.J. (1988). The Early History of the Ancient Near East, 9000–2000 BC. University of Chicago Press.</w:t>
      </w:r>
    </w:p>
    <w:p w14:paraId="011E4E76" w14:textId="77777777" w:rsidR="00433D68" w:rsidRDefault="00000000">
      <w:pPr>
        <w:spacing w:after="180" w:line="284" w:lineRule="auto"/>
        <w:jc w:val="both"/>
      </w:pPr>
      <w:r>
        <w:rPr>
          <w:color w:val="000000"/>
        </w:rPr>
        <w:t>Oppenheim, A.L. (1977). Ancient Mesopotamia: Portrait of a Dead Civilization (Rev. ed.). University of Chicago Press.</w:t>
      </w:r>
    </w:p>
    <w:p w14:paraId="02B4AD55" w14:textId="77777777" w:rsidR="00433D68" w:rsidRDefault="00000000">
      <w:pPr>
        <w:spacing w:after="180" w:line="284" w:lineRule="auto"/>
        <w:jc w:val="both"/>
      </w:pPr>
      <w:r>
        <w:rPr>
          <w:color w:val="000000"/>
        </w:rPr>
        <w:lastRenderedPageBreak/>
        <w:t>Peterson, J. (2008). A New Sumerian Fragment Preserving an Account of the Antediluvian Dynasties. Aula Orientalis, 26(1), 1–11.</w:t>
      </w:r>
    </w:p>
    <w:p w14:paraId="686A4CA7" w14:textId="77777777" w:rsidR="00433D68" w:rsidRDefault="00000000">
      <w:pPr>
        <w:spacing w:after="180" w:line="284" w:lineRule="auto"/>
        <w:jc w:val="both"/>
      </w:pPr>
      <w:r>
        <w:rPr>
          <w:color w:val="000000"/>
        </w:rPr>
        <w:t xml:space="preserve">Dietrich, O., Heun, M., </w:t>
      </w:r>
      <w:proofErr w:type="spellStart"/>
      <w:r>
        <w:rPr>
          <w:color w:val="000000"/>
        </w:rPr>
        <w:t>Notroff</w:t>
      </w:r>
      <w:proofErr w:type="spellEnd"/>
      <w:r>
        <w:rPr>
          <w:color w:val="000000"/>
        </w:rPr>
        <w:t xml:space="preserve">, J., Schmidt, K., &amp; </w:t>
      </w:r>
      <w:proofErr w:type="spellStart"/>
      <w:r>
        <w:rPr>
          <w:color w:val="000000"/>
        </w:rPr>
        <w:t>Zarnkow</w:t>
      </w:r>
      <w:proofErr w:type="spellEnd"/>
      <w:r>
        <w:rPr>
          <w:color w:val="000000"/>
        </w:rPr>
        <w:t>, M. (2012). The role of cult and feasting in the emergence of Neolithic communities. Antiquity, 86(333), 674–695.</w:t>
      </w:r>
    </w:p>
    <w:p w14:paraId="510B7F8A" w14:textId="77777777" w:rsidR="00433D68" w:rsidRDefault="00000000">
      <w:pPr>
        <w:spacing w:after="180" w:line="284" w:lineRule="auto"/>
        <w:jc w:val="both"/>
      </w:pPr>
      <w:r>
        <w:rPr>
          <w:color w:val="000000"/>
        </w:rPr>
        <w:t xml:space="preserve">Schmidt, K. (2010). </w:t>
      </w:r>
      <w:proofErr w:type="spellStart"/>
      <w:r>
        <w:rPr>
          <w:color w:val="000000"/>
        </w:rPr>
        <w:t>Göbekli</w:t>
      </w:r>
      <w:proofErr w:type="spellEnd"/>
      <w:r>
        <w:rPr>
          <w:color w:val="000000"/>
        </w:rPr>
        <w:t xml:space="preserve"> Tepe: The Stone Age Sanctuaries. Documenta </w:t>
      </w:r>
      <w:proofErr w:type="spellStart"/>
      <w:r>
        <w:rPr>
          <w:color w:val="000000"/>
        </w:rPr>
        <w:t>Praehistorica</w:t>
      </w:r>
      <w:proofErr w:type="spellEnd"/>
      <w:r>
        <w:rPr>
          <w:color w:val="000000"/>
        </w:rPr>
        <w:t>, 37, 239–256.</w:t>
      </w:r>
    </w:p>
    <w:p w14:paraId="4128ACB2" w14:textId="77777777" w:rsidR="00433D68" w:rsidRDefault="00000000">
      <w:pPr>
        <w:spacing w:after="180" w:line="284" w:lineRule="auto"/>
        <w:jc w:val="both"/>
      </w:pPr>
      <w:r>
        <w:rPr>
          <w:color w:val="000000"/>
        </w:rPr>
        <w:t>Trigger, B. (2003). Understanding Early Civilizations: A Comparative Study. Cambridge University Press.</w:t>
      </w:r>
    </w:p>
    <w:p w14:paraId="50760127" w14:textId="77777777" w:rsidR="00433D68" w:rsidRDefault="00000000">
      <w:pPr>
        <w:spacing w:after="180" w:line="284" w:lineRule="auto"/>
        <w:jc w:val="both"/>
      </w:pPr>
      <w:r>
        <w:rPr>
          <w:color w:val="000000"/>
        </w:rPr>
        <w:t>Van De Mieroop, M. (2007). A History of the Ancient Near East (2nd ed.). Wiley-Blackwell.</w:t>
      </w:r>
    </w:p>
    <w:p w14:paraId="5A1722DD" w14:textId="77777777" w:rsidR="00433D68" w:rsidRDefault="00000000">
      <w:pPr>
        <w:spacing w:after="180" w:line="284" w:lineRule="auto"/>
        <w:jc w:val="both"/>
      </w:pPr>
      <w:r>
        <w:rPr>
          <w:color w:val="000000"/>
        </w:rPr>
        <w:t>George, A. (2003). The Babylonian Gilgamesh Epic: Introduction, Critical Edition and Cuneiform Texts (2 vols.). Oxford University Press.</w:t>
      </w:r>
    </w:p>
    <w:p w14:paraId="44A14F21" w14:textId="77777777" w:rsidR="00433D68" w:rsidRDefault="00000000">
      <w:pPr>
        <w:spacing w:after="180" w:line="284" w:lineRule="auto"/>
        <w:jc w:val="both"/>
      </w:pPr>
      <w:r>
        <w:rPr>
          <w:color w:val="000000"/>
        </w:rPr>
        <w:t>Liverani, M. (2004). Myth and Politics in Ancient Near Eastern Historiography. Cornell University Press.</w:t>
      </w:r>
    </w:p>
    <w:p w14:paraId="7B656C77" w14:textId="77777777" w:rsidR="00433D68" w:rsidRDefault="00000000">
      <w:pPr>
        <w:spacing w:after="180" w:line="284" w:lineRule="auto"/>
        <w:jc w:val="both"/>
      </w:pPr>
      <w:r>
        <w:rPr>
          <w:color w:val="000000"/>
        </w:rPr>
        <w:t>Michalowski, P. (1983). History as Charter: Some Observations on the Sumerian King List. Journal of the American Oriental Society, 103(1), 237–248.</w:t>
      </w:r>
    </w:p>
    <w:p w14:paraId="7CFF1C5E" w14:textId="77777777" w:rsidR="00433D68" w:rsidRDefault="00000000">
      <w:pPr>
        <w:spacing w:after="180" w:line="284" w:lineRule="auto"/>
        <w:jc w:val="both"/>
      </w:pPr>
      <w:r>
        <w:rPr>
          <w:color w:val="000000"/>
        </w:rPr>
        <w:t>Postgate, J.N. (1992). Early Mesopotamia: Society and Economy at the Dawn of History. Routledge.</w:t>
      </w:r>
    </w:p>
    <w:p w14:paraId="61F04E30" w14:textId="77777777" w:rsidR="00433D68" w:rsidRDefault="00000000">
      <w:pPr>
        <w:spacing w:after="180" w:line="284" w:lineRule="auto"/>
        <w:jc w:val="both"/>
      </w:pPr>
      <w:r>
        <w:rPr>
          <w:color w:val="000000"/>
        </w:rPr>
        <w:t xml:space="preserve">Possehl, G.L. (2002). The Indus Civilization: A Contemporary Perspective. </w:t>
      </w:r>
      <w:proofErr w:type="spellStart"/>
      <w:r>
        <w:rPr>
          <w:color w:val="000000"/>
        </w:rPr>
        <w:t>AltaMira</w:t>
      </w:r>
      <w:proofErr w:type="spellEnd"/>
      <w:r>
        <w:rPr>
          <w:color w:val="000000"/>
        </w:rPr>
        <w:t xml:space="preserve"> Press.</w:t>
      </w:r>
    </w:p>
    <w:p w14:paraId="5AF47402" w14:textId="77777777" w:rsidR="00433D68" w:rsidRDefault="00000000">
      <w:pPr>
        <w:spacing w:after="180" w:line="284" w:lineRule="auto"/>
        <w:jc w:val="both"/>
      </w:pPr>
      <w:r>
        <w:rPr>
          <w:color w:val="000000"/>
        </w:rPr>
        <w:t>Roux, G. (1992). Ancient Iraq (3rd ed.). Penguin.</w:t>
      </w:r>
    </w:p>
    <w:p w14:paraId="6F135221" w14:textId="77777777" w:rsidR="00433D68" w:rsidRDefault="00000000">
      <w:pPr>
        <w:spacing w:after="180" w:line="284" w:lineRule="auto"/>
        <w:jc w:val="both"/>
      </w:pPr>
      <w:r>
        <w:rPr>
          <w:color w:val="000000"/>
        </w:rPr>
        <w:t>Shaw, I. (ed.) (2000). The Oxford History of Ancient Egypt. Oxford University Press.</w:t>
      </w:r>
    </w:p>
    <w:p w14:paraId="5342C149" w14:textId="77777777" w:rsidR="00433D68" w:rsidRDefault="00000000">
      <w:pPr>
        <w:spacing w:after="180" w:line="284" w:lineRule="auto"/>
        <w:jc w:val="both"/>
      </w:pPr>
      <w:r>
        <w:rPr>
          <w:color w:val="000000"/>
        </w:rPr>
        <w:t>Rose, J.I. (2010). New light on human prehistory in the Arabo-Persian Gulf Oasis. Current Anthropology, 51(6), 849–883.</w:t>
      </w:r>
    </w:p>
    <w:p w14:paraId="42FDECC1" w14:textId="77777777" w:rsidR="00433D68" w:rsidRDefault="00000000">
      <w:pPr>
        <w:spacing w:after="180" w:line="284" w:lineRule="auto"/>
        <w:jc w:val="both"/>
      </w:pPr>
      <w:proofErr w:type="spellStart"/>
      <w:r>
        <w:rPr>
          <w:color w:val="000000"/>
        </w:rPr>
        <w:t>Staubwasser</w:t>
      </w:r>
      <w:proofErr w:type="spellEnd"/>
      <w:r>
        <w:rPr>
          <w:color w:val="000000"/>
        </w:rPr>
        <w:t>, M., &amp; Weiss, H. (2006). Holocene climate and cultural evolution in late prehistoric–early historic West Asia. Quaternary Research, 66(3), 372–387.</w:t>
      </w:r>
    </w:p>
    <w:p w14:paraId="22707CC9" w14:textId="77777777" w:rsidR="00433D68" w:rsidRDefault="00000000">
      <w:pPr>
        <w:spacing w:after="180" w:line="284" w:lineRule="auto"/>
        <w:jc w:val="both"/>
      </w:pPr>
      <w:r>
        <w:rPr>
          <w:color w:val="000000"/>
        </w:rPr>
        <w:t xml:space="preserve">Kim, H.L., et al. (2023). Prehistoric human migration between </w:t>
      </w:r>
      <w:proofErr w:type="spellStart"/>
      <w:r>
        <w:rPr>
          <w:color w:val="000000"/>
        </w:rPr>
        <w:t>Sundaland</w:t>
      </w:r>
      <w:proofErr w:type="spellEnd"/>
      <w:r>
        <w:rPr>
          <w:color w:val="000000"/>
        </w:rPr>
        <w:t xml:space="preserve"> and South Asia was driven by sea-level rise. Communications Biology, 6, 88. https://doi.org/10.1038/s42003-023-04510-0</w:t>
      </w:r>
    </w:p>
    <w:p w14:paraId="506FE83C" w14:textId="77777777" w:rsidR="00433D68" w:rsidRDefault="00000000">
      <w:pPr>
        <w:spacing w:after="180" w:line="284" w:lineRule="auto"/>
        <w:jc w:val="both"/>
      </w:pPr>
      <w:r>
        <w:rPr>
          <w:color w:val="000000"/>
        </w:rPr>
        <w:t xml:space="preserve">Hanebuth, T., </w:t>
      </w:r>
      <w:proofErr w:type="spellStart"/>
      <w:r>
        <w:rPr>
          <w:color w:val="000000"/>
        </w:rPr>
        <w:t>Stattegger</w:t>
      </w:r>
      <w:proofErr w:type="spellEnd"/>
      <w:r>
        <w:rPr>
          <w:color w:val="000000"/>
        </w:rPr>
        <w:t xml:space="preserve">, K., &amp; </w:t>
      </w:r>
      <w:proofErr w:type="spellStart"/>
      <w:r>
        <w:rPr>
          <w:color w:val="000000"/>
        </w:rPr>
        <w:t>Grootes</w:t>
      </w:r>
      <w:proofErr w:type="spellEnd"/>
      <w:r>
        <w:rPr>
          <w:color w:val="000000"/>
        </w:rPr>
        <w:t>, P.M. (2000). Rapid flooding of the Sunda Shelf: A late-glacial sea-level record. Science, 288(5468), 1033–1035.</w:t>
      </w:r>
    </w:p>
    <w:p w14:paraId="702D2EFE" w14:textId="77777777" w:rsidR="00433D68" w:rsidRDefault="00000000">
      <w:pPr>
        <w:spacing w:after="180" w:line="284" w:lineRule="auto"/>
        <w:jc w:val="both"/>
      </w:pPr>
      <w:r>
        <w:rPr>
          <w:color w:val="000000"/>
        </w:rPr>
        <w:lastRenderedPageBreak/>
        <w:t>Yoffee, N. (2005). Myths of the Archaic State: Evolution of the Earliest Cities, States, and Civilizations. Cambridge University Press.</w:t>
      </w:r>
    </w:p>
    <w:p w14:paraId="1070C761" w14:textId="77777777" w:rsidR="00433D68" w:rsidRDefault="00000000">
      <w:pPr>
        <w:spacing w:after="180" w:line="284" w:lineRule="auto"/>
        <w:jc w:val="both"/>
      </w:pPr>
      <w:r>
        <w:rPr>
          <w:color w:val="000000"/>
        </w:rPr>
        <w:t xml:space="preserve">Vincente, C.A. (1995). The Tall </w:t>
      </w:r>
      <w:proofErr w:type="spellStart"/>
      <w:r>
        <w:rPr>
          <w:color w:val="000000"/>
        </w:rPr>
        <w:t>Leilân</w:t>
      </w:r>
      <w:proofErr w:type="spellEnd"/>
      <w:r>
        <w:rPr>
          <w:color w:val="000000"/>
        </w:rPr>
        <w:t xml:space="preserve"> Recension of the Sumerian King List. </w:t>
      </w:r>
      <w:proofErr w:type="spellStart"/>
      <w:r>
        <w:rPr>
          <w:color w:val="000000"/>
        </w:rPr>
        <w:t>Zeitschrift</w:t>
      </w:r>
      <w:proofErr w:type="spellEnd"/>
      <w:r>
        <w:rPr>
          <w:color w:val="000000"/>
        </w:rPr>
        <w:t xml:space="preserve"> für </w:t>
      </w:r>
      <w:proofErr w:type="spellStart"/>
      <w:r>
        <w:rPr>
          <w:color w:val="000000"/>
        </w:rPr>
        <w:t>Assyriologie</w:t>
      </w:r>
      <w:proofErr w:type="spellEnd"/>
      <w:r>
        <w:rPr>
          <w:color w:val="000000"/>
        </w:rPr>
        <w:t>, 85(2), 234–270.</w:t>
      </w:r>
    </w:p>
    <w:p w14:paraId="519D8684" w14:textId="77777777" w:rsidR="00433D68" w:rsidRDefault="00000000">
      <w:pPr>
        <w:pStyle w:val="Heading2"/>
      </w:pPr>
      <w:r>
        <w:t>Fringe Literature (cited to dismiss)</w:t>
      </w:r>
    </w:p>
    <w:p w14:paraId="233E4B39" w14:textId="77777777" w:rsidR="00433D68" w:rsidRDefault="00000000">
      <w:pPr>
        <w:spacing w:after="180" w:line="284" w:lineRule="auto"/>
        <w:jc w:val="both"/>
      </w:pPr>
      <w:r>
        <w:rPr>
          <w:color w:val="000000"/>
        </w:rPr>
        <w:t>Sitchin, Z. (1976). The 12th Planet. Stein and Day.</w:t>
      </w:r>
    </w:p>
    <w:p w14:paraId="27D8984F" w14:textId="77777777" w:rsidR="00433D68" w:rsidRDefault="00000000">
      <w:pPr>
        <w:pStyle w:val="Heading2"/>
      </w:pPr>
      <w:r>
        <w:t>Textual and Mathematical Analysis</w:t>
      </w:r>
    </w:p>
    <w:p w14:paraId="3B57D6EE" w14:textId="77777777" w:rsidR="00433D68" w:rsidRDefault="00000000">
      <w:pPr>
        <w:spacing w:after="180" w:line="284" w:lineRule="auto"/>
        <w:jc w:val="both"/>
      </w:pPr>
      <w:r>
        <w:rPr>
          <w:color w:val="000000"/>
        </w:rPr>
        <w:t>Friberg, J. (1984). Numbers and measures in the earliest written records. Scientific American, 250(2), 110–118.</w:t>
      </w:r>
    </w:p>
    <w:p w14:paraId="33DD4633" w14:textId="77777777" w:rsidR="00433D68" w:rsidRDefault="00000000">
      <w:pPr>
        <w:spacing w:after="180" w:line="284" w:lineRule="auto"/>
        <w:jc w:val="both"/>
      </w:pPr>
      <w:r>
        <w:rPr>
          <w:color w:val="000000"/>
        </w:rPr>
        <w:t>Beaulieu, P.-A. (2007). The Social and Intellectual Setting of Babylonian Wisdom Literature. In R.J. Clifford (Ed.), Wisdom Literature in Mesopotamia and Israel. Society of Biblical Literature, pp. 3–19.</w:t>
      </w:r>
    </w:p>
    <w:p w14:paraId="4ADACEEB" w14:textId="77777777" w:rsidR="00433D68" w:rsidRDefault="00000000">
      <w:pPr>
        <w:spacing w:after="180" w:line="284" w:lineRule="auto"/>
        <w:jc w:val="both"/>
      </w:pPr>
      <w:r>
        <w:rPr>
          <w:color w:val="000000"/>
        </w:rPr>
        <w:t xml:space="preserve">Civil, M. (1969). The series </w:t>
      </w:r>
      <w:proofErr w:type="spellStart"/>
      <w:r>
        <w:rPr>
          <w:color w:val="000000"/>
        </w:rPr>
        <w:t>lú</w:t>
      </w:r>
      <w:proofErr w:type="spellEnd"/>
      <w:r>
        <w:rPr>
          <w:color w:val="000000"/>
        </w:rPr>
        <w:t xml:space="preserve"> = </w:t>
      </w:r>
      <w:proofErr w:type="spellStart"/>
      <w:r>
        <w:rPr>
          <w:color w:val="000000"/>
        </w:rPr>
        <w:t>ša</w:t>
      </w:r>
      <w:proofErr w:type="spellEnd"/>
      <w:r>
        <w:rPr>
          <w:color w:val="000000"/>
        </w:rPr>
        <w:t xml:space="preserve"> and Related Texts. Materials for the Sumerian Lexicon 12. Pontifical Biblical Institute.</w:t>
      </w:r>
    </w:p>
    <w:p w14:paraId="4740F6A5" w14:textId="77777777" w:rsidR="00433D68" w:rsidRDefault="00000000">
      <w:pPr>
        <w:spacing w:after="180" w:line="284" w:lineRule="auto"/>
        <w:jc w:val="both"/>
      </w:pPr>
      <w:r>
        <w:rPr>
          <w:color w:val="000000"/>
        </w:rPr>
        <w:t>Finkelstein, J.J. (1963). The Antediluvian Kings: A University of California Tablet. Journal of Cuneiform Studies, 17(2), 39–51.</w:t>
      </w:r>
    </w:p>
    <w:p w14:paraId="2242F9A6" w14:textId="77777777" w:rsidR="00433D68" w:rsidRDefault="00000000">
      <w:pPr>
        <w:spacing w:after="180" w:line="284" w:lineRule="auto"/>
        <w:jc w:val="both"/>
      </w:pPr>
      <w:r>
        <w:rPr>
          <w:color w:val="000000"/>
        </w:rPr>
        <w:t>Hallo, W.W. (1963). Beginning and End of the Sumerian King List in the Nippur Recension. Journal of Cuneiform Studies, 17(2), 52–57.</w:t>
      </w:r>
    </w:p>
    <w:p w14:paraId="7E7029BF" w14:textId="77777777" w:rsidR="00433D68" w:rsidRDefault="00000000">
      <w:pPr>
        <w:spacing w:after="180" w:line="284" w:lineRule="auto"/>
        <w:jc w:val="both"/>
      </w:pPr>
      <w:r>
        <w:rPr>
          <w:color w:val="000000"/>
        </w:rPr>
        <w:t>Robson, E. (2008). Mathematics in Ancient Iraq: A Social History. Princeton University Press.</w:t>
      </w:r>
    </w:p>
    <w:p w14:paraId="2FFE796D" w14:textId="77777777" w:rsidR="00433D68" w:rsidRDefault="00000000">
      <w:pPr>
        <w:spacing w:after="180" w:line="284" w:lineRule="auto"/>
        <w:jc w:val="both"/>
      </w:pPr>
      <w:r>
        <w:rPr>
          <w:color w:val="000000"/>
        </w:rPr>
        <w:t>López, R.E. (1998). The antediluvian patriarchs and the Sumerian King List. Journal of Creation, 12(3), 347–357.</w:t>
      </w:r>
    </w:p>
    <w:p w14:paraId="508519CC" w14:textId="77777777" w:rsidR="00433D68" w:rsidRDefault="00000000">
      <w:pPr>
        <w:spacing w:after="180" w:line="284" w:lineRule="auto"/>
        <w:jc w:val="both"/>
      </w:pPr>
      <w:r>
        <w:rPr>
          <w:color w:val="000000"/>
        </w:rPr>
        <w:t>Walton, J. (1981). The antediluvian section of the Sumerian King List and Genesis 5. Biblical Archaeologist, 44, 207–208.</w:t>
      </w:r>
    </w:p>
    <w:p w14:paraId="1D3B80BA" w14:textId="77777777" w:rsidR="00433D68" w:rsidRDefault="00000000">
      <w:pPr>
        <w:pStyle w:val="Heading2"/>
      </w:pPr>
      <w:r>
        <w:t>Egyptian Religion and Nile Theology</w:t>
      </w:r>
    </w:p>
    <w:p w14:paraId="0EC61C57" w14:textId="77777777" w:rsidR="00433D68" w:rsidRDefault="00000000">
      <w:pPr>
        <w:spacing w:after="180" w:line="284" w:lineRule="auto"/>
        <w:jc w:val="both"/>
      </w:pPr>
      <w:r>
        <w:rPr>
          <w:color w:val="000000"/>
        </w:rPr>
        <w:t>Assmann, J. (2001). The Search for God in Ancient Egypt. Cornell University Press.</w:t>
      </w:r>
    </w:p>
    <w:p w14:paraId="6139F4FE" w14:textId="77777777" w:rsidR="00433D68" w:rsidRDefault="00000000">
      <w:pPr>
        <w:spacing w:after="180" w:line="284" w:lineRule="auto"/>
        <w:jc w:val="both"/>
      </w:pPr>
      <w:r>
        <w:rPr>
          <w:color w:val="000000"/>
        </w:rPr>
        <w:t>Butzer, K.W. (1976). Early Hydraulic Civilization in Egypt: A Study in Cultural Ecology. University of Chicago Press.</w:t>
      </w:r>
    </w:p>
    <w:p w14:paraId="0778A7BE" w14:textId="77777777" w:rsidR="00433D68" w:rsidRDefault="00000000">
      <w:pPr>
        <w:spacing w:after="180" w:line="284" w:lineRule="auto"/>
        <w:jc w:val="both"/>
      </w:pPr>
      <w:r>
        <w:rPr>
          <w:color w:val="000000"/>
        </w:rPr>
        <w:t>Quirke, S. (2015). Exploring Religion in Ancient Egypt. Wiley-Blackwell.</w:t>
      </w:r>
    </w:p>
    <w:p w14:paraId="3AC7D3FA" w14:textId="77777777" w:rsidR="00433D68" w:rsidRDefault="00000000">
      <w:pPr>
        <w:spacing w:after="180" w:line="284" w:lineRule="auto"/>
        <w:jc w:val="both"/>
      </w:pPr>
      <w:proofErr w:type="spellStart"/>
      <w:r>
        <w:rPr>
          <w:color w:val="000000"/>
        </w:rPr>
        <w:lastRenderedPageBreak/>
        <w:t>Wengrow</w:t>
      </w:r>
      <w:proofErr w:type="spellEnd"/>
      <w:r>
        <w:rPr>
          <w:color w:val="000000"/>
        </w:rPr>
        <w:t>, D. (2006). The Archaeology of Early Egypt: Social Transformations in North-East Africa, 10,000–2650 BC. Cambridge University Press.</w:t>
      </w:r>
    </w:p>
    <w:p w14:paraId="1F1C0141" w14:textId="77777777" w:rsidR="00433D68" w:rsidRDefault="00000000">
      <w:pPr>
        <w:spacing w:after="180" w:line="284" w:lineRule="auto"/>
        <w:jc w:val="both"/>
      </w:pPr>
      <w:r>
        <w:rPr>
          <w:color w:val="000000"/>
        </w:rPr>
        <w:t>Wilkinson, R.H. (2003). The Complete Gods and Goddesses of Ancient Egypt. Thames &amp; Hudson.</w:t>
      </w:r>
    </w:p>
    <w:p w14:paraId="1068CF84" w14:textId="77777777" w:rsidR="00433D68" w:rsidRDefault="00000000">
      <w:pPr>
        <w:spacing w:after="180" w:line="284" w:lineRule="auto"/>
        <w:jc w:val="both"/>
      </w:pPr>
      <w:r>
        <w:rPr>
          <w:color w:val="000000"/>
        </w:rPr>
        <w:t>Wilkinson, T.A.H. (2010). The Rise and Fall of Ancient Egypt. Bloomsbury.</w:t>
      </w:r>
    </w:p>
    <w:p w14:paraId="1FEDB793" w14:textId="77777777" w:rsidR="00433D68" w:rsidRDefault="00000000">
      <w:pPr>
        <w:pStyle w:val="Heading2"/>
      </w:pPr>
      <w:r>
        <w:t>Cognitive Science and Oral Transmission Theory</w:t>
      </w:r>
    </w:p>
    <w:p w14:paraId="7DA833DA" w14:textId="77777777" w:rsidR="00433D68" w:rsidRDefault="00000000">
      <w:pPr>
        <w:spacing w:after="180" w:line="284" w:lineRule="auto"/>
        <w:jc w:val="both"/>
      </w:pPr>
      <w:r>
        <w:rPr>
          <w:color w:val="000000"/>
        </w:rPr>
        <w:t>Connerton, P. (1989). How Societies Remember. Cambridge University Press.</w:t>
      </w:r>
    </w:p>
    <w:p w14:paraId="38DA2DE7" w14:textId="77777777" w:rsidR="00433D68" w:rsidRDefault="00000000">
      <w:pPr>
        <w:spacing w:after="180" w:line="284" w:lineRule="auto"/>
        <w:jc w:val="both"/>
      </w:pPr>
      <w:r>
        <w:rPr>
          <w:color w:val="000000"/>
        </w:rPr>
        <w:t>Assmann, J. (2011). Cultural Memory and Early Civilization. Cambridge University Press.</w:t>
      </w:r>
    </w:p>
    <w:p w14:paraId="251FCC90" w14:textId="77777777" w:rsidR="00433D68" w:rsidRDefault="00000000">
      <w:pPr>
        <w:spacing w:after="180" w:line="284" w:lineRule="auto"/>
        <w:jc w:val="both"/>
      </w:pPr>
      <w:r>
        <w:rPr>
          <w:color w:val="000000"/>
        </w:rPr>
        <w:t xml:space="preserve">Whitehouse, H. (2004). Modes of Religiosity: A Cognitive Theory of Religious Transmission. </w:t>
      </w:r>
      <w:proofErr w:type="spellStart"/>
      <w:r>
        <w:rPr>
          <w:color w:val="000000"/>
        </w:rPr>
        <w:t>AltaMira</w:t>
      </w:r>
      <w:proofErr w:type="spellEnd"/>
      <w:r>
        <w:rPr>
          <w:color w:val="000000"/>
        </w:rPr>
        <w:t xml:space="preserve"> Press.</w:t>
      </w:r>
    </w:p>
    <w:p w14:paraId="4FF77B64" w14:textId="77777777" w:rsidR="00433D68" w:rsidRDefault="00000000">
      <w:pPr>
        <w:spacing w:after="180" w:line="284" w:lineRule="auto"/>
        <w:jc w:val="both"/>
      </w:pPr>
      <w:r>
        <w:rPr>
          <w:color w:val="000000"/>
        </w:rPr>
        <w:t>Donald, M. (1991). Origins of the Modern Mind: Three Stages in the Evolution of Culture and Cognition. Harvard University Press.</w:t>
      </w:r>
    </w:p>
    <w:p w14:paraId="64458551" w14:textId="77777777" w:rsidR="00433D68" w:rsidRDefault="00000000">
      <w:pPr>
        <w:spacing w:after="180" w:line="284" w:lineRule="auto"/>
        <w:jc w:val="both"/>
      </w:pPr>
      <w:r>
        <w:rPr>
          <w:color w:val="000000"/>
        </w:rPr>
        <w:t>Henrich, J. (2016). The Secret of Our Success: How Culture Is Driving Human Evolution, Domesticating Our Species, and Making Us Smarter. Princeton University Press.</w:t>
      </w:r>
    </w:p>
    <w:p w14:paraId="5A185408" w14:textId="77777777" w:rsidR="00433D68" w:rsidRDefault="00000000">
      <w:pPr>
        <w:spacing w:after="180" w:line="284" w:lineRule="auto"/>
        <w:jc w:val="both"/>
      </w:pPr>
      <w:proofErr w:type="spellStart"/>
      <w:r>
        <w:rPr>
          <w:color w:val="000000"/>
        </w:rPr>
        <w:t>Malafouris</w:t>
      </w:r>
      <w:proofErr w:type="spellEnd"/>
      <w:r>
        <w:rPr>
          <w:color w:val="000000"/>
        </w:rPr>
        <w:t>, L. (2013). How Things Shape the Mind: A Theory of Material Engagement. MIT Press.</w:t>
      </w:r>
    </w:p>
    <w:p w14:paraId="725CAE6A" w14:textId="77777777" w:rsidR="00433D68" w:rsidRDefault="00000000">
      <w:pPr>
        <w:spacing w:after="180" w:line="284" w:lineRule="auto"/>
        <w:jc w:val="both"/>
      </w:pPr>
      <w:r>
        <w:rPr>
          <w:color w:val="000000"/>
        </w:rPr>
        <w:t>Ong, W.J. (1982). Orality and Literacy: The Technologizing of the Word. Methuen.</w:t>
      </w:r>
    </w:p>
    <w:p w14:paraId="689C0DD8" w14:textId="77777777" w:rsidR="00433D68" w:rsidRDefault="00000000">
      <w:pPr>
        <w:spacing w:after="180" w:line="284" w:lineRule="auto"/>
        <w:jc w:val="both"/>
      </w:pPr>
      <w:r>
        <w:rPr>
          <w:color w:val="000000"/>
        </w:rPr>
        <w:t>Rappaport, R.A. (1999). Ritual and Religion in the Making of Humanity. Cambridge University Press.</w:t>
      </w:r>
    </w:p>
    <w:p w14:paraId="45CC028B" w14:textId="77777777" w:rsidR="00433D68" w:rsidRDefault="00000000">
      <w:pPr>
        <w:pStyle w:val="Heading2"/>
      </w:pPr>
      <w:r>
        <w:t>DSSM Corpus (Vondoom)</w:t>
      </w:r>
    </w:p>
    <w:p w14:paraId="3E8A57A0" w14:textId="77777777" w:rsidR="00433D68" w:rsidRDefault="00000000">
      <w:pPr>
        <w:spacing w:after="180" w:line="284" w:lineRule="auto"/>
        <w:jc w:val="both"/>
      </w:pPr>
      <w:r>
        <w:rPr>
          <w:color w:val="000000"/>
        </w:rPr>
        <w:t>Vondoom, A. (2025). The Deep Symbolic Systems Model (DSSM): A Cognitive-Ritual Framework for Early Monumentality and Cultural Continuity. OSF Preprints. https://doi.org/10.17605/OSF.IO/MRZFU</w:t>
      </w:r>
    </w:p>
    <w:p w14:paraId="5C5079C1" w14:textId="77777777" w:rsidR="00433D68" w:rsidRDefault="00000000">
      <w:pPr>
        <w:spacing w:after="180" w:line="284" w:lineRule="auto"/>
        <w:jc w:val="both"/>
      </w:pPr>
      <w:r>
        <w:rPr>
          <w:color w:val="000000"/>
        </w:rPr>
        <w:t xml:space="preserve">Vondoom, A. (2026a). From </w:t>
      </w:r>
      <w:proofErr w:type="spellStart"/>
      <w:r>
        <w:rPr>
          <w:color w:val="000000"/>
        </w:rPr>
        <w:t>Eridu</w:t>
      </w:r>
      <w:proofErr w:type="spellEnd"/>
      <w:r>
        <w:rPr>
          <w:color w:val="000000"/>
        </w:rPr>
        <w:t xml:space="preserve"> to Hormuz: Symbolic Architecture and Its Fracture in the Mesopotamian Corridor. </w:t>
      </w:r>
      <w:proofErr w:type="spellStart"/>
      <w:r>
        <w:rPr>
          <w:color w:val="000000"/>
        </w:rPr>
        <w:t>Zenodo</w:t>
      </w:r>
      <w:proofErr w:type="spellEnd"/>
      <w:r>
        <w:rPr>
          <w:color w:val="000000"/>
        </w:rPr>
        <w:t>. https://doi.org/10.5281/zenodo.20407216</w:t>
      </w:r>
    </w:p>
    <w:p w14:paraId="165BB8C8" w14:textId="77777777" w:rsidR="00433D68" w:rsidRDefault="00000000">
      <w:pPr>
        <w:spacing w:after="180" w:line="284" w:lineRule="auto"/>
        <w:jc w:val="both"/>
      </w:pPr>
      <w:r>
        <w:rPr>
          <w:color w:val="000000"/>
        </w:rPr>
        <w:t xml:space="preserve">Vondoom, A. (2026b). The Oldest Journalism: Post-LGM Coastal Inundation, Oral Transmission, and the Geographic Distribution of Flood Mythology. </w:t>
      </w:r>
      <w:proofErr w:type="spellStart"/>
      <w:r>
        <w:rPr>
          <w:color w:val="000000"/>
        </w:rPr>
        <w:t>Figshare</w:t>
      </w:r>
      <w:proofErr w:type="spellEnd"/>
      <w:r>
        <w:rPr>
          <w:color w:val="000000"/>
        </w:rPr>
        <w:t>. https://doi.org/10.6084/m9.figshare.32347089</w:t>
      </w:r>
    </w:p>
    <w:p w14:paraId="57CC9810" w14:textId="77777777" w:rsidR="00433D68" w:rsidRDefault="00000000">
      <w:pPr>
        <w:spacing w:after="180" w:line="284" w:lineRule="auto"/>
        <w:jc w:val="both"/>
      </w:pPr>
      <w:r>
        <w:rPr>
          <w:color w:val="000000"/>
        </w:rPr>
        <w:lastRenderedPageBreak/>
        <w:t>Vondoom, A. (2026c). Cognitive Foundations of Early Egyptian Civilization: Insights from the Deep Symbolic Systems Model (DSSM). IWNW Journal, Ain Shams University. https://doi.org/10.21608/IWNW.2026.464676.1075</w:t>
      </w:r>
    </w:p>
    <w:p w14:paraId="5EF27B9F" w14:textId="77777777" w:rsidR="00433D68" w:rsidRDefault="00000000">
      <w:pPr>
        <w:spacing w:after="180" w:line="284" w:lineRule="auto"/>
        <w:jc w:val="both"/>
      </w:pPr>
      <w:r>
        <w:rPr>
          <w:color w:val="000000"/>
        </w:rPr>
        <w:t xml:space="preserve">Vondoom, A. (2026d). Deep Symbolic Systems Model: Field Companion Protocol v1.1. </w:t>
      </w:r>
      <w:proofErr w:type="spellStart"/>
      <w:r>
        <w:rPr>
          <w:color w:val="000000"/>
        </w:rPr>
        <w:t>Figshare</w:t>
      </w:r>
      <w:proofErr w:type="spellEnd"/>
      <w:r>
        <w:rPr>
          <w:color w:val="000000"/>
        </w:rPr>
        <w:t>. https://doi.org/10.6084/m9.figshare.32229336</w:t>
      </w:r>
    </w:p>
    <w:p w14:paraId="177D6C7D" w14:textId="77777777" w:rsidR="00433D68" w:rsidRDefault="00433D68">
      <w:pPr>
        <w:spacing w:after="200"/>
      </w:pPr>
    </w:p>
    <w:p w14:paraId="41B7B633" w14:textId="77777777" w:rsidR="00433D68" w:rsidRDefault="00433D68">
      <w:pPr>
        <w:pBdr>
          <w:bottom w:val="single" w:sz="4" w:space="1" w:color="2E5394"/>
        </w:pBdr>
        <w:spacing w:before="240" w:after="240"/>
      </w:pPr>
    </w:p>
    <w:p w14:paraId="3FD5A49C" w14:textId="77777777" w:rsidR="00433D68" w:rsidRDefault="00000000">
      <w:pPr>
        <w:spacing w:after="180" w:line="284" w:lineRule="auto"/>
        <w:jc w:val="center"/>
      </w:pPr>
      <w:r>
        <w:rPr>
          <w:i/>
          <w:iCs/>
          <w:color w:val="555555"/>
          <w:sz w:val="18"/>
          <w:szCs w:val="18"/>
        </w:rPr>
        <w:t>© 2026 Anthony Vondoom. Published under Creative Commons CC BY 4.0.</w:t>
      </w:r>
    </w:p>
    <w:p w14:paraId="0218C599" w14:textId="77777777" w:rsidR="00433D68" w:rsidRDefault="00000000">
      <w:pPr>
        <w:spacing w:after="180" w:line="284" w:lineRule="auto"/>
        <w:jc w:val="center"/>
      </w:pPr>
      <w:r>
        <w:rPr>
          <w:i/>
          <w:iCs/>
          <w:color w:val="555555"/>
          <w:sz w:val="18"/>
          <w:szCs w:val="18"/>
        </w:rPr>
        <w:t>AI Disclosure: This paper was produced with the assistance of Claude Sonnet 4.6 (Anthropic). All analytical claims, theoretical framing, and scholarly judgments are the author's own.</w:t>
      </w:r>
    </w:p>
    <w:sectPr w:rsidR="00433D6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66447"/>
    <w:multiLevelType w:val="hybridMultilevel"/>
    <w:tmpl w:val="958ECF6A"/>
    <w:lvl w:ilvl="0" w:tplc="BDE460F0">
      <w:start w:val="1"/>
      <w:numFmt w:val="bullet"/>
      <w:lvlText w:val="●"/>
      <w:lvlJc w:val="left"/>
      <w:pPr>
        <w:ind w:left="720" w:hanging="360"/>
      </w:pPr>
    </w:lvl>
    <w:lvl w:ilvl="1" w:tplc="5D88C226">
      <w:start w:val="1"/>
      <w:numFmt w:val="bullet"/>
      <w:lvlText w:val="○"/>
      <w:lvlJc w:val="left"/>
      <w:pPr>
        <w:ind w:left="1440" w:hanging="360"/>
      </w:pPr>
    </w:lvl>
    <w:lvl w:ilvl="2" w:tplc="E5BACF72">
      <w:start w:val="1"/>
      <w:numFmt w:val="bullet"/>
      <w:lvlText w:val="■"/>
      <w:lvlJc w:val="left"/>
      <w:pPr>
        <w:ind w:left="2160" w:hanging="360"/>
      </w:pPr>
    </w:lvl>
    <w:lvl w:ilvl="3" w:tplc="F6BAD624">
      <w:start w:val="1"/>
      <w:numFmt w:val="bullet"/>
      <w:lvlText w:val="●"/>
      <w:lvlJc w:val="left"/>
      <w:pPr>
        <w:ind w:left="2880" w:hanging="360"/>
      </w:pPr>
    </w:lvl>
    <w:lvl w:ilvl="4" w:tplc="A67C9058">
      <w:start w:val="1"/>
      <w:numFmt w:val="bullet"/>
      <w:lvlText w:val="○"/>
      <w:lvlJc w:val="left"/>
      <w:pPr>
        <w:ind w:left="3600" w:hanging="360"/>
      </w:pPr>
    </w:lvl>
    <w:lvl w:ilvl="5" w:tplc="25EE6B56">
      <w:start w:val="1"/>
      <w:numFmt w:val="bullet"/>
      <w:lvlText w:val="■"/>
      <w:lvlJc w:val="left"/>
      <w:pPr>
        <w:ind w:left="4320" w:hanging="360"/>
      </w:pPr>
    </w:lvl>
    <w:lvl w:ilvl="6" w:tplc="26EA6254">
      <w:start w:val="1"/>
      <w:numFmt w:val="bullet"/>
      <w:lvlText w:val="●"/>
      <w:lvlJc w:val="left"/>
      <w:pPr>
        <w:ind w:left="5040" w:hanging="360"/>
      </w:pPr>
    </w:lvl>
    <w:lvl w:ilvl="7" w:tplc="CD9E9A7C">
      <w:start w:val="1"/>
      <w:numFmt w:val="bullet"/>
      <w:lvlText w:val="●"/>
      <w:lvlJc w:val="left"/>
      <w:pPr>
        <w:ind w:left="5760" w:hanging="360"/>
      </w:pPr>
    </w:lvl>
    <w:lvl w:ilvl="8" w:tplc="35AECBDE">
      <w:start w:val="1"/>
      <w:numFmt w:val="bullet"/>
      <w:lvlText w:val="●"/>
      <w:lvlJc w:val="left"/>
      <w:pPr>
        <w:ind w:left="6480" w:hanging="360"/>
      </w:pPr>
    </w:lvl>
  </w:abstractNum>
  <w:num w:numId="1" w16cid:durableId="922420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D68"/>
    <w:rsid w:val="002B796D"/>
    <w:rsid w:val="00433D68"/>
    <w:rsid w:val="00B84404"/>
    <w:rsid w:val="00E86E25"/>
    <w:rsid w:val="00F62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99C10"/>
  <w15:docId w15:val="{61701F61-E85B-F742-8851-22DAB11D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1F3864"/>
      <w:sz w:val="32"/>
      <w:szCs w:val="32"/>
    </w:rPr>
  </w:style>
  <w:style w:type="paragraph" w:styleId="Heading2">
    <w:name w:val="heading 2"/>
    <w:uiPriority w:val="9"/>
    <w:unhideWhenUsed/>
    <w:qFormat/>
    <w:pPr>
      <w:spacing w:before="320" w:after="160"/>
      <w:outlineLvl w:val="1"/>
    </w:pPr>
    <w:rPr>
      <w:b/>
      <w:bCs/>
      <w:color w:val="2E5394"/>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F62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6084/m9.figshare.324154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7422</Words>
  <Characters>44683</Characters>
  <Application>Microsoft Office Word</Application>
  <DocSecurity>0</DocSecurity>
  <Lines>827</Lines>
  <Paragraphs>304</Paragraphs>
  <ScaleCrop>false</ScaleCrop>
  <Company/>
  <LinksUpToDate>false</LinksUpToDate>
  <CharactersWithSpaces>51801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2026-05-27T12:22:00Z</dcterms:created>
  <dcterms:modified xsi:type="dcterms:W3CDTF">2026-05-27T12:23:00Z</dcterms:modified>
</cp:coreProperties>
</file>