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80"/>
      </w:pPr>
      <w:r>
        <w:t xml:space="preserve"/>
      </w:r>
    </w:p>
    <w:p>
      <w:pPr>
        <w:spacing w:after="80" w:before="80"/>
      </w:pPr>
      <w:r>
        <w:t xml:space="preserve"/>
      </w:r>
    </w:p>
    <w:p>
      <w:pPr>
        <w:spacing w:after="120" w:before="480"/>
        <w:jc w:val="center"/>
      </w:pPr>
      <w:r>
        <w:rPr>
          <w:rFonts w:ascii="Georgia" w:cs="Georgia" w:eastAsia="Georgia" w:hAnsi="Georgia"/>
          <w:b/>
          <w:bCs/>
          <w:color w:val="1A2E4A"/>
          <w:sz w:val="48"/>
          <w:szCs w:val="48"/>
        </w:rPr>
        <w:t xml:space="preserve">FROM ERIDU TO HORMUZ</w:t>
      </w:r>
    </w:p>
    <w:p>
      <w:pPr>
        <w:spacing w:after="120" w:before="0"/>
        <w:jc w:val="center"/>
      </w:pPr>
      <w:r>
        <w:rPr>
          <w:rFonts w:ascii="Georgia" w:cs="Georgia" w:eastAsia="Georgia" w:hAnsi="Georgia"/>
          <w:i/>
          <w:iCs/>
          <w:color w:val="C9A227"/>
          <w:sz w:val="28"/>
          <w:szCs w:val="28"/>
        </w:rPr>
        <w:t xml:space="preserve">Symbolic Architecture and Its Fracture in the Mesopotamian Corridor</w:t>
      </w:r>
    </w:p>
    <w:p>
      <w:pPr>
        <w:spacing w:after="60" w:before="0"/>
        <w:jc w:val="center"/>
      </w:pPr>
      <w:r>
        <w:rPr>
          <w:rFonts w:ascii="Georgia" w:cs="Georgia" w:eastAsia="Georgia" w:hAnsi="Georgia"/>
          <w:color w:val="2E5077"/>
          <w:sz w:val="22"/>
          <w:szCs w:val="22"/>
        </w:rPr>
        <w:t xml:space="preserve">A Deep Symbolic Systems Model (DSSM) Applied Analysis</w:t>
      </w:r>
    </w:p>
    <w:p>
      <w:pPr>
        <w:spacing w:after="80" w:before="80"/>
      </w:pPr>
      <w:r>
        <w:t xml:space="preserve"/>
      </w:r>
    </w:p>
    <w:p>
      <w:pPr>
        <w:pBdr>
          <w:top w:val="single" w:color="C9A227" w:sz="2"/>
          <w:bottom w:val="single" w:color="C9A227" w:sz="2"/>
        </w:pBdr>
        <w:spacing w:after="120" w:before="120"/>
        <w:jc w:val="center"/>
      </w:pPr>
      <w:r>
        <w:rPr>
          <w:rFonts w:ascii="Georgia" w:cs="Georgia" w:eastAsia="Georgia" w:hAnsi="Georgia"/>
          <w:b/>
          <w:bCs/>
          <w:color w:val="1A2E4A"/>
          <w:sz w:val="24"/>
          <w:szCs w:val="24"/>
        </w:rPr>
        <w:t xml:space="preserve">Anthony Vondoom</w:t>
      </w:r>
    </w:p>
    <w:p>
      <w:pPr>
        <w:spacing w:after="60" w:before="60"/>
        <w:jc w:val="center"/>
      </w:pPr>
      <w:r>
        <w:rPr>
          <w:rFonts w:ascii="Georgia" w:cs="Georgia" w:eastAsia="Georgia" w:hAnsi="Georgia"/>
          <w:color w:val="666666"/>
          <w:sz w:val="20"/>
          <w:szCs w:val="20"/>
        </w:rPr>
        <w:t xml:space="preserve">Independent Researcher, Cognitive Archaeology</w:t>
      </w:r>
    </w:p>
    <w:p>
      <w:pPr>
        <w:spacing w:after="60" w:before="0"/>
        <w:jc w:val="center"/>
      </w:pPr>
      <w:r>
        <w:rPr>
          <w:rFonts w:ascii="Arial" w:cs="Arial" w:eastAsia="Arial" w:hAnsi="Arial"/>
          <w:color w:val="666666"/>
          <w:sz w:val="18"/>
          <w:szCs w:val="18"/>
        </w:rPr>
        <w:t xml:space="preserve">ORCID: 0009-0003-4953-1427  |  Anthony.vondoom@outlook.com</w:t>
      </w:r>
    </w:p>
    <w:p>
      <w:pPr>
        <w:spacing w:after="60" w:before="0"/>
        <w:jc w:val="center"/>
      </w:pPr>
      <w:r>
        <w:rPr>
          <w:rFonts w:ascii="Georgia" w:cs="Georgia" w:eastAsia="Georgia" w:hAnsi="Georgia"/>
          <w:color w:val="666666"/>
          <w:sz w:val="20"/>
          <w:szCs w:val="20"/>
        </w:rPr>
        <w:t xml:space="preserve">April 2026</w:t>
      </w:r>
    </w:p>
    <w:p>
      <w:pPr>
        <w:spacing w:after="80" w:before="80"/>
      </w:pPr>
      <w:r>
        <w:t xml:space="preserve"/>
      </w:r>
    </w:p>
    <w:p>
      <w:pPr>
        <w:spacing w:after="60" w:before="60"/>
        <w:jc w:val="center"/>
      </w:pPr>
      <w:r>
        <w:rPr>
          <w:rFonts w:ascii="Arial" w:cs="Arial" w:eastAsia="Arial" w:hAnsi="Arial"/>
          <w:i/>
          <w:iCs/>
          <w:color w:val="666666"/>
          <w:sz w:val="18"/>
          <w:szCs w:val="18"/>
        </w:rPr>
        <w:t xml:space="preserve">AI-Assisted Synthesis: Claude Sonnet 4.6 (Anthropic)</w:t>
      </w:r>
    </w:p>
    <w:p>
      <w:pPr>
        <w:spacing w:after="60" w:before="60"/>
        <w:jc w:val="center"/>
      </w:pPr>
      <w:r>
        <w:rPr>
          <w:rFonts w:ascii="Arial" w:cs="Arial" w:eastAsia="Arial" w:hAnsi="Arial"/>
          <w:i/>
          <w:iCs/>
          <w:color w:val="666666"/>
          <w:sz w:val="18"/>
          <w:szCs w:val="18"/>
        </w:rPr>
        <w:t xml:space="preserve">This paper builds on the DSSM corpus (Papers 1–46, 2025–2026)</w:t>
      </w:r>
    </w:p>
    <w:p>
      <w:pPr>
        <w:spacing w:after="80" w:before="80"/>
      </w:pPr>
      <w:r>
        <w:t xml:space="preserve"/>
      </w:r>
    </w:p>
    <w:p>
      <w:r>
        <w:br w:type="page"/>
      </w:r>
    </w:p>
    <w:p>
      <w:pPr>
        <w:pStyle w:val="Heading1"/>
        <w:pBdr>
          <w:bottom w:val="single" w:color="C9A227" w:sz="4" w:space="4"/>
        </w:pBdr>
        <w:spacing w:after="180" w:before="360"/>
      </w:pPr>
      <w:r>
        <w:rPr>
          <w:rFonts w:ascii="Georgia" w:cs="Georgia" w:eastAsia="Georgia" w:hAnsi="Georgia"/>
          <w:b/>
          <w:bCs/>
          <w:color w:val="1A2E4A"/>
          <w:sz w:val="28"/>
          <w:szCs w:val="28"/>
        </w:rPr>
        <w:t xml:space="preserve">Abstract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5EFE0" w:val="clear"/>
            <w:tcMar>
              <w:top w:type="dxa" w:w="160"/>
              <w:left w:type="dxa" w:w="240"/>
              <w:bottom w:type="dxa" w:w="160"/>
              <w:right w:type="dxa" w:w="240"/>
            </w:tcMar>
          </w:tcPr>
          <w:p>
            <w:pPr>
              <w:jc w:val="both"/>
            </w:pPr>
            <w:r>
              <w:rPr>
                <w:rFonts w:ascii="Georgia" w:cs="Georgia" w:eastAsia="Georgia" w:hAnsi="Georgia"/>
                <w:i/>
                <w:iCs/>
                <w:color w:val="1A2E4A"/>
                <w:sz w:val="22"/>
                <w:szCs w:val="22"/>
              </w:rPr>
              <w:t xml:space="preserve">Mesopotamia is an analytically productive case for the Deep Symbolic Systems Model (DSSM) because it forces symbolic systems to operate under conditions of maximum stress: ecological volatility, no natural defensive barriers, no reliable flood calendar, and continuous succession of external powers. The Tigris-Euphrates corridor therefore functions as a diagnostic test of whether symbolic stabilization can occur independently of environmental regularity, political continuity, or literacy.</w:t>
            </w:r>
          </w:p>
          <w:p>
            <w:pPr>
              <w:spacing w:after="80" w:before="80"/>
            </w:pPr>
            <w:r>
              <w:t xml:space="preserve"/>
            </w:r>
          </w:p>
          <w:p>
            <w:pPr>
              <w:jc w:val="both"/>
            </w:pPr>
            <w:r>
              <w:rPr>
                <w:rFonts w:ascii="Georgia" w:cs="Georgia" w:eastAsia="Georgia" w:hAnsi="Georgia"/>
                <w:color w:val="1A2E4A"/>
                <w:sz w:val="22"/>
                <w:szCs w:val="22"/>
              </w:rPr>
              <w:t xml:space="preserve">This paper traces four structural movements. First, the deep prehistory of symbolic stabilization along the Tigris-Euphrates: from Upper Paleolithic site reuse through Neolithic village networks, Ubaid proto-urban scaling, and the late-stage externalizations of cuneiform and monumentality. Second, the DSSM's claim that writing and imperial administration are codifications of pre-existing symbolic load, not its origins. Third, the structural conditions that made the Mesopotamian corridor the generative context for major religious traditions — examined not as theological history but as a question of why portable, text-embedded symbolic systems emerged where and when they did. Fourth, the 2026 Gulf Confrontation as an instance of the same structural logic: a region where the symbolic substrate governing energy flows, monetary exchange, and geopolitical authority is under concurrent pressure, and where DSSM prescriptions identify the conditions for stabilization versus cascading fragmentation.</w:t>
            </w:r>
          </w:p>
          <w:p>
            <w:pPr>
              <w:spacing w:after="80" w:before="80"/>
            </w:pPr>
            <w:r>
              <w:t xml:space="preserve"/>
            </w:r>
          </w:p>
          <w:p>
            <w:pPr>
              <w:jc w:val="left"/>
            </w:pPr>
            <w:r>
              <w:rPr>
                <w:rFonts w:ascii="Arial" w:cs="Arial" w:eastAsia="Arial" w:hAnsi="Arial"/>
                <w:i/>
                <w:iCs/>
                <w:color w:val="666666"/>
                <w:sz w:val="18"/>
                <w:szCs w:val="18"/>
              </w:rPr>
              <w:t xml:space="preserve">Keywords: DSSM, Mesopotamia, deep symbolic stabilization, cuneiform, Ubaid, Axial Age, religious traditions as coordination systems, 2026 Gulf Confrontation, petrodollar fragmentation, protocol power, symbolic externalization</w:t>
            </w:r>
          </w:p>
        </w:tc>
      </w:tr>
    </w:tbl>
    <w:p>
      <w:pPr>
        <w:spacing w:after="80" w:before="80"/>
      </w:pPr>
      <w:r>
        <w:t xml:space="preserve"/>
      </w:r>
    </w:p>
    <w:p>
      <w:r>
        <w:br w:type="page"/>
      </w:r>
    </w:p>
    <w:p>
      <w:pPr>
        <w:pStyle w:val="Heading1"/>
        <w:pBdr>
          <w:bottom w:val="single" w:color="C9A227" w:sz="4" w:space="4"/>
        </w:pBdr>
        <w:spacing w:after="180" w:before="360"/>
      </w:pPr>
      <w:r>
        <w:rPr>
          <w:rFonts w:ascii="Georgia" w:cs="Georgia" w:eastAsia="Georgia" w:hAnsi="Georgia"/>
          <w:b/>
          <w:bCs/>
          <w:color w:val="1A2E4A"/>
          <w:sz w:val="28"/>
          <w:szCs w:val="28"/>
        </w:rPr>
        <w:t xml:space="preserve">1. Why Mesopotamia Is the Right Case</w:t>
      </w:r>
    </w:p>
    <w:p>
      <w:pPr>
        <w:spacing w:after="80" w:before="80"/>
        <w:jc w:val="both"/>
      </w:pPr>
      <w:r>
        <w:rPr>
          <w:rFonts w:ascii="Georgia" w:cs="Georgia" w:eastAsia="Georgia" w:hAnsi="Georgia"/>
          <w:sz w:val="22"/>
          <w:szCs w:val="22"/>
        </w:rPr>
        <w:t xml:space="preserve">Most civilizational histories begin with Egypt. Egypt offers a simpler analytical picture — a single dominant river with a relatively predictable flood cycle, a long territorial corridor with natural defensive barriers, and an ecological context that consistently rewarded fixed symbolic investment. Egypt is the baseline case in DSSM's comparative analysis: the context in which ecological regularity and symbolic stabilization reinforce each other most directly.</w:t>
      </w:r>
    </w:p>
    <w:p>
      <w:pPr>
        <w:spacing w:after="80" w:before="80"/>
      </w:pPr>
      <w:r>
        <w:t xml:space="preserve"/>
      </w:r>
    </w:p>
    <w:p>
      <w:pPr>
        <w:spacing w:after="80" w:before="80"/>
        <w:jc w:val="both"/>
      </w:pPr>
      <w:r>
        <w:rPr>
          <w:rFonts w:ascii="Georgia" w:cs="Georgia" w:eastAsia="Georgia" w:hAnsi="Georgia"/>
          <w:sz w:val="22"/>
          <w:szCs w:val="22"/>
        </w:rPr>
        <w:t xml:space="preserve">Mesopotamia diverges from that baseline in every analytically useful direction. Two rivers — the Tigris flooding faster and less predictably than the Nile, the Euphrates shifting course across geological time — created an agricultural environment requiring continuous adaptive response. The alluvial plain offered no natural defensive perimeters: every major political formation that arose there was eventually invaded, absorbed, and reconstituted. Wittfogel's hydraulic despotism thesis holds that the management of large-scale irrigation created the administrative preconditions for state authority (Wittfogel, 1957); environmental pressure and surplus production models similarly privilege ecological and economic drivers. These frameworks all have genuine explanatory purchase on parts of the Mesopotamian record. None accounts for what is most analytically striking: the structural continuity of symbolic forms across politically discontinuous periods, including periods in which irrigation infrastructure collapsed or was destroyed.</w:t>
      </w:r>
    </w:p>
    <w:p>
      <w:pPr>
        <w:spacing w:after="80" w:before="80"/>
      </w:pPr>
      <w:r>
        <w:t xml:space="preserve"/>
      </w:r>
    </w:p>
    <w:p>
      <w:pPr>
        <w:spacing w:after="80" w:before="80"/>
        <w:jc w:val="both"/>
      </w:pPr>
      <w:r>
        <w:rPr>
          <w:rFonts w:ascii="Georgia" w:cs="Georgia" w:eastAsia="Georgia" w:hAnsi="Georgia"/>
          <w:sz w:val="22"/>
          <w:szCs w:val="22"/>
        </w:rPr>
        <w:t xml:space="preserve">Sumerians were succeeded by Akkadians, Akkadians by Babylonians, Babylonians by Assyrians, Assyrians by Neo-Babylonians, Neo-Babylonians by Persians — and through each transition, identifiable continuities in temple architecture, administrative grammar, cosmological structure, and ritual calendars persisted. DSSM's explanation is that these continuities were carried in the symbolic substrate rather than in any political superstructure. Conquerors absorbed and reproduced existing symbolic systems because those systems were already performing coordination functions that the new administration required.</w:t>
      </w:r>
    </w:p>
    <w:p>
      <w:pPr>
        <w:spacing w:after="80" w:before="80"/>
      </w:pPr>
      <w:r>
        <w:t xml:space="preserve"/>
      </w:r>
    </w:p>
    <w:p>
      <w:pPr>
        <w:spacing w:after="80" w:before="80"/>
        <w:jc w:val="both"/>
      </w:pPr>
      <w:r>
        <w:rPr>
          <w:rFonts w:ascii="Georgia" w:cs="Georgia" w:eastAsia="Georgia" w:hAnsi="Georgia"/>
          <w:sz w:val="22"/>
          <w:szCs w:val="22"/>
        </w:rPr>
        <w:t xml:space="preserve">This paper traces that substrate from its earliest traceable formation in the Zagros foothills through to its contemporary expression in the 2026 Gulf Confrontation — a regional crisis in which the symbolic architectures governing energy flows, monetary exchange, and geopolitical authority are under concurrent and compounding pressure.</w:t>
      </w:r>
    </w:p>
    <w:p>
      <w:pPr>
        <w:spacing w:after="80" w:before="80"/>
      </w:pPr>
      <w:r>
        <w:t xml:space="preserve"/>
      </w:r>
    </w:p>
    <w:p>
      <w:pPr>
        <w:pStyle w:val="Heading1"/>
        <w:pBdr>
          <w:bottom w:val="single" w:color="C9A227" w:sz="4" w:space="4"/>
        </w:pBdr>
        <w:spacing w:after="180" w:before="360"/>
      </w:pPr>
      <w:r>
        <w:rPr>
          <w:rFonts w:ascii="Georgia" w:cs="Georgia" w:eastAsia="Georgia" w:hAnsi="Georgia"/>
          <w:b/>
          <w:bCs/>
          <w:color w:val="1A2E4A"/>
          <w:sz w:val="28"/>
          <w:szCs w:val="28"/>
        </w:rPr>
        <w:t xml:space="preserve">2. Deep Time: Symbolic Anchoring Before Agriculture (c. 50,000–10,000 BCE)</w:t>
      </w:r>
    </w:p>
    <w:p>
      <w:pPr>
        <w:pStyle w:val="Heading2"/>
        <w:spacing w:after="120" w:before="280"/>
      </w:pPr>
      <w:r>
        <w:rPr>
          <w:rFonts w:ascii="Georgia" w:cs="Georgia" w:eastAsia="Georgia" w:hAnsi="Georgia"/>
          <w:b/>
          <w:bCs/>
          <w:color w:val="2E5077"/>
          <w:sz w:val="24"/>
          <w:szCs w:val="24"/>
        </w:rPr>
        <w:t xml:space="preserve">2.1 Shanidar and Early Symbolic Behavior in the Zagros</w:t>
      </w:r>
    </w:p>
    <w:p>
      <w:pPr>
        <w:spacing w:after="80" w:before="80"/>
        <w:jc w:val="both"/>
      </w:pPr>
      <w:r>
        <w:rPr>
          <w:rFonts w:ascii="Georgia" w:cs="Georgia" w:eastAsia="Georgia" w:hAnsi="Georgia"/>
          <w:sz w:val="22"/>
          <w:szCs w:val="22"/>
        </w:rPr>
        <w:t xml:space="preserve">The earliest occupation evidence from the Mesopotamian corridor predates anatomically modern humans. Shanidar Cave, in the Zagros Mountains of modern Iraq, contains a sequence of Neanderthal burials accompanied by ochre and deliberate body positioning. Solecki's original interpretation — that flower pollen deposits indicated ritual mortuary practice — has since been contested; taphonomic re-analysis suggests the pollen may reflect burrowing rodents or wind deposition rather than intentional placement. The more conservative reading stands: deliberate body positioning and ochre use at Shanidar indicate structured mortuary behavior, though the interpretive weight placed on this evidence should be held lightly given ongoing debate.</w:t>
      </w:r>
    </w:p>
    <w:p>
      <w:pPr>
        <w:spacing w:after="80" w:before="80"/>
      </w:pPr>
      <w:r>
        <w:t xml:space="preserve"/>
      </w:r>
    </w:p>
    <w:p>
      <w:pPr>
        <w:spacing w:after="80" w:before="80"/>
        <w:jc w:val="both"/>
      </w:pPr>
      <w:r>
        <w:rPr>
          <w:rFonts w:ascii="Georgia" w:cs="Georgia" w:eastAsia="Georgia" w:hAnsi="Georgia"/>
          <w:sz w:val="22"/>
          <w:szCs w:val="22"/>
        </w:rPr>
        <w:t xml:space="preserve">DSSM does not require Neanderthal ritual complexity to match later anatomically modern human behavior. The relevant observation is more modest: the Zagros uplands show repeated, structured site use across extended time periods. From Shanidar down through Zarzi and into the foothills above the alluvial plain, groups left behind not just tools but consistent spatial patterns of deposition and reoccupation. Zarzi — a cave site in the Zagros piedmont with a documented microlithic industry spanning the late Pleistocene to early Holocene — shows toolkit maintenance consistent with repeated group reoccupation (Skinner, 1930; see also Olszewski, 1993). This is the precondition DSSM requires — not demonstrated symbolic intention, but the material signature of practice generating spatial constraint across generations.</w:t>
      </w:r>
    </w:p>
    <w:p>
      <w:pPr>
        <w:pStyle w:val="Heading2"/>
        <w:spacing w:after="120" w:before="280"/>
      </w:pPr>
      <w:r>
        <w:rPr>
          <w:rFonts w:ascii="Georgia" w:cs="Georgia" w:eastAsia="Georgia" w:hAnsi="Georgia"/>
          <w:b/>
          <w:bCs/>
          <w:color w:val="2E5077"/>
          <w:sz w:val="24"/>
          <w:szCs w:val="24"/>
        </w:rPr>
        <w:t xml:space="preserve">2.2 Epipaleolithic Aggregation</w:t>
      </w:r>
    </w:p>
    <w:p>
      <w:pPr>
        <w:spacing w:after="80" w:before="80"/>
        <w:jc w:val="both"/>
      </w:pPr>
      <w:r>
        <w:rPr>
          <w:rFonts w:ascii="Georgia" w:cs="Georgia" w:eastAsia="Georgia" w:hAnsi="Georgia"/>
          <w:sz w:val="22"/>
          <w:szCs w:val="22"/>
        </w:rPr>
        <w:t xml:space="preserve">Between roughly 12,000 and 10,000 BCE, the corridor linking the Zagros foothills to the northern alluvial plain shows intensifying seasonal aggregation. Groups that had previously ranged widely appear to have converged on predictable resource nodes — springs, river confluences, stands of wild cereal — at predictable intervals. These aggregation events are significant for DSSM not because their symbolic content can be directly recovered, but because high-density, repeated congregation produces the conditions under which symbolic grammar is reinforced and variant practices are corrected.</w:t>
      </w:r>
    </w:p>
    <w:p>
      <w:pPr>
        <w:spacing w:after="80" w:before="80"/>
      </w:pPr>
      <w:r>
        <w:t xml:space="preserve"/>
      </w:r>
    </w:p>
    <w:p>
      <w:pPr>
        <w:spacing w:after="80" w:before="80"/>
        <w:jc w:val="both"/>
      </w:pPr>
      <w:r>
        <w:rPr>
          <w:rFonts w:ascii="Georgia" w:cs="Georgia" w:eastAsia="Georgia" w:hAnsi="Georgia"/>
          <w:sz w:val="22"/>
          <w:szCs w:val="22"/>
        </w:rPr>
        <w:t xml:space="preserve">Personal ornaments recovered from sites across the Zagros-Levant corridor are consistent with exchange or movement networks spanning substantial distances, though the precise range and directionality of these networks remains a matter of inference from material similarity rather than direct evidence (Bar-Yosef &amp; Belfer-Cohen, 1989). Site reuse that embedded repeated activity in specific landscape locations is documented at Zarzi and at sites across the northern arc. The symbolic substrate of the later Mesopotamian alluvial civilizations was being established in the piedmont and foothills before sedentary agriculture began.</w:t>
      </w:r>
    </w:p>
    <w:p>
      <w:pPr>
        <w:spacing w:after="80" w:before="80"/>
      </w:pPr>
      <w:r>
        <w:t xml:space="preserve"/>
      </w:r>
    </w:p>
    <w:p>
      <w:pPr>
        <w:pStyle w:val="Heading1"/>
        <w:pBdr>
          <w:bottom w:val="single" w:color="C9A227" w:sz="4" w:space="4"/>
        </w:pBdr>
        <w:spacing w:after="180" w:before="360"/>
      </w:pPr>
      <w:r>
        <w:rPr>
          <w:rFonts w:ascii="Georgia" w:cs="Georgia" w:eastAsia="Georgia" w:hAnsi="Georgia"/>
          <w:b/>
          <w:bCs/>
          <w:color w:val="1A2E4A"/>
          <w:sz w:val="28"/>
          <w:szCs w:val="28"/>
        </w:rPr>
        <w:t xml:space="preserve">3. Neolithic Intensification: The First Villages (c. 10,000–5,500 BCE)</w:t>
      </w:r>
    </w:p>
    <w:p>
      <w:pPr>
        <w:pStyle w:val="Heading2"/>
        <w:spacing w:after="120" w:before="280"/>
      </w:pPr>
      <w:r>
        <w:rPr>
          <w:rFonts w:ascii="Georgia" w:cs="Georgia" w:eastAsia="Georgia" w:hAnsi="Georgia"/>
          <w:b/>
          <w:bCs/>
          <w:color w:val="2E5077"/>
          <w:sz w:val="24"/>
          <w:szCs w:val="24"/>
        </w:rPr>
        <w:t xml:space="preserve">3.1 Architecture as External Memory</w:t>
      </w:r>
    </w:p>
    <w:p>
      <w:pPr>
        <w:spacing w:after="80" w:before="80"/>
        <w:jc w:val="both"/>
      </w:pPr>
      <w:r>
        <w:rPr>
          <w:rFonts w:ascii="Georgia" w:cs="Georgia" w:eastAsia="Georgia" w:hAnsi="Georgia"/>
          <w:sz w:val="22"/>
          <w:szCs w:val="22"/>
        </w:rPr>
        <w:t xml:space="preserve">Tell Abu Hureyra, Mureybit, and the early villages of the northern Mesopotamian arc are conventionally framed as evidence of the agricultural transition. DSSM reframes the same material as evidence of a parallel process: the emergence of architecture as an external cognitive scaffold — a system in which spatial organization encodes and transmits social norms that previously required direct, embodied transmission.</w:t>
      </w:r>
    </w:p>
    <w:p>
      <w:pPr>
        <w:spacing w:after="80" w:before="80"/>
      </w:pPr>
      <w:r>
        <w:t xml:space="preserve"/>
      </w:r>
    </w:p>
    <w:p>
      <w:pPr>
        <w:spacing w:after="80" w:before="80"/>
        <w:jc w:val="both"/>
      </w:pPr>
      <w:r>
        <w:rPr>
          <w:rFonts w:ascii="Georgia" w:cs="Georgia" w:eastAsia="Georgia" w:hAnsi="Georgia"/>
          <w:sz w:val="22"/>
          <w:szCs w:val="22"/>
        </w:rPr>
        <w:t xml:space="preserve">When a community rebuilds a house on the foundations of the previous one — maintaining the same spatial orientation, internal organization, and depositional practices — it is not simply following habit. It is materially constraining the range of legitimate social behavior: the house encodes expectations about residence, storage, labor division, and the treatment of the dead. The cognitive infrastructure that those norms represent survives the death of any individual because it is embedded in the built environment rather than in biological memory. This is DSSM's architectural externalization mechanism: the transfer of symbolic load from intergenerationally fragile oral transmission into spatially durable constraint.</w:t>
      </w:r>
    </w:p>
    <w:p>
      <w:pPr>
        <w:spacing w:after="80" w:before="80"/>
      </w:pPr>
      <w:r>
        <w:t xml:space="preserve"/>
      </w:r>
    </w:p>
    <w:p>
      <w:pPr>
        <w:spacing w:after="80" w:before="80"/>
        <w:jc w:val="both"/>
      </w:pPr>
      <w:r>
        <w:rPr>
          <w:rFonts w:ascii="Georgia" w:cs="Georgia" w:eastAsia="Georgia" w:hAnsi="Georgia"/>
          <w:sz w:val="22"/>
          <w:szCs w:val="22"/>
        </w:rPr>
        <w:t xml:space="preserve">The Hallan Çemi, Çayönü, and Jerf el-Ahmar settlements in the northern corridor show this pattern in a specific and testable form: communal buildings — architecturally distinct from domestic structures, centrally placed, showing evidence of repeated reconstruction on the same footprint — appear in the archaeological record before evidence of surplus storage or differential wealth accumulation (Rosenberg &amp; Redding, 1998; Özdoğan &amp; Özdoğan, 1998; Stordeur et al., 2000). On DSSM's interpretation, the symbolic coordination function preceded and enabled the economic administrative function, rather than following from it.</w:t>
      </w:r>
    </w:p>
    <w:p>
      <w:pPr>
        <w:pStyle w:val="Heading2"/>
        <w:spacing w:after="120" w:before="280"/>
      </w:pPr>
      <w:r>
        <w:rPr>
          <w:rFonts w:ascii="Georgia" w:cs="Georgia" w:eastAsia="Georgia" w:hAnsi="Georgia"/>
          <w:b/>
          <w:bCs/>
          <w:color w:val="2E5077"/>
          <w:sz w:val="24"/>
          <w:szCs w:val="24"/>
        </w:rPr>
        <w:t xml:space="preserve">3.2 Hassuna, Samarra, Halaf: Cross-Media Redundancy</w:t>
      </w:r>
    </w:p>
    <w:p>
      <w:pPr>
        <w:spacing w:after="80" w:before="80"/>
        <w:jc w:val="both"/>
      </w:pPr>
      <w:r>
        <w:rPr>
          <w:rFonts w:ascii="Georgia" w:cs="Georgia" w:eastAsia="Georgia" w:hAnsi="Georgia"/>
          <w:sz w:val="22"/>
          <w:szCs w:val="22"/>
        </w:rPr>
        <w:t xml:space="preserve">Between roughly 7,000 and 5,500 BCE, elaborately decorated pottery spread rapidly across the northern Mesopotamian alluvial zone. Conventional archaeology treats this as a technological and stylistic diffusion event. DSSM's interpretation focuses on its structural significance: the same visual grammar appearing simultaneously across pottery, figurines, architectural decoration, and burial goods constitutes cross-media redundancy — the distribution of symbolic content across multiple media such that the loss of any single medium does not disrupt transmission.</w:t>
      </w:r>
    </w:p>
    <w:p>
      <w:pPr>
        <w:spacing w:after="80" w:before="80"/>
      </w:pPr>
      <w:r>
        <w:t xml:space="preserve"/>
      </w:r>
    </w:p>
    <w:p>
      <w:pPr>
        <w:spacing w:after="80" w:before="80"/>
        <w:jc w:val="both"/>
      </w:pPr>
      <w:r>
        <w:rPr>
          <w:rFonts w:ascii="Georgia" w:cs="Georgia" w:eastAsia="Georgia" w:hAnsi="Georgia"/>
          <w:sz w:val="22"/>
          <w:szCs w:val="22"/>
        </w:rPr>
        <w:t xml:space="preserve">The Samarra ceramic tradition — characterized by geometric figures and stylized animals — extends across a geographic range no single political unit controlled. The shared visual grammar is diagnostic of a distributed symbolic system, not an imperial one. The significance for DSSM is that this expansion of redundancy increases the system's resilience under demographic and ecological stress: the symbolic grammar can be recovered from any surviving medium if others are lost. By the late Halaf period, the northern Mesopotamian symbolic system meets DSSM's cross-media redundancy criterion.</w:t>
      </w:r>
    </w:p>
    <w:p>
      <w:pPr>
        <w:spacing w:after="80" w:before="80"/>
      </w:pPr>
      <w:r>
        <w:t xml:space="preserve"/>
      </w:r>
    </w:p>
    <w:tbl>
      <w:tblPr>
        <w:tblW w:type="dxa" w:w="8360"/>
        <w:tblBorders>
          <w:top w:val="single" w:color="auto" w:sz="4"/>
          <w:left w:val="single" w:color="auto" w:sz="4"/>
          <w:bottom w:val="single" w:color="auto" w:sz="4"/>
          <w:right w:val="single" w:color="auto" w:sz="4"/>
          <w:insideH w:val="single" w:color="auto" w:sz="4"/>
          <w:insideV w:val="single" w:color="auto" w:sz="4"/>
        </w:tblBorders>
      </w:tblPr>
      <w:tblGrid>
        <w:gridCol w:w="1600"/>
        <w:gridCol w:w="1700"/>
        <w:gridCol w:w="1400"/>
        <w:gridCol w:w="2300"/>
        <w:gridCol w:w="1360"/>
      </w:tblGrid>
      <w:tr>
        <w:trPr>
          <w:tblHeader/>
        </w:trPr>
        <w:tc>
          <w:tcPr>
            <w:tcW w:type="dxa" w:w="1600"/>
            <w:tcBorders>
              <w:top w:val="single" w:color="CCCCCC" w:sz="1"/>
              <w:left w:val="single" w:color="CCCCCC" w:sz="1"/>
              <w:bottom w:val="single" w:color="CCCCCC" w:sz="1"/>
              <w:right w:val="single" w:color="CCCCCC" w:sz="1"/>
            </w:tcBorders>
            <w:shd w:fill="1A2E4A"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Period</w:t>
            </w:r>
          </w:p>
        </w:tc>
        <w:tc>
          <w:tcPr>
            <w:tcW w:type="dxa" w:w="1700"/>
            <w:tcBorders>
              <w:top w:val="single" w:color="CCCCCC" w:sz="1"/>
              <w:left w:val="single" w:color="CCCCCC" w:sz="1"/>
              <w:bottom w:val="single" w:color="CCCCCC" w:sz="1"/>
              <w:right w:val="single" w:color="CCCCCC" w:sz="1"/>
            </w:tcBorders>
            <w:shd w:fill="1A2E4A"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Sites</w:t>
            </w:r>
          </w:p>
        </w:tc>
        <w:tc>
          <w:tcPr>
            <w:tcW w:type="dxa" w:w="1400"/>
            <w:tcBorders>
              <w:top w:val="single" w:color="CCCCCC" w:sz="1"/>
              <w:left w:val="single" w:color="CCCCCC" w:sz="1"/>
              <w:bottom w:val="single" w:color="CCCCCC" w:sz="1"/>
              <w:right w:val="single" w:color="CCCCCC" w:sz="1"/>
            </w:tcBorders>
            <w:shd w:fill="1A2E4A"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DSSM Stage</w:t>
            </w:r>
          </w:p>
        </w:tc>
        <w:tc>
          <w:tcPr>
            <w:tcW w:type="dxa" w:w="2300"/>
            <w:tcBorders>
              <w:top w:val="single" w:color="CCCCCC" w:sz="1"/>
              <w:left w:val="single" w:color="CCCCCC" w:sz="1"/>
              <w:bottom w:val="single" w:color="CCCCCC" w:sz="1"/>
              <w:right w:val="single" w:color="CCCCCC" w:sz="1"/>
            </w:tcBorders>
            <w:shd w:fill="1A2E4A"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Key Evidence</w:t>
            </w:r>
          </w:p>
        </w:tc>
        <w:tc>
          <w:tcPr>
            <w:tcW w:type="dxa" w:w="1360"/>
            <w:tcBorders>
              <w:top w:val="single" w:color="CCCCCC" w:sz="1"/>
              <w:left w:val="single" w:color="CCCCCC" w:sz="1"/>
              <w:bottom w:val="single" w:color="CCCCCC" w:sz="1"/>
              <w:right w:val="single" w:color="CCCCCC" w:sz="1"/>
            </w:tcBorders>
            <w:shd w:fill="1A2E4A"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Diagnostic Score</w:t>
            </w:r>
          </w:p>
        </w:tc>
      </w:tr>
      <w:tr>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sz w:val="18"/>
                <w:szCs w:val="18"/>
              </w:rPr>
              <w:t xml:space="preserve">Upper Paleolithic
50,000–12,000 BCE</w:t>
            </w:r>
          </w:p>
        </w:tc>
        <w:tc>
          <w:tcPr>
            <w:tcW w:type="dxa" w:w="17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sz w:val="18"/>
                <w:szCs w:val="18"/>
              </w:rPr>
              <w:t xml:space="preserve">Shanidar, Zarzi</w:t>
            </w:r>
          </w:p>
        </w:tc>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sz w:val="18"/>
                <w:szCs w:val="18"/>
              </w:rPr>
              <w:t xml:space="preserve">Stage 1
Embodied Familiarity</w:t>
            </w:r>
          </w:p>
        </w:tc>
        <w:tc>
          <w:tcPr>
            <w:tcW w:type="dxa" w:w="23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sz w:val="18"/>
                <w:szCs w:val="18"/>
              </w:rPr>
              <w:t xml:space="preserve">Ochre, ornaments, place reuse</w:t>
            </w:r>
          </w:p>
        </w:tc>
        <w:tc>
          <w:tcPr>
            <w:tcW w:type="dxa" w:w="1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sz w:val="18"/>
                <w:szCs w:val="18"/>
              </w:rPr>
              <w:t xml:space="preserve">4/8 — Anchoring only</w:t>
            </w:r>
          </w:p>
        </w:tc>
      </w:tr>
      <w:tr>
        <w:tc>
          <w:tcPr>
            <w:tcW w:type="dxa" w:w="1600"/>
            <w:tcBorders>
              <w:top w:val="single" w:color="CCCCCC" w:sz="1"/>
              <w:left w:val="single" w:color="CCCCCC" w:sz="1"/>
              <w:bottom w:val="single" w:color="CCCCCC" w:sz="1"/>
              <w:right w:val="single" w:color="CCCCCC" w:sz="1"/>
            </w:tcBorders>
            <w:shd w:fill="F7F3EC" w:val="clear"/>
            <w:tcMar>
              <w:top w:type="dxa" w:w="80"/>
              <w:left w:type="dxa" w:w="120"/>
              <w:bottom w:type="dxa" w:w="80"/>
              <w:right w:type="dxa" w:w="120"/>
            </w:tcMar>
          </w:tcPr>
          <w:p>
            <w:pPr>
              <w:jc w:val="left"/>
            </w:pPr>
            <w:r>
              <w:rPr>
                <w:rFonts w:ascii="Arial" w:cs="Arial" w:eastAsia="Arial" w:hAnsi="Arial"/>
                <w:sz w:val="18"/>
                <w:szCs w:val="18"/>
              </w:rPr>
              <w:t xml:space="preserve">Epipaleolithic
12,000–10,000 BCE</w:t>
            </w:r>
          </w:p>
        </w:tc>
        <w:tc>
          <w:tcPr>
            <w:tcW w:type="dxa" w:w="1700"/>
            <w:tcBorders>
              <w:top w:val="single" w:color="CCCCCC" w:sz="1"/>
              <w:left w:val="single" w:color="CCCCCC" w:sz="1"/>
              <w:bottom w:val="single" w:color="CCCCCC" w:sz="1"/>
              <w:right w:val="single" w:color="CCCCCC" w:sz="1"/>
            </w:tcBorders>
            <w:shd w:fill="F7F3EC" w:val="clear"/>
            <w:tcMar>
              <w:top w:type="dxa" w:w="80"/>
              <w:left w:type="dxa" w:w="120"/>
              <w:bottom w:type="dxa" w:w="80"/>
              <w:right w:type="dxa" w:w="120"/>
            </w:tcMar>
          </w:tcPr>
          <w:p>
            <w:pPr>
              <w:jc w:val="left"/>
            </w:pPr>
            <w:r>
              <w:rPr>
                <w:rFonts w:ascii="Arial" w:cs="Arial" w:eastAsia="Arial" w:hAnsi="Arial"/>
                <w:sz w:val="18"/>
                <w:szCs w:val="18"/>
              </w:rPr>
              <w:t xml:space="preserve">Zarzi, Wadi Hammeh 27, Kebaran sites</w:t>
            </w:r>
          </w:p>
        </w:tc>
        <w:tc>
          <w:tcPr>
            <w:tcW w:type="dxa" w:w="1400"/>
            <w:tcBorders>
              <w:top w:val="single" w:color="CCCCCC" w:sz="1"/>
              <w:left w:val="single" w:color="CCCCCC" w:sz="1"/>
              <w:bottom w:val="single" w:color="CCCCCC" w:sz="1"/>
              <w:right w:val="single" w:color="CCCCCC" w:sz="1"/>
            </w:tcBorders>
            <w:shd w:fill="F7F3EC" w:val="clear"/>
            <w:tcMar>
              <w:top w:type="dxa" w:w="80"/>
              <w:left w:type="dxa" w:w="120"/>
              <w:bottom w:type="dxa" w:w="80"/>
              <w:right w:type="dxa" w:w="120"/>
            </w:tcMar>
          </w:tcPr>
          <w:p>
            <w:pPr>
              <w:jc w:val="left"/>
            </w:pPr>
            <w:r>
              <w:rPr>
                <w:rFonts w:ascii="Arial" w:cs="Arial" w:eastAsia="Arial" w:hAnsi="Arial"/>
                <w:sz w:val="18"/>
                <w:szCs w:val="18"/>
              </w:rPr>
              <w:t xml:space="preserve">Stage 1–2
Ritualized Repetition</w:t>
            </w:r>
          </w:p>
        </w:tc>
        <w:tc>
          <w:tcPr>
            <w:tcW w:type="dxa" w:w="2300"/>
            <w:tcBorders>
              <w:top w:val="single" w:color="CCCCCC" w:sz="1"/>
              <w:left w:val="single" w:color="CCCCCC" w:sz="1"/>
              <w:bottom w:val="single" w:color="CCCCCC" w:sz="1"/>
              <w:right w:val="single" w:color="CCCCCC" w:sz="1"/>
            </w:tcBorders>
            <w:shd w:fill="F7F3EC" w:val="clear"/>
            <w:tcMar>
              <w:top w:type="dxa" w:w="80"/>
              <w:left w:type="dxa" w:w="120"/>
              <w:bottom w:type="dxa" w:w="80"/>
              <w:right w:type="dxa" w:w="120"/>
            </w:tcMar>
          </w:tcPr>
          <w:p>
            <w:pPr>
              <w:jc w:val="left"/>
            </w:pPr>
            <w:r>
              <w:rPr>
                <w:rFonts w:ascii="Arial" w:cs="Arial" w:eastAsia="Arial" w:hAnsi="Arial"/>
                <w:sz w:val="18"/>
                <w:szCs w:val="18"/>
              </w:rPr>
              <w:t xml:space="preserve">Seasonal aggregation, microlithic standardization</w:t>
            </w:r>
          </w:p>
        </w:tc>
        <w:tc>
          <w:tcPr>
            <w:tcW w:type="dxa" w:w="1360"/>
            <w:tcBorders>
              <w:top w:val="single" w:color="CCCCCC" w:sz="1"/>
              <w:left w:val="single" w:color="CCCCCC" w:sz="1"/>
              <w:bottom w:val="single" w:color="CCCCCC" w:sz="1"/>
              <w:right w:val="single" w:color="CCCCCC" w:sz="1"/>
            </w:tcBorders>
            <w:shd w:fill="F7F3EC" w:val="clear"/>
            <w:tcMar>
              <w:top w:type="dxa" w:w="80"/>
              <w:left w:type="dxa" w:w="120"/>
              <w:bottom w:type="dxa" w:w="80"/>
              <w:right w:type="dxa" w:w="120"/>
            </w:tcMar>
          </w:tcPr>
          <w:p>
            <w:pPr>
              <w:jc w:val="left"/>
            </w:pPr>
            <w:r>
              <w:rPr>
                <w:rFonts w:ascii="Arial" w:cs="Arial" w:eastAsia="Arial" w:hAnsi="Arial"/>
                <w:sz w:val="18"/>
                <w:szCs w:val="18"/>
              </w:rPr>
              <w:t xml:space="preserve">5/8 — Proto-stabilization</w:t>
            </w:r>
          </w:p>
        </w:tc>
      </w:tr>
      <w:tr>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sz w:val="18"/>
                <w:szCs w:val="18"/>
              </w:rPr>
              <w:t xml:space="preserve">PPNA/PPNB
10,000–7,500 BCE</w:t>
            </w:r>
          </w:p>
        </w:tc>
        <w:tc>
          <w:tcPr>
            <w:tcW w:type="dxa" w:w="17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sz w:val="18"/>
                <w:szCs w:val="18"/>
              </w:rPr>
              <w:t xml:space="preserve">Mureybit, Abu Hureyra, Jerf el-Ahmar</w:t>
            </w:r>
          </w:p>
        </w:tc>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sz w:val="18"/>
                <w:szCs w:val="18"/>
              </w:rPr>
              <w:t xml:space="preserve">Stage 2
Ritual Stabilization</w:t>
            </w:r>
          </w:p>
        </w:tc>
        <w:tc>
          <w:tcPr>
            <w:tcW w:type="dxa" w:w="23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sz w:val="18"/>
                <w:szCs w:val="18"/>
              </w:rPr>
              <w:t xml:space="preserve">Communal buildings, architectural repetition</w:t>
            </w:r>
          </w:p>
        </w:tc>
        <w:tc>
          <w:tcPr>
            <w:tcW w:type="dxa" w:w="1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sz w:val="18"/>
                <w:szCs w:val="18"/>
              </w:rPr>
              <w:t xml:space="preserve">6/8 — Partial</w:t>
            </w:r>
          </w:p>
        </w:tc>
      </w:tr>
      <w:tr>
        <w:tc>
          <w:tcPr>
            <w:tcW w:type="dxa" w:w="1600"/>
            <w:tcBorders>
              <w:top w:val="single" w:color="CCCCCC" w:sz="1"/>
              <w:left w:val="single" w:color="CCCCCC" w:sz="1"/>
              <w:bottom w:val="single" w:color="CCCCCC" w:sz="1"/>
              <w:right w:val="single" w:color="CCCCCC" w:sz="1"/>
            </w:tcBorders>
            <w:shd w:fill="F7F3EC" w:val="clear"/>
            <w:tcMar>
              <w:top w:type="dxa" w:w="80"/>
              <w:left w:type="dxa" w:w="120"/>
              <w:bottom w:type="dxa" w:w="80"/>
              <w:right w:type="dxa" w:w="120"/>
            </w:tcMar>
          </w:tcPr>
          <w:p>
            <w:pPr>
              <w:jc w:val="left"/>
            </w:pPr>
            <w:r>
              <w:rPr>
                <w:rFonts w:ascii="Arial" w:cs="Arial" w:eastAsia="Arial" w:hAnsi="Arial"/>
                <w:sz w:val="18"/>
                <w:szCs w:val="18"/>
              </w:rPr>
              <w:t xml:space="preserve">Pottery Neolithic
7,500–5,500 BCE</w:t>
            </w:r>
          </w:p>
        </w:tc>
        <w:tc>
          <w:tcPr>
            <w:tcW w:type="dxa" w:w="1700"/>
            <w:tcBorders>
              <w:top w:val="single" w:color="CCCCCC" w:sz="1"/>
              <w:left w:val="single" w:color="CCCCCC" w:sz="1"/>
              <w:bottom w:val="single" w:color="CCCCCC" w:sz="1"/>
              <w:right w:val="single" w:color="CCCCCC" w:sz="1"/>
            </w:tcBorders>
            <w:shd w:fill="F7F3EC" w:val="clear"/>
            <w:tcMar>
              <w:top w:type="dxa" w:w="80"/>
              <w:left w:type="dxa" w:w="120"/>
              <w:bottom w:type="dxa" w:w="80"/>
              <w:right w:type="dxa" w:w="120"/>
            </w:tcMar>
          </w:tcPr>
          <w:p>
            <w:pPr>
              <w:jc w:val="left"/>
            </w:pPr>
            <w:r>
              <w:rPr>
                <w:rFonts w:ascii="Arial" w:cs="Arial" w:eastAsia="Arial" w:hAnsi="Arial"/>
                <w:sz w:val="18"/>
                <w:szCs w:val="18"/>
              </w:rPr>
              <w:t xml:space="preserve">Hassuna, Samarra, Halaf</w:t>
            </w:r>
          </w:p>
        </w:tc>
        <w:tc>
          <w:tcPr>
            <w:tcW w:type="dxa" w:w="1400"/>
            <w:tcBorders>
              <w:top w:val="single" w:color="CCCCCC" w:sz="1"/>
              <w:left w:val="single" w:color="CCCCCC" w:sz="1"/>
              <w:bottom w:val="single" w:color="CCCCCC" w:sz="1"/>
              <w:right w:val="single" w:color="CCCCCC" w:sz="1"/>
            </w:tcBorders>
            <w:shd w:fill="F7F3EC" w:val="clear"/>
            <w:tcMar>
              <w:top w:type="dxa" w:w="80"/>
              <w:left w:type="dxa" w:w="120"/>
              <w:bottom w:type="dxa" w:w="80"/>
              <w:right w:type="dxa" w:w="120"/>
            </w:tcMar>
          </w:tcPr>
          <w:p>
            <w:pPr>
              <w:jc w:val="left"/>
            </w:pPr>
            <w:r>
              <w:rPr>
                <w:rFonts w:ascii="Arial" w:cs="Arial" w:eastAsia="Arial" w:hAnsi="Arial"/>
                <w:sz w:val="18"/>
                <w:szCs w:val="18"/>
              </w:rPr>
              <w:t xml:space="preserve">Stage 2–3
Material Amplification</w:t>
            </w:r>
          </w:p>
        </w:tc>
        <w:tc>
          <w:tcPr>
            <w:tcW w:type="dxa" w:w="2300"/>
            <w:tcBorders>
              <w:top w:val="single" w:color="CCCCCC" w:sz="1"/>
              <w:left w:val="single" w:color="CCCCCC" w:sz="1"/>
              <w:bottom w:val="single" w:color="CCCCCC" w:sz="1"/>
              <w:right w:val="single" w:color="CCCCCC" w:sz="1"/>
            </w:tcBorders>
            <w:shd w:fill="F7F3EC" w:val="clear"/>
            <w:tcMar>
              <w:top w:type="dxa" w:w="80"/>
              <w:left w:type="dxa" w:w="120"/>
              <w:bottom w:type="dxa" w:w="80"/>
              <w:right w:type="dxa" w:w="120"/>
            </w:tcMar>
          </w:tcPr>
          <w:p>
            <w:pPr>
              <w:jc w:val="left"/>
            </w:pPr>
            <w:r>
              <w:rPr>
                <w:rFonts w:ascii="Arial" w:cs="Arial" w:eastAsia="Arial" w:hAnsi="Arial"/>
                <w:sz w:val="18"/>
                <w:szCs w:val="18"/>
              </w:rPr>
              <w:t xml:space="preserve">Cross-media ceramic grammar, figurines, ritual motifs</w:t>
            </w:r>
          </w:p>
        </w:tc>
        <w:tc>
          <w:tcPr>
            <w:tcW w:type="dxa" w:w="1360"/>
            <w:tcBorders>
              <w:top w:val="single" w:color="CCCCCC" w:sz="1"/>
              <w:left w:val="single" w:color="CCCCCC" w:sz="1"/>
              <w:bottom w:val="single" w:color="CCCCCC" w:sz="1"/>
              <w:right w:val="single" w:color="CCCCCC" w:sz="1"/>
            </w:tcBorders>
            <w:shd w:fill="F7F3EC" w:val="clear"/>
            <w:tcMar>
              <w:top w:type="dxa" w:w="80"/>
              <w:left w:type="dxa" w:w="120"/>
              <w:bottom w:type="dxa" w:w="80"/>
              <w:right w:type="dxa" w:w="120"/>
            </w:tcMar>
          </w:tcPr>
          <w:p>
            <w:pPr>
              <w:jc w:val="left"/>
            </w:pPr>
            <w:r>
              <w:rPr>
                <w:rFonts w:ascii="Arial" w:cs="Arial" w:eastAsia="Arial" w:hAnsi="Arial"/>
                <w:sz w:val="18"/>
                <w:szCs w:val="18"/>
              </w:rPr>
              <w:t xml:space="preserve">7/8 — Approaching saturation</w:t>
            </w:r>
          </w:p>
        </w:tc>
      </w:tr>
      <w:tr>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sz w:val="18"/>
                <w:szCs w:val="18"/>
              </w:rPr>
              <w:t xml:space="preserve">Ubaid
5,500–4,000 BCE</w:t>
            </w:r>
          </w:p>
        </w:tc>
        <w:tc>
          <w:tcPr>
            <w:tcW w:type="dxa" w:w="17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sz w:val="18"/>
                <w:szCs w:val="18"/>
              </w:rPr>
              <w:t xml:space="preserve">Eridu, Ubaid sites region-wide</w:t>
            </w:r>
          </w:p>
        </w:tc>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sz w:val="18"/>
                <w:szCs w:val="18"/>
              </w:rPr>
              <w:t xml:space="preserve">Stage 3–4
External Codification</w:t>
            </w:r>
          </w:p>
        </w:tc>
        <w:tc>
          <w:tcPr>
            <w:tcW w:type="dxa" w:w="23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sz w:val="18"/>
                <w:szCs w:val="18"/>
              </w:rPr>
              <w:t xml:space="preserve">Temple platforms, tripartite plans, craft specialization</w:t>
            </w:r>
          </w:p>
        </w:tc>
        <w:tc>
          <w:tcPr>
            <w:tcW w:type="dxa" w:w="1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sz w:val="18"/>
                <w:szCs w:val="18"/>
              </w:rPr>
              <w:t xml:space="preserve">8/8 — Saturated</w:t>
            </w:r>
          </w:p>
        </w:tc>
      </w:tr>
      <w:tr>
        <w:tc>
          <w:tcPr>
            <w:tcW w:type="dxa" w:w="1600"/>
            <w:tcBorders>
              <w:top w:val="single" w:color="CCCCCC" w:sz="1"/>
              <w:left w:val="single" w:color="CCCCCC" w:sz="1"/>
              <w:bottom w:val="single" w:color="CCCCCC" w:sz="1"/>
              <w:right w:val="single" w:color="CCCCCC" w:sz="1"/>
            </w:tcBorders>
            <w:shd w:fill="F7F3EC" w:val="clear"/>
            <w:tcMar>
              <w:top w:type="dxa" w:w="80"/>
              <w:left w:type="dxa" w:w="120"/>
              <w:bottom w:type="dxa" w:w="80"/>
              <w:right w:type="dxa" w:w="120"/>
            </w:tcMar>
          </w:tcPr>
          <w:p>
            <w:pPr>
              <w:jc w:val="left"/>
            </w:pPr>
            <w:r>
              <w:rPr>
                <w:rFonts w:ascii="Arial" w:cs="Arial" w:eastAsia="Arial" w:hAnsi="Arial"/>
                <w:sz w:val="18"/>
                <w:szCs w:val="18"/>
              </w:rPr>
              <w:t xml:space="preserve">Proto-Urban/Uruk
4,000–3,000 BCE</w:t>
            </w:r>
          </w:p>
        </w:tc>
        <w:tc>
          <w:tcPr>
            <w:tcW w:type="dxa" w:w="1700"/>
            <w:tcBorders>
              <w:top w:val="single" w:color="CCCCCC" w:sz="1"/>
              <w:left w:val="single" w:color="CCCCCC" w:sz="1"/>
              <w:bottom w:val="single" w:color="CCCCCC" w:sz="1"/>
              <w:right w:val="single" w:color="CCCCCC" w:sz="1"/>
            </w:tcBorders>
            <w:shd w:fill="F7F3EC" w:val="clear"/>
            <w:tcMar>
              <w:top w:type="dxa" w:w="80"/>
              <w:left w:type="dxa" w:w="120"/>
              <w:bottom w:type="dxa" w:w="80"/>
              <w:right w:type="dxa" w:w="120"/>
            </w:tcMar>
          </w:tcPr>
          <w:p>
            <w:pPr>
              <w:jc w:val="left"/>
            </w:pPr>
            <w:r>
              <w:rPr>
                <w:rFonts w:ascii="Arial" w:cs="Arial" w:eastAsia="Arial" w:hAnsi="Arial"/>
                <w:sz w:val="18"/>
                <w:szCs w:val="18"/>
              </w:rPr>
              <w:t xml:space="preserve">Uruk, Nippur, Ur</w:t>
            </w:r>
          </w:p>
        </w:tc>
        <w:tc>
          <w:tcPr>
            <w:tcW w:type="dxa" w:w="1400"/>
            <w:tcBorders>
              <w:top w:val="single" w:color="CCCCCC" w:sz="1"/>
              <w:left w:val="single" w:color="CCCCCC" w:sz="1"/>
              <w:bottom w:val="single" w:color="CCCCCC" w:sz="1"/>
              <w:right w:val="single" w:color="CCCCCC" w:sz="1"/>
            </w:tcBorders>
            <w:shd w:fill="F7F3EC" w:val="clear"/>
            <w:tcMar>
              <w:top w:type="dxa" w:w="80"/>
              <w:left w:type="dxa" w:w="120"/>
              <w:bottom w:type="dxa" w:w="80"/>
              <w:right w:type="dxa" w:w="120"/>
            </w:tcMar>
          </w:tcPr>
          <w:p>
            <w:pPr>
              <w:jc w:val="left"/>
            </w:pPr>
            <w:r>
              <w:rPr>
                <w:rFonts w:ascii="Arial" w:cs="Arial" w:eastAsia="Arial" w:hAnsi="Arial"/>
                <w:sz w:val="18"/>
                <w:szCs w:val="18"/>
              </w:rPr>
              <w:t xml:space="preserve">Stage 4
Institutional Emergence</w:t>
            </w:r>
          </w:p>
        </w:tc>
        <w:tc>
          <w:tcPr>
            <w:tcW w:type="dxa" w:w="2300"/>
            <w:tcBorders>
              <w:top w:val="single" w:color="CCCCCC" w:sz="1"/>
              <w:left w:val="single" w:color="CCCCCC" w:sz="1"/>
              <w:bottom w:val="single" w:color="CCCCCC" w:sz="1"/>
              <w:right w:val="single" w:color="CCCCCC" w:sz="1"/>
            </w:tcBorders>
            <w:shd w:fill="F7F3EC" w:val="clear"/>
            <w:tcMar>
              <w:top w:type="dxa" w:w="80"/>
              <w:left w:type="dxa" w:w="120"/>
              <w:bottom w:type="dxa" w:w="80"/>
              <w:right w:type="dxa" w:w="120"/>
            </w:tcMar>
          </w:tcPr>
          <w:p>
            <w:pPr>
              <w:jc w:val="left"/>
            </w:pPr>
            <w:r>
              <w:rPr>
                <w:rFonts w:ascii="Arial" w:cs="Arial" w:eastAsia="Arial" w:hAnsi="Arial"/>
                <w:sz w:val="18"/>
                <w:szCs w:val="18"/>
              </w:rPr>
              <w:t xml:space="preserve">Monumentality, cuneiform, administrative hierarchy</w:t>
            </w:r>
          </w:p>
        </w:tc>
        <w:tc>
          <w:tcPr>
            <w:tcW w:type="dxa" w:w="1360"/>
            <w:tcBorders>
              <w:top w:val="single" w:color="CCCCCC" w:sz="1"/>
              <w:left w:val="single" w:color="CCCCCC" w:sz="1"/>
              <w:bottom w:val="single" w:color="CCCCCC" w:sz="1"/>
              <w:right w:val="single" w:color="CCCCCC" w:sz="1"/>
            </w:tcBorders>
            <w:shd w:fill="F7F3EC" w:val="clear"/>
            <w:tcMar>
              <w:top w:type="dxa" w:w="80"/>
              <w:left w:type="dxa" w:w="120"/>
              <w:bottom w:type="dxa" w:w="80"/>
              <w:right w:type="dxa" w:w="120"/>
            </w:tcMar>
          </w:tcPr>
          <w:p>
            <w:pPr>
              <w:jc w:val="left"/>
            </w:pPr>
            <w:r>
              <w:rPr>
                <w:rFonts w:ascii="Arial" w:cs="Arial" w:eastAsia="Arial" w:hAnsi="Arial"/>
                <w:sz w:val="18"/>
                <w:szCs w:val="18"/>
              </w:rPr>
              <w:t xml:space="preserve">8/8 — Externalized</w:t>
            </w:r>
          </w:p>
        </w:tc>
      </w:tr>
    </w:tbl>
    <w:p>
      <w:pPr>
        <w:spacing w:after="80" w:before="80"/>
      </w:pPr>
      <w:r>
        <w:t xml:space="preserve"/>
      </w:r>
    </w:p>
    <w:p>
      <w:pPr>
        <w:pStyle w:val="Heading1"/>
        <w:pBdr>
          <w:bottom w:val="single" w:color="C9A227" w:sz="4" w:space="4"/>
        </w:pBdr>
        <w:spacing w:after="180" w:before="360"/>
      </w:pPr>
      <w:r>
        <w:rPr>
          <w:rFonts w:ascii="Georgia" w:cs="Georgia" w:eastAsia="Georgia" w:hAnsi="Georgia"/>
          <w:b/>
          <w:bCs/>
          <w:color w:val="1A2E4A"/>
          <w:sz w:val="28"/>
          <w:szCs w:val="28"/>
        </w:rPr>
        <w:t xml:space="preserve">4. Ubaid to Uruk: Saturation and Externalization (c. 5,500–3,000 BCE)</w:t>
      </w:r>
    </w:p>
    <w:p>
      <w:pPr>
        <w:spacing w:after="80" w:before="80"/>
        <w:jc w:val="both"/>
      </w:pPr>
      <w:r>
        <w:rPr>
          <w:rFonts w:ascii="Georgia" w:cs="Georgia" w:eastAsia="Georgia" w:hAnsi="Georgia"/>
          <w:sz w:val="22"/>
          <w:szCs w:val="22"/>
        </w:rPr>
        <w:t xml:space="preserve">The Ubaid period is analytically significant for DSSM because it provides evidence of symbolic saturation — the point at which all four DSSM criteria are met — before political centralization, before writing, and before monumental architecture in its fully developed form.</w:t>
      </w:r>
    </w:p>
    <w:p>
      <w:pPr>
        <w:spacing w:after="80" w:before="80"/>
      </w:pPr>
      <w:r>
        <w:t xml:space="preserve"/>
      </w:r>
    </w:p>
    <w:p>
      <w:pPr>
        <w:spacing w:after="80" w:before="80"/>
        <w:jc w:val="both"/>
      </w:pPr>
      <w:r>
        <w:rPr>
          <w:rFonts w:ascii="Georgia" w:cs="Georgia" w:eastAsia="Georgia" w:hAnsi="Georgia"/>
          <w:sz w:val="22"/>
          <w:szCs w:val="22"/>
        </w:rPr>
        <w:t xml:space="preserve">Eridu is the key site. Its sequence of superimposed temple levels — each rebuilt directly on the ruins of the previous, maintaining consistent tripartite floor plans and axial orientation across a span estimated at roughly two thousand years — represents one of the clearest material records of intergenerational architectural continuity in the archaeological record (Nissen, 1988; Lloyd, 1984). No single administrative authority controlled Eridu continuously across that span. No writing system codified the architectural rules. The most parsimonious explanation for the floor plan's persistence is embodied transmission through craft practice — construction knowledge reproduced through participation and apprenticeship rather than text — though the specific mechanism cannot be directly observed in the archaeological record. This is the mechanism DSSM identifies as Stage 3 stabilization: symbolic load embedded in built form, potentially transmissible without literacy or centralized enforcement.</w:t>
      </w:r>
    </w:p>
    <w:p>
      <w:pPr>
        <w:spacing w:after="80" w:before="80"/>
      </w:pPr>
      <w:r>
        <w:t xml:space="preserve"/>
      </w:r>
    </w:p>
    <w:p>
      <w:pPr>
        <w:spacing w:after="80" w:before="80"/>
        <w:jc w:val="both"/>
      </w:pPr>
      <w:r>
        <w:rPr>
          <w:rFonts w:ascii="Georgia" w:cs="Georgia" w:eastAsia="Georgia" w:hAnsi="Georgia"/>
          <w:sz w:val="22"/>
          <w:szCs w:val="22"/>
        </w:rPr>
        <w:t xml:space="preserve">Uruk, from the mid-fourth millennium onward, marks the transition to Stage 4: the emergence of institutional forms that externalize and administer what embodied practice had previously sustained. Population estimates for Uruk IV range from 20,000 to 50,000 (Nissen, 1988) — figures uncertain given the estimation methods involved, but well above the community sizes for which oral and architectural transmission alone are sufficient. DSSM predicts that above a threshold community size, some form of external symbolic storage becomes necessary. The archaeological record shows exactly this: proto-cuneiform tablets emerging not as literary or philosophical records but as administrative accounting documents — grain quantities, animal inventories, labor allocations. Writing as storage technology for coordination information that memory can no longer reliably hold.</w:t>
      </w:r>
    </w:p>
    <w:p>
      <w:pPr>
        <w:pStyle w:val="Heading2"/>
        <w:spacing w:after="120" w:before="280"/>
      </w:pPr>
      <w:r>
        <w:rPr>
          <w:rFonts w:ascii="Georgia" w:cs="Georgia" w:eastAsia="Georgia" w:hAnsi="Georgia"/>
          <w:b/>
          <w:bCs/>
          <w:color w:val="2E5077"/>
          <w:sz w:val="24"/>
          <w:szCs w:val="24"/>
        </w:rPr>
        <w:t xml:space="preserve">4.1 The Ziggurat as Scalar Amplification</w:t>
      </w:r>
    </w:p>
    <w:p>
      <w:pPr>
        <w:spacing w:after="80" w:before="80"/>
        <w:jc w:val="both"/>
      </w:pPr>
      <w:r>
        <w:rPr>
          <w:rFonts w:ascii="Georgia" w:cs="Georgia" w:eastAsia="Georgia" w:hAnsi="Georgia"/>
          <w:sz w:val="22"/>
          <w:szCs w:val="22"/>
        </w:rPr>
        <w:t xml:space="preserve">Monumental architecture in Mesopotamia follows the same DSSM pattern as writing. The ziggurat form — the stepped temple platform that characterizes Sumerian and Babylonian urban centers — does not represent a new symbolic invention. It represents scalar amplification of a spatial grammar already established in Ubaid temple platforms.</w:t>
      </w:r>
    </w:p>
    <w:p>
      <w:pPr>
        <w:spacing w:after="80" w:before="80"/>
      </w:pPr>
      <w:r>
        <w:t xml:space="preserve"/>
      </w:r>
    </w:p>
    <w:p>
      <w:pPr>
        <w:spacing w:after="80" w:before="80"/>
        <w:jc w:val="both"/>
      </w:pPr>
      <w:r>
        <w:rPr>
          <w:rFonts w:ascii="Georgia" w:cs="Georgia" w:eastAsia="Georgia" w:hAnsi="Georgia"/>
          <w:sz w:val="22"/>
          <w:szCs w:val="22"/>
        </w:rPr>
        <w:t xml:space="preserve">The vertical axis encoded in Ubaid temples — elevated sacred space, processional approaches, offerings at height — is reproduced at urban scale in the ziggurat. A structure visible across the alluvial plain physically embeds a symbolic hierarchy that organizes labor, tribute, ritual, and authority for a population that cannot be addressed through face-to-face symbolic practice. The priests who climbed the ziggurat were performing the same ritual ascent that had been enacted on small mud-brick platforms at Eridu for centuries. Monumentality is amplification of existing symbolic grammar, not its replacement.</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1A2E4A" w:val="clear"/>
            <w:tcMar>
              <w:top w:type="dxa" w:w="120"/>
              <w:left w:type="dxa" w:w="180"/>
              <w:bottom w:type="dxa" w:w="120"/>
              <w:right w:type="dxa" w:w="180"/>
            </w:tcMar>
          </w:tcPr>
          <w:p>
            <w:r>
              <w:rPr>
                <w:rFonts w:ascii="Arial" w:cs="Arial" w:eastAsia="Arial" w:hAnsi="Arial"/>
                <w:b/>
                <w:bCs/>
                <w:color w:val="C9A227"/>
                <w:sz w:val="18"/>
                <w:szCs w:val="18"/>
              </w:rPr>
              <w:t xml:space="preserve">𓇋 OSIRIS — HISTORICAL MEMORY  |  c. 5,500–3,500 BCE</w:t>
            </w:r>
          </w:p>
          <w:p>
            <w:r>
              <w:rPr>
                <w:rFonts w:ascii="Georgia" w:cs="Georgia" w:eastAsia="Georgia" w:hAnsi="Georgia"/>
                <w:b/>
                <w:bCs/>
                <w:color w:val="FFFFFF"/>
                <w:sz w:val="20"/>
                <w:szCs w:val="20"/>
              </w:rPr>
              <w:t xml:space="preserve">Eridu — Temple Sequence Without Writing</w:t>
            </w:r>
          </w:p>
        </w:tc>
      </w:tr>
      <w:tr>
        <w:tc>
          <w:tcPr>
            <w:tcW w:type="dxa" w:w="9360"/>
            <w:tcBorders>
              <w:top w:val="single" w:color="CCCCCC" w:sz="1"/>
              <w:left w:val="single" w:color="CCCCCC" w:sz="1"/>
              <w:bottom w:val="single" w:color="CCCCCC" w:sz="1"/>
              <w:right w:val="single" w:color="CCCCCC" w:sz="1"/>
            </w:tcBorders>
            <w:shd w:fill="F5EFE0" w:val="clear"/>
            <w:tcMar>
              <w:top w:type="dxa" w:w="120"/>
              <w:left w:type="dxa" w:w="180"/>
              <w:bottom w:type="dxa" w:w="120"/>
              <w:right w:type="dxa" w:w="180"/>
            </w:tcMar>
          </w:tcPr>
          <w:p>
            <w:pPr>
              <w:jc w:val="both"/>
            </w:pPr>
            <w:r>
              <w:rPr>
                <w:rFonts w:ascii="Georgia" w:cs="Georgia" w:eastAsia="Georgia" w:hAnsi="Georgia"/>
                <w:i/>
                <w:iCs/>
                <w:color w:val="1A2E4A"/>
                <w:sz w:val="20"/>
                <w:szCs w:val="20"/>
              </w:rPr>
              <w:t xml:space="preserve">The continuous reconstruction of Eridu's central temple across multiple superimposed levels, maintaining consistent floor plans and axial orientation without written instruction, provides material evidence of symbolic stabilization through embodied transmission alone. Writing formalizes coordination that practice had already achieved. Eridu demonstrates the sequence DSSM predicts: saturation precedes externalization.</w:t>
            </w:r>
          </w:p>
        </w:tc>
      </w:tr>
    </w:tbl>
    <w:p>
      <w:pPr>
        <w:spacing w:after="80" w:before="80"/>
      </w:pPr>
      <w:r>
        <w:t xml:space="preserve"/>
      </w:r>
    </w:p>
    <w:p>
      <w:pPr>
        <w:pStyle w:val="Heading1"/>
        <w:pBdr>
          <w:bottom w:val="single" w:color="C9A227" w:sz="4" w:space="4"/>
        </w:pBdr>
        <w:spacing w:after="180" w:before="360"/>
      </w:pPr>
      <w:r>
        <w:rPr>
          <w:rFonts w:ascii="Georgia" w:cs="Georgia" w:eastAsia="Georgia" w:hAnsi="Georgia"/>
          <w:b/>
          <w:bCs/>
          <w:color w:val="1A2E4A"/>
          <w:sz w:val="28"/>
          <w:szCs w:val="28"/>
        </w:rPr>
        <w:t xml:space="preserve">5. Symbolic Coordination and the Origins of Portable Religious Traditions</w:t>
      </w:r>
    </w:p>
    <w:p>
      <w:pPr>
        <w:spacing w:after="80" w:before="80"/>
        <w:jc w:val="both"/>
      </w:pPr>
      <w:r>
        <w:rPr>
          <w:rFonts w:ascii="Georgia" w:cs="Georgia" w:eastAsia="Georgia" w:hAnsi="Georgia"/>
          <w:sz w:val="22"/>
          <w:szCs w:val="22"/>
        </w:rPr>
        <w:t xml:space="preserve">Mesopotamia was the generative context for textual and theological traditions that shaped Judaism, Christianity, and Islam. The structural question DSSM asks is not theological: it is why this region, under these conditions, produced religious traditions with the specific formal properties they share — text-centricity, universalist ethical scope, and authority structures not bound to specific landscapes.</w:t>
      </w:r>
    </w:p>
    <w:p>
      <w:pPr>
        <w:pStyle w:val="Heading2"/>
        <w:spacing w:after="120" w:before="280"/>
      </w:pPr>
      <w:r>
        <w:rPr>
          <w:rFonts w:ascii="Georgia" w:cs="Georgia" w:eastAsia="Georgia" w:hAnsi="Georgia"/>
          <w:b/>
          <w:bCs/>
          <w:color w:val="2E5077"/>
          <w:sz w:val="24"/>
          <w:szCs w:val="24"/>
        </w:rPr>
        <w:t xml:space="preserve">5.1 Temple Economies as Integrated Coordination Systems</w:t>
      </w:r>
    </w:p>
    <w:p>
      <w:pPr>
        <w:spacing w:after="80" w:before="80"/>
        <w:jc w:val="both"/>
      </w:pPr>
      <w:r>
        <w:rPr>
          <w:rFonts w:ascii="Georgia" w:cs="Georgia" w:eastAsia="Georgia" w:hAnsi="Georgia"/>
          <w:sz w:val="22"/>
          <w:szCs w:val="22"/>
        </w:rPr>
        <w:t xml:space="preserve">DSSM does not evaluate Mesopotamian religion on its metaphysical claims. It examines the coordination functions that Mesopotamian religious institutions performed and how those functions were organized. The Mesopotamian temple economy — in which the temple complex served simultaneously as cultic center, granary, administrative hub, and redistribution mechanism — is the institutional form that results when symbolic authority and administrative authority are not yet differentiated (Oppenheim, 1977; Bottéro, 2001). The priest who performed the morning offering and the scribe who calculated the grain allocation were operating within the same institutional framework because the legitimation of resource allocation and the maintenance of cosmological order were not, at the scale of early Mesopotamian urban communities, separated functions.</w:t>
      </w:r>
    </w:p>
    <w:p>
      <w:pPr>
        <w:spacing w:after="80" w:before="80"/>
      </w:pPr>
      <w:r>
        <w:t xml:space="preserve"/>
      </w:r>
    </w:p>
    <w:p>
      <w:pPr>
        <w:spacing w:after="80" w:before="80"/>
        <w:jc w:val="both"/>
      </w:pPr>
      <w:r>
        <w:rPr>
          <w:rFonts w:ascii="Georgia" w:cs="Georgia" w:eastAsia="Georgia" w:hAnsi="Georgia"/>
          <w:sz w:val="22"/>
          <w:szCs w:val="22"/>
        </w:rPr>
        <w:t xml:space="preserve">The Mesopotamian pantheon can be read, on DSSM's interpretation, as a symbolic taxonomy of the ecological and social variables that required collective management: storm and flooding (Enlil), freshwater and technical knowledge (Enki), fertility cycles and conflict (Inanna), kingship and urban order (Marduk). This is not a claim to reduce the gods to administrative categories or to characterize the lived experience of Mesopotamian religion as a coordination device. It is to observe that the symbolic content of the tradition was organized around the variables communities most needed to manage collectively, and that ritual practices maintained shared orientation toward those variables across generations.</w:t>
      </w:r>
    </w:p>
    <w:p>
      <w:pPr>
        <w:pStyle w:val="Heading2"/>
        <w:spacing w:after="120" w:before="280"/>
      </w:pPr>
      <w:r>
        <w:rPr>
          <w:rFonts w:ascii="Georgia" w:cs="Georgia" w:eastAsia="Georgia" w:hAnsi="Georgia"/>
          <w:b/>
          <w:bCs/>
          <w:color w:val="2E5077"/>
          <w:sz w:val="24"/>
          <w:szCs w:val="24"/>
        </w:rPr>
        <w:t xml:space="preserve">5.2 The Flood Narrative</w:t>
      </w:r>
    </w:p>
    <w:p>
      <w:pPr>
        <w:spacing w:after="80" w:before="80"/>
        <w:jc w:val="both"/>
      </w:pPr>
      <w:r>
        <w:rPr>
          <w:rFonts w:ascii="Georgia" w:cs="Georgia" w:eastAsia="Georgia" w:hAnsi="Georgia"/>
          <w:sz w:val="22"/>
          <w:szCs w:val="22"/>
        </w:rPr>
        <w:t xml:space="preserve">The Mesopotamian flood tradition — recorded in the Sumerian King List, elaborated in the Epic of Gilgamesh, and documented in later Hebrew textual traditions — is subject to active scholarly debate about its origins, meaning, and relationship to actual geological events. Claims about what this narrative 'really encodes' should be made cautiously.</w:t>
      </w:r>
    </w:p>
    <w:p>
      <w:pPr>
        <w:spacing w:after="80" w:before="80"/>
      </w:pPr>
      <w:r>
        <w:t xml:space="preserve"/>
      </w:r>
    </w:p>
    <w:p>
      <w:pPr>
        <w:spacing w:after="80" w:before="80"/>
        <w:jc w:val="both"/>
      </w:pPr>
      <w:r>
        <w:rPr>
          <w:rFonts w:ascii="Georgia" w:cs="Georgia" w:eastAsia="Georgia" w:hAnsi="Georgia"/>
          <w:sz w:val="22"/>
          <w:szCs w:val="22"/>
        </w:rPr>
        <w:t xml:space="preserve">The DSSM observation is narrower. The alluvial plain was genuinely flood-prone; geological evidence documents major inundation events at different points in the Tigris-Euphrates system. A narrative tradition that survived in multiple independent textual traditions across several thousand years was performing some kind of sustained cultural function. DSSM notes that narratives encoding the conditions of social coordination failure — and the practices associated with survival and recovery — have straightforward transmission value in a community repeatedly exposed to catastrophic disruption. This is consistent with the data. It does not exhaust the tradition's meaning.</w:t>
      </w:r>
    </w:p>
    <w:p>
      <w:pPr>
        <w:pStyle w:val="Heading2"/>
        <w:spacing w:after="120" w:before="280"/>
      </w:pPr>
      <w:r>
        <w:rPr>
          <w:rFonts w:ascii="Georgia" w:cs="Georgia" w:eastAsia="Georgia" w:hAnsi="Georgia"/>
          <w:b/>
          <w:bCs/>
          <w:color w:val="2E5077"/>
          <w:sz w:val="24"/>
          <w:szCs w:val="24"/>
        </w:rPr>
        <w:t xml:space="preserve">5.3 The Babylonian Exile and the Emergence of Portable Symbolic Systems</w:t>
      </w:r>
    </w:p>
    <w:p>
      <w:pPr>
        <w:spacing w:after="80" w:before="80"/>
        <w:jc w:val="both"/>
      </w:pPr>
      <w:r>
        <w:rPr>
          <w:rFonts w:ascii="Georgia" w:cs="Georgia" w:eastAsia="Georgia" w:hAnsi="Georgia"/>
          <w:sz w:val="22"/>
          <w:szCs w:val="22"/>
        </w:rPr>
        <w:t xml:space="preserve">The structural conditions of the first millennium BCE created specific pressures that DSSM can analyze: large-scale empires absorbed previously distinct symbolic communities into administrative networks that exceeded the geographic range of locally embedded ritual traditions. Symbolic systems tied to specific temples, landscapes, and royal lineages were vulnerable when those anchors were removed or destroyed.</w:t>
      </w:r>
    </w:p>
    <w:p>
      <w:pPr>
        <w:spacing w:after="80" w:before="80"/>
      </w:pPr>
      <w:r>
        <w:t xml:space="preserve"/>
      </w:r>
    </w:p>
    <w:p>
      <w:pPr>
        <w:spacing w:after="80" w:before="80"/>
        <w:jc w:val="both"/>
      </w:pPr>
      <w:r>
        <w:rPr>
          <w:rFonts w:ascii="Georgia" w:cs="Georgia" w:eastAsia="Georgia" w:hAnsi="Georgia"/>
          <w:sz w:val="22"/>
          <w:szCs w:val="22"/>
        </w:rPr>
        <w:t xml:space="preserve">The Babylonian Exile (586–539 BCE) is analytically significant in this context. When Nebuchadnezzar II destroyed the Temple in Jerusalem and deported the Judean elite to Babylon, the disruption forced the development of a symbolic system capable of functioning without its primary material anchor. The textual production associated with the Exile and its aftermath — Deutero-Isaiah, Ezekiel, and the editorial consolidation of earlier prophetic and legal material that scholars associate with this period — shows both engagement with and differentiation from Babylonian theological frameworks (Kaufmann, 1960; Kuhrt, 1995). Over subsequent generations, the result was a symbolic system centered on textual transmission rather than place-bound ritual — a system with formal properties that allowed survival through political disruption and population dispersal. The relative contribution of the Babylonian encounter versus prior developments in the prophetic tradition to this transformation remains contested among scholars.</w:t>
      </w:r>
    </w:p>
    <w:p>
      <w:pPr>
        <w:spacing w:after="80" w:before="80"/>
      </w:pPr>
      <w:r>
        <w:t xml:space="preserve"/>
      </w:r>
    </w:p>
    <w:p>
      <w:pPr>
        <w:spacing w:after="80" w:before="80"/>
        <w:jc w:val="both"/>
      </w:pPr>
      <w:r>
        <w:rPr>
          <w:rFonts w:ascii="Georgia" w:cs="Georgia" w:eastAsia="Georgia" w:hAnsi="Georgia"/>
          <w:sz w:val="22"/>
          <w:szCs w:val="22"/>
        </w:rPr>
        <w:t xml:space="preserve">Christianity and Islam subsequently built on and transformed this textual portable tradition, adapting it to different administrative and demographic scales. All three traditions share formal properties consistent with the coordination demands of large, politically unstable, geographically dispersed populations — authority located in text rather than place, obligation framed universally rather than tribally, community defined by practice and assent rather than territory. DSSM observes that these formal properties correlate with documented coordination pressures; it does not claim this correlation explains the content of these traditions.</w:t>
      </w:r>
    </w:p>
    <w:p>
      <w:pPr>
        <w:spacing w:after="80" w:before="80"/>
      </w:pPr>
      <w:r>
        <w:t xml:space="preserve"/>
      </w:r>
    </w:p>
    <w:tbl>
      <w:tblPr>
        <w:tblW w:type="dxa" w:w="7360"/>
        <w:tblBorders>
          <w:top w:val="single" w:color="auto" w:sz="4"/>
          <w:left w:val="single" w:color="auto" w:sz="4"/>
          <w:bottom w:val="single" w:color="auto" w:sz="4"/>
          <w:right w:val="single" w:color="auto" w:sz="4"/>
          <w:insideH w:val="single" w:color="auto" w:sz="4"/>
          <w:insideV w:val="single" w:color="auto" w:sz="4"/>
        </w:tblBorders>
      </w:tblPr>
      <w:tblGrid>
        <w:gridCol w:w="1200"/>
        <w:gridCol w:w="2200"/>
        <w:gridCol w:w="2200"/>
        <w:gridCol w:w="1760"/>
      </w:tblGrid>
      <w:tr>
        <w:trPr>
          <w:tblHeader/>
        </w:trPr>
        <w:tc>
          <w:tcPr>
            <w:tcW w:type="dxa" w:w="1200"/>
            <w:tcBorders>
              <w:top w:val="single" w:color="CCCCCC" w:sz="1"/>
              <w:left w:val="single" w:color="CCCCCC" w:sz="1"/>
              <w:bottom w:val="single" w:color="CCCCCC" w:sz="1"/>
              <w:right w:val="single" w:color="CCCCCC" w:sz="1"/>
            </w:tcBorders>
            <w:shd w:fill="1A2E4A"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Tradition</w:t>
            </w:r>
          </w:p>
        </w:tc>
        <w:tc>
          <w:tcPr>
            <w:tcW w:type="dxa" w:w="2200"/>
            <w:tcBorders>
              <w:top w:val="single" w:color="CCCCCC" w:sz="1"/>
              <w:left w:val="single" w:color="CCCCCC" w:sz="1"/>
              <w:bottom w:val="single" w:color="CCCCCC" w:sz="1"/>
              <w:right w:val="single" w:color="CCCCCC" w:sz="1"/>
            </w:tcBorders>
            <w:shd w:fill="1A2E4A"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Structural Context</w:t>
            </w:r>
          </w:p>
        </w:tc>
        <w:tc>
          <w:tcPr>
            <w:tcW w:type="dxa" w:w="2200"/>
            <w:tcBorders>
              <w:top w:val="single" w:color="CCCCCC" w:sz="1"/>
              <w:left w:val="single" w:color="CCCCCC" w:sz="1"/>
              <w:bottom w:val="single" w:color="CCCCCC" w:sz="1"/>
              <w:right w:val="single" w:color="CCCCCC" w:sz="1"/>
            </w:tcBorders>
            <w:shd w:fill="1A2E4A"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Formal Properties</w:t>
            </w:r>
          </w:p>
        </w:tc>
        <w:tc>
          <w:tcPr>
            <w:tcW w:type="dxa" w:w="1760"/>
            <w:tcBorders>
              <w:top w:val="single" w:color="CCCCCC" w:sz="1"/>
              <w:left w:val="single" w:color="CCCCCC" w:sz="1"/>
              <w:bottom w:val="single" w:color="CCCCCC" w:sz="1"/>
              <w:right w:val="single" w:color="CCCCCC" w:sz="1"/>
            </w:tcBorders>
            <w:shd w:fill="1A2E4A"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DSSM Observation</w:t>
            </w:r>
          </w:p>
        </w:tc>
      </w:tr>
      <w:tr>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sz w:val="18"/>
                <w:szCs w:val="18"/>
              </w:rPr>
              <w:t xml:space="preserve">Judaism</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sz w:val="18"/>
                <w:szCs w:val="18"/>
              </w:rPr>
              <w:t xml:space="preserve">Exile, loss of temple anchor, Babylonian theological encounter</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sz w:val="18"/>
                <w:szCs w:val="18"/>
              </w:rPr>
              <w:t xml:space="preserve">Text-embedded covenant, geographic independence, universal ethical scope</w:t>
            </w:r>
          </w:p>
        </w:tc>
        <w:tc>
          <w:tcPr>
            <w:tcW w:type="dxa" w:w="1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sz w:val="18"/>
                <w:szCs w:val="18"/>
              </w:rPr>
              <w:t xml:space="preserve">Portable system capable of surviving destruction of physical anchors</w:t>
            </w:r>
          </w:p>
        </w:tc>
      </w:tr>
      <w:tr>
        <w:tc>
          <w:tcPr>
            <w:tcW w:type="dxa" w:w="1200"/>
            <w:tcBorders>
              <w:top w:val="single" w:color="CCCCCC" w:sz="1"/>
              <w:left w:val="single" w:color="CCCCCC" w:sz="1"/>
              <w:bottom w:val="single" w:color="CCCCCC" w:sz="1"/>
              <w:right w:val="single" w:color="CCCCCC" w:sz="1"/>
            </w:tcBorders>
            <w:shd w:fill="F7F3EC" w:val="clear"/>
            <w:tcMar>
              <w:top w:type="dxa" w:w="80"/>
              <w:left w:type="dxa" w:w="120"/>
              <w:bottom w:type="dxa" w:w="80"/>
              <w:right w:type="dxa" w:w="120"/>
            </w:tcMar>
          </w:tcPr>
          <w:p>
            <w:pPr>
              <w:jc w:val="left"/>
            </w:pPr>
            <w:r>
              <w:rPr>
                <w:rFonts w:ascii="Arial" w:cs="Arial" w:eastAsia="Arial" w:hAnsi="Arial"/>
                <w:sz w:val="18"/>
                <w:szCs w:val="18"/>
              </w:rPr>
              <w:t xml:space="preserve">Christianity</w:t>
            </w:r>
          </w:p>
        </w:tc>
        <w:tc>
          <w:tcPr>
            <w:tcW w:type="dxa" w:w="2200"/>
            <w:tcBorders>
              <w:top w:val="single" w:color="CCCCCC" w:sz="1"/>
              <w:left w:val="single" w:color="CCCCCC" w:sz="1"/>
              <w:bottom w:val="single" w:color="CCCCCC" w:sz="1"/>
              <w:right w:val="single" w:color="CCCCCC" w:sz="1"/>
            </w:tcBorders>
            <w:shd w:fill="F7F3EC" w:val="clear"/>
            <w:tcMar>
              <w:top w:type="dxa" w:w="80"/>
              <w:left w:type="dxa" w:w="120"/>
              <w:bottom w:type="dxa" w:w="80"/>
              <w:right w:type="dxa" w:w="120"/>
            </w:tcMar>
          </w:tcPr>
          <w:p>
            <w:pPr>
              <w:jc w:val="left"/>
            </w:pPr>
            <w:r>
              <w:rPr>
                <w:rFonts w:ascii="Arial" w:cs="Arial" w:eastAsia="Arial" w:hAnsi="Arial"/>
                <w:sz w:val="18"/>
                <w:szCs w:val="18"/>
              </w:rPr>
              <w:t xml:space="preserve">Jewish textual tradition, Greek philosophical categories, Roman administrative context</w:t>
            </w:r>
          </w:p>
        </w:tc>
        <w:tc>
          <w:tcPr>
            <w:tcW w:type="dxa" w:w="2200"/>
            <w:tcBorders>
              <w:top w:val="single" w:color="CCCCCC" w:sz="1"/>
              <w:left w:val="single" w:color="CCCCCC" w:sz="1"/>
              <w:bottom w:val="single" w:color="CCCCCC" w:sz="1"/>
              <w:right w:val="single" w:color="CCCCCC" w:sz="1"/>
            </w:tcBorders>
            <w:shd w:fill="F7F3EC" w:val="clear"/>
            <w:tcMar>
              <w:top w:type="dxa" w:w="80"/>
              <w:left w:type="dxa" w:w="120"/>
              <w:bottom w:type="dxa" w:w="80"/>
              <w:right w:type="dxa" w:w="120"/>
            </w:tcMar>
          </w:tcPr>
          <w:p>
            <w:pPr>
              <w:jc w:val="left"/>
            </w:pPr>
            <w:r>
              <w:rPr>
                <w:rFonts w:ascii="Arial" w:cs="Arial" w:eastAsia="Arial" w:hAnsi="Arial"/>
                <w:sz w:val="18"/>
                <w:szCs w:val="18"/>
              </w:rPr>
              <w:t xml:space="preserve">Universalized ethical obligation, open membership, scriptural authority</w:t>
            </w:r>
          </w:p>
        </w:tc>
        <w:tc>
          <w:tcPr>
            <w:tcW w:type="dxa" w:w="1760"/>
            <w:tcBorders>
              <w:top w:val="single" w:color="CCCCCC" w:sz="1"/>
              <w:left w:val="single" w:color="CCCCCC" w:sz="1"/>
              <w:bottom w:val="single" w:color="CCCCCC" w:sz="1"/>
              <w:right w:val="single" w:color="CCCCCC" w:sz="1"/>
            </w:tcBorders>
            <w:shd w:fill="F7F3EC" w:val="clear"/>
            <w:tcMar>
              <w:top w:type="dxa" w:w="80"/>
              <w:left w:type="dxa" w:w="120"/>
              <w:bottom w:type="dxa" w:w="80"/>
              <w:right w:type="dxa" w:w="120"/>
            </w:tcMar>
          </w:tcPr>
          <w:p>
            <w:pPr>
              <w:jc w:val="left"/>
            </w:pPr>
            <w:r>
              <w:rPr>
                <w:rFonts w:ascii="Arial" w:cs="Arial" w:eastAsia="Arial" w:hAnsi="Arial"/>
                <w:sz w:val="18"/>
                <w:szCs w:val="18"/>
              </w:rPr>
              <w:t xml:space="preserve">Coordination across linguistically diverse populations at imperial scale</w:t>
            </w:r>
          </w:p>
        </w:tc>
      </w:tr>
      <w:tr>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sz w:val="18"/>
                <w:szCs w:val="18"/>
              </w:rPr>
              <w:t xml:space="preserve">Islam</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sz w:val="18"/>
                <w:szCs w:val="18"/>
              </w:rPr>
              <w:t xml:space="preserve">Abrahamic textual tradition, Arabian tribal structures, Byzantine-Persian border context</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sz w:val="18"/>
                <w:szCs w:val="18"/>
              </w:rPr>
              <w:t xml:space="preserve">Complete textual-legal system, ummah as portable community</w:t>
            </w:r>
          </w:p>
        </w:tc>
        <w:tc>
          <w:tcPr>
            <w:tcW w:type="dxa" w:w="1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sz w:val="18"/>
                <w:szCs w:val="18"/>
              </w:rPr>
              <w:t xml:space="preserve">Transmission across linguistically diverse populations without prior institutional infrastructure</w:t>
            </w:r>
          </w:p>
        </w:tc>
      </w:tr>
    </w:tbl>
    <w:p>
      <w:pPr>
        <w:spacing w:after="80" w:before="80"/>
      </w:pPr>
      <w:r>
        <w:t xml:space="preserve"/>
      </w:r>
    </w:p>
    <w:p>
      <w:pPr>
        <w:pStyle w:val="Heading1"/>
        <w:pBdr>
          <w:bottom w:val="single" w:color="C9A227" w:sz="4" w:space="4"/>
        </w:pBdr>
        <w:spacing w:after="180" w:before="360"/>
      </w:pPr>
      <w:r>
        <w:rPr>
          <w:rFonts w:ascii="Georgia" w:cs="Georgia" w:eastAsia="Georgia" w:hAnsi="Georgia"/>
          <w:b/>
          <w:bCs/>
          <w:color w:val="1A2E4A"/>
          <w:sz w:val="28"/>
          <w:szCs w:val="28"/>
        </w:rPr>
        <w:t xml:space="preserve">6. The Long Middle: Empires, Protocols, and Institutional Continuity</w:t>
      </w:r>
    </w:p>
    <w:p>
      <w:pPr>
        <w:spacing w:after="80" w:before="80"/>
        <w:jc w:val="both"/>
      </w:pPr>
      <w:r>
        <w:rPr>
          <w:rFonts w:ascii="Georgia" w:cs="Georgia" w:eastAsia="Georgia" w:hAnsi="Georgia"/>
          <w:sz w:val="22"/>
          <w:szCs w:val="22"/>
        </w:rPr>
        <w:t xml:space="preserve">From the Uruk period through to the Ottoman dissolution in 1918, the Mesopotamian corridor was governed by a succession of political formations — Akkadian, Babylonian, Assyrian, Neo-Babylonian, Achaemenid Persian, Hellenistic, Parthian, Sassanid, Islamic Caliphate, Mongol, Ottoman — each of which absorbed elements of the symbolic substrate of its predecessor while imposing its own administrative superstructure. DSSM describes this as a pattern of selective preservation: incoming administrations adopted institutional forms that were already performing coordination functions rather than replacing them wholesale, because the replacement cost was higher than the adoption cost.</w:t>
      </w:r>
    </w:p>
    <w:p>
      <w:pPr>
        <w:spacing w:after="80" w:before="80"/>
      </w:pPr>
      <w:r>
        <w:t xml:space="preserve"/>
      </w:r>
    </w:p>
    <w:p>
      <w:pPr>
        <w:spacing w:after="80" w:before="80"/>
        <w:jc w:val="both"/>
      </w:pPr>
      <w:r>
        <w:rPr>
          <w:rFonts w:ascii="Georgia" w:cs="Georgia" w:eastAsia="Georgia" w:hAnsi="Georgia"/>
          <w:sz w:val="22"/>
          <w:szCs w:val="22"/>
        </w:rPr>
        <w:t xml:space="preserve">The Hammurabi law code (c. 1754 BCE) illustrates this pattern clearly. It is conventionally framed as a legal innovation. DSSM's reading is different: the 282 laws of the Code did not invent the social relationships they regulated. They encoded pre-existing customary arrangements — compressed a living symbolic order into a durable written form that could be administered without requiring the continuous presence of the community that generated it. The transition is from embedded practice to externalized protocol.</w:t>
      </w:r>
    </w:p>
    <w:p>
      <w:pPr>
        <w:spacing w:after="80" w:before="80"/>
      </w:pPr>
      <w:r>
        <w:t xml:space="preserve"/>
      </w:r>
    </w:p>
    <w:p>
      <w:pPr>
        <w:spacing w:after="80" w:before="80"/>
        <w:jc w:val="both"/>
      </w:pPr>
      <w:r>
        <w:rPr>
          <w:rFonts w:ascii="Georgia" w:cs="Georgia" w:eastAsia="Georgia" w:hAnsi="Georgia"/>
          <w:sz w:val="22"/>
          <w:szCs w:val="22"/>
        </w:rPr>
        <w:t xml:space="preserve">The Assyrian administrative system extended this logic to an unprecedented geographic scale: systematic externalization of Babylonian and Sumerian institutional grammar into imperial protocol, replicable across subject territories (Kuhrt, 1995; Oded, 1979). The accounting operation that Uruk IV temple administrators performed on clay tokens was being performed two thousand years later by Assyrian provincial governors collecting standardized tribute — not because the Assyrians were consciously imitating the Sumerians, but because the administrative form had been transmitted through successive institutional layers and continued to function.</w:t>
      </w:r>
    </w:p>
    <w:p>
      <w:pPr>
        <w:spacing w:after="80" w:before="80"/>
      </w:pPr>
      <w:r>
        <w:t xml:space="preserve"/>
      </w:r>
    </w:p>
    <w:p>
      <w:pPr>
        <w:spacing w:after="80" w:before="80"/>
        <w:jc w:val="both"/>
      </w:pPr>
      <w:r>
        <w:rPr>
          <w:rFonts w:ascii="Georgia" w:cs="Georgia" w:eastAsia="Georgia" w:hAnsi="Georgia"/>
          <w:sz w:val="22"/>
          <w:szCs w:val="22"/>
        </w:rPr>
        <w:t xml:space="preserve">Baghdad, established in 762 CE as the Abbasid capital, was placed near the historic center of the Mesopotamian alluvial plain, close to the site of earlier Babylonian and Parthian cities. The Abbasid administrative tradition drew extensively on Sassanid Persian bureaucratic forms, which themselves drew on earlier Mesopotamian institutional practice. The claim is not one of direct cultural memory but of institutional inheritance through accumulated administrative layers.</w:t>
      </w:r>
    </w:p>
    <w:p>
      <w:pPr>
        <w:spacing w:after="80" w:before="80"/>
      </w:pPr>
      <w:r>
        <w:t xml:space="preserve"/>
      </w:r>
    </w:p>
    <w:p>
      <w:pPr>
        <w:spacing w:after="240" w:before="240"/>
        <w:jc w:val="center"/>
      </w:pPr>
      <w:r>
        <w:rPr>
          <w:rFonts w:ascii="Georgia" w:cs="Georgia" w:eastAsia="Georgia" w:hAnsi="Georgia"/>
          <w:color w:val="C9A227"/>
          <w:sz w:val="20"/>
          <w:szCs w:val="20"/>
        </w:rPr>
        <w:t xml:space="preserve">◆  ◆  ◆</w:t>
      </w:r>
    </w:p>
    <w:p>
      <w:pPr>
        <w:spacing w:after="80" w:before="80"/>
      </w:pPr>
      <w:r>
        <w:t xml:space="preserve"/>
      </w:r>
    </w:p>
    <w:p>
      <w:pPr>
        <w:pStyle w:val="Heading1"/>
        <w:pBdr>
          <w:bottom w:val="single" w:color="C9A227" w:sz="4" w:space="4"/>
        </w:pBdr>
        <w:spacing w:after="180" w:before="360"/>
      </w:pPr>
      <w:r>
        <w:rPr>
          <w:rFonts w:ascii="Georgia" w:cs="Georgia" w:eastAsia="Georgia" w:hAnsi="Georgia"/>
          <w:b/>
          <w:bCs/>
          <w:color w:val="1A2E4A"/>
          <w:sz w:val="28"/>
          <w:szCs w:val="28"/>
        </w:rPr>
        <w:t xml:space="preserve">7. The Oil Century: Resource Control and Symbolic Architecture</w:t>
      </w:r>
    </w:p>
    <w:p>
      <w:pPr>
        <w:spacing w:after="80" w:before="80"/>
        <w:jc w:val="both"/>
      </w:pPr>
      <w:r>
        <w:rPr>
          <w:rFonts w:ascii="Georgia" w:cs="Georgia" w:eastAsia="Georgia" w:hAnsi="Georgia"/>
          <w:sz w:val="22"/>
          <w:szCs w:val="22"/>
        </w:rPr>
        <w:t xml:space="preserve">The discovery of commercially exploitable oil in the Gulf region from the early twentieth century onward shifted the strategic significance of the Tigris-Euphrates corridor without changing its fundamental structural dynamic. Control of resource flows through the region had been a recurring axis of political competition since the earliest urban periods; oil recast this competition in industrial-era terms at global scale.</w:t>
      </w:r>
    </w:p>
    <w:p>
      <w:pPr>
        <w:spacing w:after="80" w:before="80"/>
      </w:pPr>
      <w:r>
        <w:t xml:space="preserve"/>
      </w:r>
    </w:p>
    <w:p>
      <w:pPr>
        <w:spacing w:after="80" w:before="80"/>
        <w:jc w:val="both"/>
      </w:pPr>
      <w:r>
        <w:rPr>
          <w:rFonts w:ascii="Georgia" w:cs="Georgia" w:eastAsia="Georgia" w:hAnsi="Georgia"/>
          <w:sz w:val="22"/>
          <w:szCs w:val="22"/>
        </w:rPr>
        <w:t xml:space="preserve">The post-1945 petrodollar system is, in DSSM terms, a Stage 4 cognitive offloading architecture: a system in which the coordination of global energy flows, monetary exchange, and geopolitical authority is managed through protocols, pricing mechanisms, and institutional frameworks rather than through continuous bilateral negotiation or direct enforcement. The dollar's role as the denomination currency for oil trade is not only an economic arrangement; it is also a symbolic architecture — an institutionally embodied, intergenerationally reproduced agreement that energy exchange will be conducted through a specific medium whose authority is underwritten by US military and financial capacity (Eichengreen, 2011; Yergin, 1991). When that agreement holds, it performs coordination functions analogous to those that Mesopotamian temple economies performed: reducing the transaction costs of exchange across populations with no direct relationship, converting resource competition into reviewable administrative process.</w:t>
      </w:r>
    </w:p>
    <w:p>
      <w:pPr>
        <w:spacing w:after="80" w:before="80"/>
      </w:pPr>
      <w:r>
        <w:t xml:space="preserve"/>
      </w:r>
    </w:p>
    <w:p>
      <w:pPr>
        <w:spacing w:after="80" w:before="80"/>
        <w:jc w:val="both"/>
      </w:pPr>
      <w:r>
        <w:rPr>
          <w:rFonts w:ascii="Georgia" w:cs="Georgia" w:eastAsia="Georgia" w:hAnsi="Georgia"/>
          <w:sz w:val="22"/>
          <w:szCs w:val="22"/>
        </w:rPr>
        <w:t xml:space="preserve">The nation-states of the modern Gulf — Iraq, Iran, Saudi Arabia, Kuwait, the UAE — are political formations whose borders were drawn by British and French administrators after 1918, in most cases cutting across the ethnic, tribal, and religious boundaries that the regional symbolic substrate had organized across centuries. The resulting political-symbolic misalignment is one structural contributor to the instability of the region in the modern period; the borders create administrative jurisdictions that do not correspond to the symbolic communities they purport to govern.</w:t>
      </w:r>
    </w:p>
    <w:p>
      <w:pPr>
        <w:spacing w:after="80" w:before="80"/>
      </w:pPr>
      <w:r>
        <w:t xml:space="preserve"/>
      </w:r>
    </w:p>
    <w:p>
      <w:pPr>
        <w:pStyle w:val="Heading1"/>
        <w:pBdr>
          <w:bottom w:val="single" w:color="C9A227" w:sz="4" w:space="4"/>
        </w:pBdr>
        <w:spacing w:after="180" w:before="360"/>
      </w:pPr>
      <w:r>
        <w:rPr>
          <w:rFonts w:ascii="Georgia" w:cs="Georgia" w:eastAsia="Georgia" w:hAnsi="Georgia"/>
          <w:b/>
          <w:bCs/>
          <w:color w:val="1A2E4A"/>
          <w:sz w:val="28"/>
          <w:szCs w:val="28"/>
        </w:rPr>
        <w:t xml:space="preserve">8. The 2026 Gulf Confrontation: Substrate Fracture in Real Time</w:t>
      </w:r>
    </w:p>
    <w:p>
      <w:pPr>
        <w:pStyle w:val="Heading2"/>
        <w:spacing w:after="120" w:before="280"/>
      </w:pPr>
      <w:r>
        <w:rPr>
          <w:rFonts w:ascii="Georgia" w:cs="Georgia" w:eastAsia="Georgia" w:hAnsi="Georgia"/>
          <w:b/>
          <w:bCs/>
          <w:color w:val="2E5077"/>
          <w:sz w:val="24"/>
          <w:szCs w:val="24"/>
        </w:rPr>
        <w:t xml:space="preserve">8.1 The DSSM Diagnosis</w:t>
      </w:r>
    </w:p>
    <w:p>
      <w:pPr>
        <w:spacing w:after="80" w:before="80"/>
        <w:jc w:val="both"/>
      </w:pPr>
      <w:r>
        <w:rPr>
          <w:rFonts w:ascii="Georgia" w:cs="Georgia" w:eastAsia="Georgia" w:hAnsi="Georgia"/>
          <w:sz w:val="22"/>
          <w:szCs w:val="22"/>
        </w:rPr>
        <w:t xml:space="preserve">The 2026 Gulf Confrontation — the kinetic strikes on Iranian energy infrastructure, the subsequent pressure on Hormuz passage, the EUR/USD break below 1.16, and the accelerating dedollarization trend in Gulf sovereign wealth management — is not primarily a military crisis. It is, in DSSM terms, the acute phase of a substrate fracture: the simultaneous delegitimation of the coordination architectures that have governed energy flows, monetary exchange, and geopolitical authority in the region since the Nixon-Kissinger oil agreements of the early 1970s.</w:t>
      </w:r>
    </w:p>
    <w:p>
      <w:pPr>
        <w:spacing w:after="80" w:before="80"/>
      </w:pPr>
      <w:r>
        <w:t xml:space="preserve"/>
      </w:r>
    </w:p>
    <w:p>
      <w:pPr>
        <w:spacing w:after="80" w:before="80"/>
        <w:jc w:val="both"/>
      </w:pPr>
      <w:r>
        <w:rPr>
          <w:rFonts w:ascii="Georgia" w:cs="Georgia" w:eastAsia="Georgia" w:hAnsi="Georgia"/>
          <w:sz w:val="22"/>
          <w:szCs w:val="22"/>
        </w:rPr>
        <w:t xml:space="preserve">The NETJERU intelligence system, processing signals from Cycle 2 (March 24, 2026) and Cycle 3, identified Symbolic Regulation Failure scores of 7.8/10 for the energy infrastructure domain — above the NETJERU threshold for irreversible cascade without intervention (Vondoom, 2026h). The Council's independent analysis, directed at the Gulf confrontation using live news data, arrived at the same structural characterization through a different pathway: the primary risk is not a military outcome but a financial one — specifically, the erosion of confidence in dollar-denominated energy settlement at a moment when that confidence is already under structural pressure from dedollarization trends. A military engagement has a definable end state; a confidence collapse in the monetary architecture that governs energy settlement does not end with a ceasefire.</w:t>
      </w:r>
    </w:p>
    <w:p>
      <w:pPr>
        <w:pStyle w:val="Heading2"/>
        <w:spacing w:after="120" w:before="280"/>
      </w:pPr>
      <w:r>
        <w:rPr>
          <w:rFonts w:ascii="Georgia" w:cs="Georgia" w:eastAsia="Georgia" w:hAnsi="Georgia"/>
          <w:b/>
          <w:bCs/>
          <w:color w:val="2E5077"/>
          <w:sz w:val="24"/>
          <w:szCs w:val="24"/>
        </w:rPr>
        <w:t xml:space="preserve">8.2 The Suez Inversion</w:t>
      </w:r>
    </w:p>
    <w:p>
      <w:pPr>
        <w:spacing w:after="80" w:before="80"/>
        <w:jc w:val="both"/>
      </w:pPr>
      <w:r>
        <w:rPr>
          <w:rFonts w:ascii="Georgia" w:cs="Georgia" w:eastAsia="Georgia" w:hAnsi="Georgia"/>
          <w:sz w:val="22"/>
          <w:szCs w:val="22"/>
        </w:rPr>
        <w:t xml:space="preserve">The Council's historical analogue for the 2026 confrontation is the Suez Crisis of 1956, and the analogue holds on four structural variables — contested chokepoint, declining hegemon constrained by financial position, financial weapon more decisive than military outcome, outcome restructures global monetary hierarchy. But the Council's most important analytical contribution was to invert the analogue: in 1956, Eisenhower wielded dollar leverage against Britain with precision and intent. In 2026, the financial weapon is diffuse, structural, and partially autonomous.</w:t>
      </w:r>
    </w:p>
    <w:p>
      <w:pPr>
        <w:spacing w:after="80" w:before="80"/>
      </w:pPr>
      <w:r>
        <w:t xml:space="preserve"/>
      </w:r>
    </w:p>
    <w:p>
      <w:pPr>
        <w:spacing w:after="80" w:before="80"/>
        <w:jc w:val="both"/>
      </w:pPr>
      <w:r>
        <w:rPr>
          <w:rFonts w:ascii="Georgia" w:cs="Georgia" w:eastAsia="Georgia" w:hAnsi="Georgia"/>
          <w:sz w:val="22"/>
          <w:szCs w:val="22"/>
        </w:rPr>
        <w:t xml:space="preserve">Market psychology, algorithmic sovereign debt trading, and the cumulative behavior of dozens of central banks can produce structural monetary transformation without any actor consciously triggering it. This is the key structural distinction between 1956 and 2026: the diffuse financial mechanism does not respond to back-channel communication or face-saving off-ramps in the way that a single actor wielding leverage does. It responds to structural conditions. Deterrence strategies calibrated to actor-signal models are therefore poorly matched to this risk — which is what DSSM's legitimacy-before-infrastructure prescriptions are designed to address.</w:t>
      </w:r>
    </w:p>
    <w:p>
      <w:pPr>
        <w:spacing w:after="80" w:before="80"/>
      </w:pPr>
      <w:r>
        <w:t xml:space="preserve"/>
      </w:r>
    </w:p>
    <w:tbl>
      <w:tblPr>
        <w:tblW w:type="dxa" w:w="7860"/>
        <w:tblBorders>
          <w:top w:val="single" w:color="auto" w:sz="4"/>
          <w:left w:val="single" w:color="auto" w:sz="4"/>
          <w:bottom w:val="single" w:color="auto" w:sz="4"/>
          <w:right w:val="single" w:color="auto" w:sz="4"/>
          <w:insideH w:val="single" w:color="auto" w:sz="4"/>
          <w:insideV w:val="single" w:color="auto" w:sz="4"/>
        </w:tblBorders>
      </w:tblPr>
      <w:tblGrid>
        <w:gridCol w:w="1800"/>
        <w:gridCol w:w="3000"/>
        <w:gridCol w:w="3060"/>
      </w:tblGrid>
      <w:tr>
        <w:trPr>
          <w:tblHeader/>
        </w:trPr>
        <w:tc>
          <w:tcPr>
            <w:tcW w:type="dxa" w:w="1800"/>
            <w:tcBorders>
              <w:top w:val="single" w:color="CCCCCC" w:sz="1"/>
              <w:left w:val="single" w:color="CCCCCC" w:sz="1"/>
              <w:bottom w:val="single" w:color="CCCCCC" w:sz="1"/>
              <w:right w:val="single" w:color="CCCCCC" w:sz="1"/>
            </w:tcBorders>
            <w:shd w:fill="1A2E4A"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Variable</w:t>
            </w:r>
          </w:p>
        </w:tc>
        <w:tc>
          <w:tcPr>
            <w:tcW w:type="dxa" w:w="3000"/>
            <w:tcBorders>
              <w:top w:val="single" w:color="CCCCCC" w:sz="1"/>
              <w:left w:val="single" w:color="CCCCCC" w:sz="1"/>
              <w:bottom w:val="single" w:color="CCCCCC" w:sz="1"/>
              <w:right w:val="single" w:color="CCCCCC" w:sz="1"/>
            </w:tcBorders>
            <w:shd w:fill="1A2E4A"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Suez 1956</w:t>
            </w:r>
          </w:p>
        </w:tc>
        <w:tc>
          <w:tcPr>
            <w:tcW w:type="dxa" w:w="3060"/>
            <w:tcBorders>
              <w:top w:val="single" w:color="CCCCCC" w:sz="1"/>
              <w:left w:val="single" w:color="CCCCCC" w:sz="1"/>
              <w:bottom w:val="single" w:color="CCCCCC" w:sz="1"/>
              <w:right w:val="single" w:color="CCCCCC" w:sz="1"/>
            </w:tcBorders>
            <w:shd w:fill="1A2E4A"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Gulf 2026</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sz w:val="18"/>
                <w:szCs w:val="18"/>
              </w:rPr>
              <w:t xml:space="preserve">Contested chokepoint</w:t>
            </w:r>
          </w:p>
        </w:tc>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sz w:val="18"/>
                <w:szCs w:val="18"/>
              </w:rPr>
              <w:t xml:space="preserve">Suez Canal — Sterling zone authority</w:t>
            </w:r>
          </w:p>
        </w:tc>
        <w:tc>
          <w:tcPr>
            <w:tcW w:type="dxa" w:w="30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sz w:val="18"/>
                <w:szCs w:val="18"/>
              </w:rPr>
              <w:t xml:space="preserve">Strait of Hormuz — Petrodollar circulation</w:t>
            </w:r>
          </w:p>
        </w:tc>
      </w:tr>
      <w:tr>
        <w:tc>
          <w:tcPr>
            <w:tcW w:type="dxa" w:w="1800"/>
            <w:tcBorders>
              <w:top w:val="single" w:color="CCCCCC" w:sz="1"/>
              <w:left w:val="single" w:color="CCCCCC" w:sz="1"/>
              <w:bottom w:val="single" w:color="CCCCCC" w:sz="1"/>
              <w:right w:val="single" w:color="CCCCCC" w:sz="1"/>
            </w:tcBorders>
            <w:shd w:fill="F7F3EC" w:val="clear"/>
            <w:tcMar>
              <w:top w:type="dxa" w:w="80"/>
              <w:left w:type="dxa" w:w="120"/>
              <w:bottom w:type="dxa" w:w="80"/>
              <w:right w:type="dxa" w:w="120"/>
            </w:tcMar>
          </w:tcPr>
          <w:p>
            <w:pPr>
              <w:jc w:val="left"/>
            </w:pPr>
            <w:r>
              <w:rPr>
                <w:rFonts w:ascii="Arial" w:cs="Arial" w:eastAsia="Arial" w:hAnsi="Arial"/>
                <w:sz w:val="18"/>
                <w:szCs w:val="18"/>
              </w:rPr>
              <w:t xml:space="preserve">Declining hegemon</w:t>
            </w:r>
          </w:p>
        </w:tc>
        <w:tc>
          <w:tcPr>
            <w:tcW w:type="dxa" w:w="3000"/>
            <w:tcBorders>
              <w:top w:val="single" w:color="CCCCCC" w:sz="1"/>
              <w:left w:val="single" w:color="CCCCCC" w:sz="1"/>
              <w:bottom w:val="single" w:color="CCCCCC" w:sz="1"/>
              <w:right w:val="single" w:color="CCCCCC" w:sz="1"/>
            </w:tcBorders>
            <w:shd w:fill="F7F3EC" w:val="clear"/>
            <w:tcMar>
              <w:top w:type="dxa" w:w="80"/>
              <w:left w:type="dxa" w:w="120"/>
              <w:bottom w:type="dxa" w:w="80"/>
              <w:right w:type="dxa" w:w="120"/>
            </w:tcMar>
          </w:tcPr>
          <w:p>
            <w:pPr>
              <w:jc w:val="left"/>
            </w:pPr>
            <w:r>
              <w:rPr>
                <w:rFonts w:ascii="Arial" w:cs="Arial" w:eastAsia="Arial" w:hAnsi="Arial"/>
                <w:sz w:val="18"/>
                <w:szCs w:val="18"/>
              </w:rPr>
              <w:t xml:space="preserve">UK constrained by dollar pressure</w:t>
            </w:r>
          </w:p>
        </w:tc>
        <w:tc>
          <w:tcPr>
            <w:tcW w:type="dxa" w:w="3060"/>
            <w:tcBorders>
              <w:top w:val="single" w:color="CCCCCC" w:sz="1"/>
              <w:left w:val="single" w:color="CCCCCC" w:sz="1"/>
              <w:bottom w:val="single" w:color="CCCCCC" w:sz="1"/>
              <w:right w:val="single" w:color="CCCCCC" w:sz="1"/>
            </w:tcBorders>
            <w:shd w:fill="F7F3EC" w:val="clear"/>
            <w:tcMar>
              <w:top w:type="dxa" w:w="80"/>
              <w:left w:type="dxa" w:w="120"/>
              <w:bottom w:type="dxa" w:w="80"/>
              <w:right w:type="dxa" w:w="120"/>
            </w:tcMar>
          </w:tcPr>
          <w:p>
            <w:pPr>
              <w:jc w:val="left"/>
            </w:pPr>
            <w:r>
              <w:rPr>
                <w:rFonts w:ascii="Arial" w:cs="Arial" w:eastAsia="Arial" w:hAnsi="Arial"/>
                <w:sz w:val="18"/>
                <w:szCs w:val="18"/>
              </w:rPr>
              <w:t xml:space="preserve">US constrained by $39T debt + dedollarization</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sz w:val="18"/>
                <w:szCs w:val="18"/>
              </w:rPr>
              <w:t xml:space="preserve">Financial weapon</w:t>
            </w:r>
          </w:p>
        </w:tc>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sz w:val="18"/>
                <w:szCs w:val="18"/>
              </w:rPr>
              <w:t xml:space="preserve">Wielded with precision by single actor (Eisenhower)</w:t>
            </w:r>
          </w:p>
        </w:tc>
        <w:tc>
          <w:tcPr>
            <w:tcW w:type="dxa" w:w="30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sz w:val="18"/>
                <w:szCs w:val="18"/>
              </w:rPr>
              <w:t xml:space="preserve">Diffuse, autonomous, no single trigger point</w:t>
            </w:r>
          </w:p>
        </w:tc>
      </w:tr>
      <w:tr>
        <w:tc>
          <w:tcPr>
            <w:tcW w:type="dxa" w:w="1800"/>
            <w:tcBorders>
              <w:top w:val="single" w:color="CCCCCC" w:sz="1"/>
              <w:left w:val="single" w:color="CCCCCC" w:sz="1"/>
              <w:bottom w:val="single" w:color="CCCCCC" w:sz="1"/>
              <w:right w:val="single" w:color="CCCCCC" w:sz="1"/>
            </w:tcBorders>
            <w:shd w:fill="F7F3EC" w:val="clear"/>
            <w:tcMar>
              <w:top w:type="dxa" w:w="80"/>
              <w:left w:type="dxa" w:w="120"/>
              <w:bottom w:type="dxa" w:w="80"/>
              <w:right w:type="dxa" w:w="120"/>
            </w:tcMar>
          </w:tcPr>
          <w:p>
            <w:pPr>
              <w:jc w:val="left"/>
            </w:pPr>
            <w:r>
              <w:rPr>
                <w:rFonts w:ascii="Arial" w:cs="Arial" w:eastAsia="Arial" w:hAnsi="Arial"/>
                <w:sz w:val="18"/>
                <w:szCs w:val="18"/>
              </w:rPr>
              <w:t xml:space="preserve">Outcome</w:t>
            </w:r>
          </w:p>
        </w:tc>
        <w:tc>
          <w:tcPr>
            <w:tcW w:type="dxa" w:w="3000"/>
            <w:tcBorders>
              <w:top w:val="single" w:color="CCCCCC" w:sz="1"/>
              <w:left w:val="single" w:color="CCCCCC" w:sz="1"/>
              <w:bottom w:val="single" w:color="CCCCCC" w:sz="1"/>
              <w:right w:val="single" w:color="CCCCCC" w:sz="1"/>
            </w:tcBorders>
            <w:shd w:fill="F7F3EC" w:val="clear"/>
            <w:tcMar>
              <w:top w:type="dxa" w:w="80"/>
              <w:left w:type="dxa" w:w="120"/>
              <w:bottom w:type="dxa" w:w="80"/>
              <w:right w:type="dxa" w:w="120"/>
            </w:tcMar>
          </w:tcPr>
          <w:p>
            <w:pPr>
              <w:jc w:val="left"/>
            </w:pPr>
            <w:r>
              <w:rPr>
                <w:rFonts w:ascii="Arial" w:cs="Arial" w:eastAsia="Arial" w:hAnsi="Arial"/>
                <w:sz w:val="18"/>
                <w:szCs w:val="18"/>
              </w:rPr>
              <w:t xml:space="preserve">Clean new order — US hegemony consolidated</w:t>
            </w:r>
          </w:p>
        </w:tc>
        <w:tc>
          <w:tcPr>
            <w:tcW w:type="dxa" w:w="3060"/>
            <w:tcBorders>
              <w:top w:val="single" w:color="CCCCCC" w:sz="1"/>
              <w:left w:val="single" w:color="CCCCCC" w:sz="1"/>
              <w:bottom w:val="single" w:color="CCCCCC" w:sz="1"/>
              <w:right w:val="single" w:color="CCCCCC" w:sz="1"/>
            </w:tcBorders>
            <w:shd w:fill="F7F3EC" w:val="clear"/>
            <w:tcMar>
              <w:top w:type="dxa" w:w="80"/>
              <w:left w:type="dxa" w:w="120"/>
              <w:bottom w:type="dxa" w:w="80"/>
              <w:right w:type="dxa" w:w="120"/>
            </w:tcMar>
          </w:tcPr>
          <w:p>
            <w:pPr>
              <w:jc w:val="left"/>
            </w:pPr>
            <w:r>
              <w:rPr>
                <w:rFonts w:ascii="Arial" w:cs="Arial" w:eastAsia="Arial" w:hAnsi="Arial"/>
                <w:sz w:val="18"/>
                <w:szCs w:val="18"/>
              </w:rPr>
              <w:t xml:space="preserve">Likely disorder — multipolar monetary fragmentation</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sz w:val="18"/>
                <w:szCs w:val="18"/>
              </w:rPr>
              <w:t xml:space="preserve">De-escalation path</w:t>
            </w:r>
          </w:p>
        </w:tc>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sz w:val="18"/>
                <w:szCs w:val="18"/>
              </w:rPr>
              <w:t xml:space="preserve">Back-channel actor signals (deterrable)</w:t>
            </w:r>
          </w:p>
        </w:tc>
        <w:tc>
          <w:tcPr>
            <w:tcW w:type="dxa" w:w="30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sz w:val="18"/>
                <w:szCs w:val="18"/>
              </w:rPr>
              <w:t xml:space="preserve">Structural conditions (not deterrable by signals alone)</w:t>
            </w:r>
          </w:p>
        </w:tc>
      </w:tr>
    </w:tbl>
    <w:p>
      <w:pPr>
        <w:spacing w:after="80" w:before="80"/>
      </w:pPr>
      <w:r>
        <w:t xml:space="preserve"/>
      </w:r>
    </w:p>
    <w:p>
      <w:pPr>
        <w:pStyle w:val="Heading2"/>
        <w:spacing w:after="120" w:before="280"/>
      </w:pPr>
      <w:r>
        <w:rPr>
          <w:rFonts w:ascii="Georgia" w:cs="Georgia" w:eastAsia="Georgia" w:hAnsi="Georgia"/>
          <w:b/>
          <w:bCs/>
          <w:color w:val="2E5077"/>
          <w:sz w:val="24"/>
          <w:szCs w:val="24"/>
        </w:rPr>
        <w:t xml:space="preserve">8.3 The IRGC Gap</w:t>
      </w:r>
    </w:p>
    <w:p>
      <w:pPr>
        <w:spacing w:after="80" w:before="80"/>
        <w:jc w:val="both"/>
      </w:pPr>
      <w:r>
        <w:rPr>
          <w:rFonts w:ascii="Georgia" w:cs="Georgia" w:eastAsia="Georgia" w:hAnsi="Georgia"/>
          <w:sz w:val="22"/>
          <w:szCs w:val="22"/>
        </w:rPr>
        <w:t xml:space="preserve">The Council's most practically important single finding for the 2026 confrontation is the IRGC gap: the standard crisis de-escalation architecture — back-channel communications, diplomatic signaling, third-party mediation — routes through Tehran's political leadership. But operational decisions regarding Hormuz interdiction are made by the Islamic Revolutionary Guard Corps, which is institutionally insulated from diplomatic signals directed at political authorities.</w:t>
      </w:r>
    </w:p>
    <w:p>
      <w:pPr>
        <w:spacing w:after="80" w:before="80"/>
      </w:pPr>
      <w:r>
        <w:t xml:space="preserve"/>
      </w:r>
    </w:p>
    <w:p>
      <w:pPr>
        <w:spacing w:after="80" w:before="80"/>
        <w:jc w:val="both"/>
      </w:pPr>
      <w:r>
        <w:rPr>
          <w:rFonts w:ascii="Georgia" w:cs="Georgia" w:eastAsia="Georgia" w:hAnsi="Georgia"/>
          <w:sz w:val="22"/>
          <w:szCs w:val="22"/>
        </w:rPr>
        <w:t xml:space="preserve">DSSM names this pattern symbolic signal misalignment: the communication architecture for coordination is not matched to the actual decision architecture for action. This is not a communication failure. It is a structural gap in the symbolic coordination system. Interventions routed through the wrong decision authority risk consuming the coordination window without producing actual operational constraint.</w:t>
      </w:r>
    </w:p>
    <w:p>
      <w:pPr>
        <w:pStyle w:val="Heading2"/>
        <w:spacing w:after="120" w:before="280"/>
      </w:pPr>
      <w:r>
        <w:rPr>
          <w:rFonts w:ascii="Georgia" w:cs="Georgia" w:eastAsia="Georgia" w:hAnsi="Georgia"/>
          <w:b/>
          <w:bCs/>
          <w:color w:val="2E5077"/>
          <w:sz w:val="24"/>
          <w:szCs w:val="24"/>
        </w:rPr>
        <w:t xml:space="preserve">8.4 The Petrodollar System Under Pressure</w:t>
      </w:r>
    </w:p>
    <w:p>
      <w:pPr>
        <w:spacing w:after="80" w:before="80"/>
        <w:jc w:val="both"/>
      </w:pPr>
      <w:r>
        <w:rPr>
          <w:rFonts w:ascii="Georgia" w:cs="Georgia" w:eastAsia="Georgia" w:hAnsi="Georgia"/>
          <w:sz w:val="22"/>
          <w:szCs w:val="22"/>
        </w:rPr>
        <w:t xml:space="preserve">From a DSSM perspective, the petrodollar system exhibits the formal properties of a stabilized symbolic architecture. The 1974 Nixon-Kissinger oil agreements were an improvised response to the 1973 oil shock — a Stage 1 and Stage 2 construction, built from bilateral agreements and diplomatic pressure, that solved an immediate coordination problem by embedding a specific set of practices into institutional form: price oil in dollars, recycle dollar surpluses through US financial markets, accept US security guarantees in exchange for pricing compliance (Yergin, 1991; Eichengreen, 2011).</w:t>
      </w:r>
    </w:p>
    <w:p>
      <w:pPr>
        <w:spacing w:after="80" w:before="80"/>
      </w:pPr>
      <w:r>
        <w:t xml:space="preserve"/>
      </w:r>
    </w:p>
    <w:p>
      <w:pPr>
        <w:spacing w:after="80" w:before="80"/>
        <w:jc w:val="both"/>
      </w:pPr>
      <w:r>
        <w:rPr>
          <w:rFonts w:ascii="Georgia" w:cs="Georgia" w:eastAsia="Georgia" w:hAnsi="Georgia"/>
          <w:sz w:val="22"/>
          <w:szCs w:val="22"/>
        </w:rPr>
        <w:t xml:space="preserve">Over fifty years, those practices became deeply embedded across multiple institutional layers — sovereign wealth fund structures, futures markets, central bank reserve policies, diplomatic protocols, and military basing arrangements. The system has been modified repeatedly through this period (OPEC+ pricing coordination, bilateral currency swaps, reserve diversification), but the core dollar-denomination framework has persisted as the dominant coordination grammar. On DSSM's analysis, replacing this framework requires not renegotiation of its terms but construction of an alternative symbolic architecture with comparable depth of institutional embedding — which is what DSSM's prescriptions target.</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1A2E4A" w:val="clear"/>
            <w:tcMar>
              <w:top w:type="dxa" w:w="120"/>
              <w:left w:type="dxa" w:w="180"/>
              <w:bottom w:type="dxa" w:w="120"/>
              <w:right w:type="dxa" w:w="180"/>
            </w:tcMar>
          </w:tcPr>
          <w:p>
            <w:r>
              <w:rPr>
                <w:rFonts w:ascii="Arial" w:cs="Arial" w:eastAsia="Arial" w:hAnsi="Arial"/>
                <w:b/>
                <w:bCs/>
                <w:color w:val="C9A227"/>
                <w:sz w:val="18"/>
                <w:szCs w:val="18"/>
              </w:rPr>
              <w:t xml:space="preserve">𓇋 OSIRIS — HISTORICAL MEMORY  |  c. 1200 BCE</w:t>
            </w:r>
          </w:p>
          <w:p>
            <w:r>
              <w:rPr>
                <w:rFonts w:ascii="Georgia" w:cs="Georgia" w:eastAsia="Georgia" w:hAnsi="Georgia"/>
                <w:b/>
                <w:bCs/>
                <w:color w:val="FFFFFF"/>
                <w:sz w:val="20"/>
                <w:szCs w:val="20"/>
              </w:rPr>
              <w:t xml:space="preserve">Late Bronze Age Collapse — Physical Infrastructure Survived, Coordination Did Not</w:t>
            </w:r>
          </w:p>
        </w:tc>
      </w:tr>
      <w:tr>
        <w:tc>
          <w:tcPr>
            <w:tcW w:type="dxa" w:w="9360"/>
            <w:tcBorders>
              <w:top w:val="single" w:color="CCCCCC" w:sz="1"/>
              <w:left w:val="single" w:color="CCCCCC" w:sz="1"/>
              <w:bottom w:val="single" w:color="CCCCCC" w:sz="1"/>
              <w:right w:val="single" w:color="CCCCCC" w:sz="1"/>
            </w:tcBorders>
            <w:shd w:fill="F5EFE0" w:val="clear"/>
            <w:tcMar>
              <w:top w:type="dxa" w:w="120"/>
              <w:left w:type="dxa" w:w="180"/>
              <w:bottom w:type="dxa" w:w="120"/>
              <w:right w:type="dxa" w:w="180"/>
            </w:tcMar>
          </w:tcPr>
          <w:p>
            <w:pPr>
              <w:jc w:val="both"/>
            </w:pPr>
            <w:r>
              <w:rPr>
                <w:rFonts w:ascii="Georgia" w:cs="Georgia" w:eastAsia="Georgia" w:hAnsi="Georgia"/>
                <w:i/>
                <w:iCs/>
                <w:color w:val="1A2E4A"/>
                <w:sz w:val="20"/>
                <w:szCs w:val="20"/>
              </w:rPr>
              <w:t xml:space="preserve">The Late Bronze Age Collapse (c. 1200 BCE) offers a structural parallel relevant to the 2026 Gulf situation. The palatial economies of the Eastern Mediterranean — Egypt, Hatti, Ugarit, Mycenae — maintained physical infrastructure (ports, storage facilities, workshops) while the symbolic coordination substrate that made that infrastructure operable dissolved. Three centuries of fragmentation followed before new coordination architectures — alphabetic writing, coinage, reformed temple-palace relationships — reached operational scale. The relevant DSSM observation: when coordination substrate fractures, restoring physical infrastructure does not restore function. Legitimacy reconstruction is the prior condition. See Drews (1993) and Cline (2014) for the primary scholarly debate on collapse causation.</w:t>
            </w:r>
          </w:p>
        </w:tc>
      </w:tr>
    </w:tbl>
    <w:p>
      <w:pPr>
        <w:spacing w:after="80" w:before="80"/>
      </w:pPr>
      <w:r>
        <w:t xml:space="preserve"/>
      </w:r>
    </w:p>
    <w:p>
      <w:pPr>
        <w:pStyle w:val="Heading1"/>
        <w:pBdr>
          <w:bottom w:val="single" w:color="C9A227" w:sz="4" w:space="4"/>
        </w:pBdr>
        <w:spacing w:after="180" w:before="360"/>
      </w:pPr>
      <w:r>
        <w:rPr>
          <w:rFonts w:ascii="Georgia" w:cs="Georgia" w:eastAsia="Georgia" w:hAnsi="Georgia"/>
          <w:b/>
          <w:bCs/>
          <w:color w:val="1A2E4A"/>
          <w:sz w:val="28"/>
          <w:szCs w:val="28"/>
        </w:rPr>
        <w:t xml:space="preserve">9. DSSM Prescriptions: The Intervention Window</w:t>
      </w:r>
    </w:p>
    <w:p>
      <w:pPr>
        <w:spacing w:after="80" w:before="80"/>
        <w:jc w:val="both"/>
      </w:pPr>
      <w:r>
        <w:rPr>
          <w:rFonts w:ascii="Georgia" w:cs="Georgia" w:eastAsia="Georgia" w:hAnsi="Georgia"/>
          <w:sz w:val="22"/>
          <w:szCs w:val="22"/>
        </w:rPr>
        <w:t xml:space="preserve">The five DSSM prescriptions for the 2026 Gulf crisis, identified through NETJERU Cycle 2 signal processing and confirmed by The Council's independent analysis, operate across three timescales. The window for effective intervention is estimated at 18–36 months before regional exit cascades become self-reinforcing (Vondoom, 2026h). A methodological note applies here: NETJERU scores are generated by a system designed by the same author; they represent structured model outputs rather than independent empirical data points, and should be read as internal consistency measures rather than externally validated indicators.</w:t>
      </w:r>
    </w:p>
    <w:p>
      <w:pPr>
        <w:spacing w:after="80" w:before="80"/>
      </w:pPr>
      <w:r>
        <w:t xml:space="preserve"/>
      </w:r>
    </w:p>
    <w:tbl>
      <w:tblPr>
        <w:tblW w:type="dxa" w:w="8860"/>
        <w:tblBorders>
          <w:top w:val="single" w:color="auto" w:sz="4"/>
          <w:left w:val="single" w:color="auto" w:sz="4"/>
          <w:bottom w:val="single" w:color="auto" w:sz="4"/>
          <w:right w:val="single" w:color="auto" w:sz="4"/>
          <w:insideH w:val="single" w:color="auto" w:sz="4"/>
          <w:insideV w:val="single" w:color="auto" w:sz="4"/>
        </w:tblBorders>
      </w:tblPr>
      <w:tblGrid>
        <w:gridCol w:w="1500"/>
        <w:gridCol w:w="1500"/>
        <w:gridCol w:w="1200"/>
        <w:gridCol w:w="4660"/>
      </w:tblGrid>
      <w:tr>
        <w:trPr>
          <w:tblHeader/>
        </w:trPr>
        <w:tc>
          <w:tcPr>
            <w:tcW w:type="dxa" w:w="1500"/>
            <w:tcBorders>
              <w:top w:val="single" w:color="CCCCCC" w:sz="1"/>
              <w:left w:val="single" w:color="CCCCCC" w:sz="1"/>
              <w:bottom w:val="single" w:color="CCCCCC" w:sz="1"/>
              <w:right w:val="single" w:color="CCCCCC" w:sz="1"/>
            </w:tcBorders>
            <w:shd w:fill="1A2E4A"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Prescription</w:t>
            </w:r>
          </w:p>
        </w:tc>
        <w:tc>
          <w:tcPr>
            <w:tcW w:type="dxa" w:w="1500"/>
            <w:tcBorders>
              <w:top w:val="single" w:color="CCCCCC" w:sz="1"/>
              <w:left w:val="single" w:color="CCCCCC" w:sz="1"/>
              <w:bottom w:val="single" w:color="CCCCCC" w:sz="1"/>
              <w:right w:val="single" w:color="CCCCCC" w:sz="1"/>
            </w:tcBorders>
            <w:shd w:fill="1A2E4A"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Domain</w:t>
            </w:r>
          </w:p>
        </w:tc>
        <w:tc>
          <w:tcPr>
            <w:tcW w:type="dxa" w:w="1200"/>
            <w:tcBorders>
              <w:top w:val="single" w:color="CCCCCC" w:sz="1"/>
              <w:left w:val="single" w:color="CCCCCC" w:sz="1"/>
              <w:bottom w:val="single" w:color="CCCCCC" w:sz="1"/>
              <w:right w:val="single" w:color="CCCCCC" w:sz="1"/>
            </w:tcBorders>
            <w:shd w:fill="1A2E4A"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Timeline</w:t>
            </w:r>
          </w:p>
        </w:tc>
        <w:tc>
          <w:tcPr>
            <w:tcW w:type="dxa" w:w="4660"/>
            <w:tcBorders>
              <w:top w:val="single" w:color="CCCCCC" w:sz="1"/>
              <w:left w:val="single" w:color="CCCCCC" w:sz="1"/>
              <w:bottom w:val="single" w:color="CCCCCC" w:sz="1"/>
              <w:right w:val="single" w:color="CCCCCC" w:sz="1"/>
            </w:tcBorders>
            <w:shd w:fill="1A2E4A"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Core Mechanism</w:t>
            </w:r>
          </w:p>
        </w:tc>
      </w:tr>
      <w:tr>
        <w:tc>
          <w:tcPr>
            <w:tcW w:type="dxa" w:w="1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sz w:val="18"/>
                <w:szCs w:val="18"/>
              </w:rPr>
              <w:t xml:space="preserve">P1: Temporal Buffers</w:t>
            </w:r>
          </w:p>
        </w:tc>
        <w:tc>
          <w:tcPr>
            <w:tcW w:type="dxa" w:w="1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sz w:val="18"/>
                <w:szCs w:val="18"/>
              </w:rPr>
              <w:t xml:space="preserve">Military escalation pathway</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sz w:val="18"/>
                <w:szCs w:val="18"/>
              </w:rPr>
              <w:t xml:space="preserve">0–30 days</w:t>
            </w:r>
          </w:p>
        </w:tc>
        <w:tc>
          <w:tcPr>
            <w:tcW w:type="dxa" w:w="46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sz w:val="18"/>
                <w:szCs w:val="18"/>
              </w:rPr>
              <w:t xml:space="preserve">Bounded naval posture with explicit off-ramp; private communication to Tehran AND Israel simultaneously</w:t>
            </w:r>
          </w:p>
        </w:tc>
      </w:tr>
      <w:tr>
        <w:tc>
          <w:tcPr>
            <w:tcW w:type="dxa" w:w="1500"/>
            <w:tcBorders>
              <w:top w:val="single" w:color="CCCCCC" w:sz="1"/>
              <w:left w:val="single" w:color="CCCCCC" w:sz="1"/>
              <w:bottom w:val="single" w:color="CCCCCC" w:sz="1"/>
              <w:right w:val="single" w:color="CCCCCC" w:sz="1"/>
            </w:tcBorders>
            <w:shd w:fill="F7F3EC" w:val="clear"/>
            <w:tcMar>
              <w:top w:type="dxa" w:w="80"/>
              <w:left w:type="dxa" w:w="120"/>
              <w:bottom w:type="dxa" w:w="80"/>
              <w:right w:type="dxa" w:w="120"/>
            </w:tcMar>
          </w:tcPr>
          <w:p>
            <w:pPr>
              <w:jc w:val="left"/>
            </w:pPr>
            <w:r>
              <w:rPr>
                <w:rFonts w:ascii="Arial" w:cs="Arial" w:eastAsia="Arial" w:hAnsi="Arial"/>
                <w:sz w:val="18"/>
                <w:szCs w:val="18"/>
              </w:rPr>
              <w:t xml:space="preserve">P2: Redundant Communication</w:t>
            </w:r>
          </w:p>
        </w:tc>
        <w:tc>
          <w:tcPr>
            <w:tcW w:type="dxa" w:w="1500"/>
            <w:tcBorders>
              <w:top w:val="single" w:color="CCCCCC" w:sz="1"/>
              <w:left w:val="single" w:color="CCCCCC" w:sz="1"/>
              <w:bottom w:val="single" w:color="CCCCCC" w:sz="1"/>
              <w:right w:val="single" w:color="CCCCCC" w:sz="1"/>
            </w:tcBorders>
            <w:shd w:fill="F7F3EC" w:val="clear"/>
            <w:tcMar>
              <w:top w:type="dxa" w:w="80"/>
              <w:left w:type="dxa" w:w="120"/>
              <w:bottom w:type="dxa" w:w="80"/>
              <w:right w:type="dxa" w:w="120"/>
            </w:tcMar>
          </w:tcPr>
          <w:p>
            <w:pPr>
              <w:jc w:val="left"/>
            </w:pPr>
            <w:r>
              <w:rPr>
                <w:rFonts w:ascii="Arial" w:cs="Arial" w:eastAsia="Arial" w:hAnsi="Arial"/>
                <w:sz w:val="18"/>
                <w:szCs w:val="18"/>
              </w:rPr>
              <w:t xml:space="preserve">Supply chain / market channels</w:t>
            </w:r>
          </w:p>
        </w:tc>
        <w:tc>
          <w:tcPr>
            <w:tcW w:type="dxa" w:w="1200"/>
            <w:tcBorders>
              <w:top w:val="single" w:color="CCCCCC" w:sz="1"/>
              <w:left w:val="single" w:color="CCCCCC" w:sz="1"/>
              <w:bottom w:val="single" w:color="CCCCCC" w:sz="1"/>
              <w:right w:val="single" w:color="CCCCCC" w:sz="1"/>
            </w:tcBorders>
            <w:shd w:fill="F7F3EC" w:val="clear"/>
            <w:tcMar>
              <w:top w:type="dxa" w:w="80"/>
              <w:left w:type="dxa" w:w="120"/>
              <w:bottom w:type="dxa" w:w="80"/>
              <w:right w:type="dxa" w:w="120"/>
            </w:tcMar>
          </w:tcPr>
          <w:p>
            <w:pPr>
              <w:jc w:val="left"/>
            </w:pPr>
            <w:r>
              <w:rPr>
                <w:rFonts w:ascii="Arial" w:cs="Arial" w:eastAsia="Arial" w:hAnsi="Arial"/>
                <w:sz w:val="18"/>
                <w:szCs w:val="18"/>
              </w:rPr>
              <w:t xml:space="preserve">0–10 days (emergency)</w:t>
            </w:r>
          </w:p>
        </w:tc>
        <w:tc>
          <w:tcPr>
            <w:tcW w:type="dxa" w:w="4660"/>
            <w:tcBorders>
              <w:top w:val="single" w:color="CCCCCC" w:sz="1"/>
              <w:left w:val="single" w:color="CCCCCC" w:sz="1"/>
              <w:bottom w:val="single" w:color="CCCCCC" w:sz="1"/>
              <w:right w:val="single" w:color="CCCCCC" w:sz="1"/>
            </w:tcBorders>
            <w:shd w:fill="F7F3EC" w:val="clear"/>
            <w:tcMar>
              <w:top w:type="dxa" w:w="80"/>
              <w:left w:type="dxa" w:w="120"/>
              <w:bottom w:type="dxa" w:w="80"/>
              <w:right w:type="dxa" w:w="120"/>
            </w:tcMar>
          </w:tcPr>
          <w:p>
            <w:pPr>
              <w:jc w:val="left"/>
            </w:pPr>
            <w:r>
              <w:rPr>
                <w:rFonts w:ascii="Arial" w:cs="Arial" w:eastAsia="Arial" w:hAnsi="Arial"/>
                <w:sz w:val="18"/>
                <w:szCs w:val="18"/>
              </w:rPr>
              <w:t xml:space="preserve">Pre-emptive G20 strategic petroleum reserve release before a Hormuz event, not after — removes Iran's ability to use supply disruption as leverage</w:t>
            </w:r>
          </w:p>
        </w:tc>
      </w:tr>
      <w:tr>
        <w:tc>
          <w:tcPr>
            <w:tcW w:type="dxa" w:w="1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sz w:val="18"/>
                <w:szCs w:val="18"/>
              </w:rPr>
              <w:t xml:space="preserve">P3: Financial De-escalation</w:t>
            </w:r>
          </w:p>
        </w:tc>
        <w:tc>
          <w:tcPr>
            <w:tcW w:type="dxa" w:w="1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sz w:val="18"/>
                <w:szCs w:val="18"/>
              </w:rPr>
              <w:t xml:space="preserve">US-Iran economic track</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sz w:val="18"/>
                <w:szCs w:val="18"/>
              </w:rPr>
              <w:t xml:space="preserve">30–90 days</w:t>
            </w:r>
          </w:p>
        </w:tc>
        <w:tc>
          <w:tcPr>
            <w:tcW w:type="dxa" w:w="46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sz w:val="18"/>
                <w:szCs w:val="18"/>
              </w:rPr>
              <w:t xml:space="preserve">Narrow sanctions relief pathway tied to Hormuz non-interference — transactional and financially framed, not a comprehensive nuclear deal</w:t>
            </w:r>
          </w:p>
        </w:tc>
      </w:tr>
      <w:tr>
        <w:tc>
          <w:tcPr>
            <w:tcW w:type="dxa" w:w="1500"/>
            <w:tcBorders>
              <w:top w:val="single" w:color="CCCCCC" w:sz="1"/>
              <w:left w:val="single" w:color="CCCCCC" w:sz="1"/>
              <w:bottom w:val="single" w:color="CCCCCC" w:sz="1"/>
              <w:right w:val="single" w:color="CCCCCC" w:sz="1"/>
            </w:tcBorders>
            <w:shd w:fill="F7F3EC" w:val="clear"/>
            <w:tcMar>
              <w:top w:type="dxa" w:w="80"/>
              <w:left w:type="dxa" w:w="120"/>
              <w:bottom w:type="dxa" w:w="80"/>
              <w:right w:type="dxa" w:w="120"/>
            </w:tcMar>
          </w:tcPr>
          <w:p>
            <w:pPr>
              <w:jc w:val="left"/>
            </w:pPr>
            <w:r>
              <w:rPr>
                <w:rFonts w:ascii="Arial" w:cs="Arial" w:eastAsia="Arial" w:hAnsi="Arial"/>
                <w:sz w:val="18"/>
                <w:szCs w:val="18"/>
              </w:rPr>
              <w:t xml:space="preserve">P4: Legitimacy Before Infrastructure</w:t>
            </w:r>
          </w:p>
        </w:tc>
        <w:tc>
          <w:tcPr>
            <w:tcW w:type="dxa" w:w="1500"/>
            <w:tcBorders>
              <w:top w:val="single" w:color="CCCCCC" w:sz="1"/>
              <w:left w:val="single" w:color="CCCCCC" w:sz="1"/>
              <w:bottom w:val="single" w:color="CCCCCC" w:sz="1"/>
              <w:right w:val="single" w:color="CCCCCC" w:sz="1"/>
            </w:tcBorders>
            <w:shd w:fill="F7F3EC" w:val="clear"/>
            <w:tcMar>
              <w:top w:type="dxa" w:w="80"/>
              <w:left w:type="dxa" w:w="120"/>
              <w:bottom w:type="dxa" w:w="80"/>
              <w:right w:type="dxa" w:w="120"/>
            </w:tcMar>
          </w:tcPr>
          <w:p>
            <w:pPr>
              <w:jc w:val="left"/>
            </w:pPr>
            <w:r>
              <w:rPr>
                <w:rFonts w:ascii="Arial" w:cs="Arial" w:eastAsia="Arial" w:hAnsi="Arial"/>
                <w:sz w:val="18"/>
                <w:szCs w:val="18"/>
              </w:rPr>
              <w:t xml:space="preserve">Monetary architecture</w:t>
            </w:r>
          </w:p>
        </w:tc>
        <w:tc>
          <w:tcPr>
            <w:tcW w:type="dxa" w:w="1200"/>
            <w:tcBorders>
              <w:top w:val="single" w:color="CCCCCC" w:sz="1"/>
              <w:left w:val="single" w:color="CCCCCC" w:sz="1"/>
              <w:bottom w:val="single" w:color="CCCCCC" w:sz="1"/>
              <w:right w:val="single" w:color="CCCCCC" w:sz="1"/>
            </w:tcBorders>
            <w:shd w:fill="F7F3EC" w:val="clear"/>
            <w:tcMar>
              <w:top w:type="dxa" w:w="80"/>
              <w:left w:type="dxa" w:w="120"/>
              <w:bottom w:type="dxa" w:w="80"/>
              <w:right w:type="dxa" w:w="120"/>
            </w:tcMar>
          </w:tcPr>
          <w:p>
            <w:pPr>
              <w:jc w:val="left"/>
            </w:pPr>
            <w:r>
              <w:rPr>
                <w:rFonts w:ascii="Arial" w:cs="Arial" w:eastAsia="Arial" w:hAnsi="Arial"/>
                <w:sz w:val="18"/>
                <w:szCs w:val="18"/>
              </w:rPr>
              <w:t xml:space="preserve">Parallel to P1 (not sequential)</w:t>
            </w:r>
          </w:p>
        </w:tc>
        <w:tc>
          <w:tcPr>
            <w:tcW w:type="dxa" w:w="4660"/>
            <w:tcBorders>
              <w:top w:val="single" w:color="CCCCCC" w:sz="1"/>
              <w:left w:val="single" w:color="CCCCCC" w:sz="1"/>
              <w:bottom w:val="single" w:color="CCCCCC" w:sz="1"/>
              <w:right w:val="single" w:color="CCCCCC" w:sz="1"/>
            </w:tcBorders>
            <w:shd w:fill="F7F3EC" w:val="clear"/>
            <w:tcMar>
              <w:top w:type="dxa" w:w="80"/>
              <w:left w:type="dxa" w:w="120"/>
              <w:bottom w:type="dxa" w:w="80"/>
              <w:right w:type="dxa" w:w="120"/>
            </w:tcMar>
          </w:tcPr>
          <w:p>
            <w:pPr>
              <w:jc w:val="left"/>
            </w:pPr>
            <w:r>
              <w:rPr>
                <w:rFonts w:ascii="Arial" w:cs="Arial" w:eastAsia="Arial" w:hAnsi="Arial"/>
                <w:sz w:val="18"/>
                <w:szCs w:val="18"/>
              </w:rPr>
              <w:t xml:space="preserve">US-initiated multilateral monetary reform proposal — shape the replacement coordination grammar before crisis forces it on unfavorable terms</w:t>
            </w:r>
          </w:p>
        </w:tc>
      </w:tr>
      <w:tr>
        <w:tc>
          <w:tcPr>
            <w:tcW w:type="dxa" w:w="1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sz w:val="18"/>
                <w:szCs w:val="18"/>
              </w:rPr>
              <w:t xml:space="preserve">P5: Unified Conflict Authority</w:t>
            </w:r>
          </w:p>
        </w:tc>
        <w:tc>
          <w:tcPr>
            <w:tcW w:type="dxa" w:w="1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sz w:val="18"/>
                <w:szCs w:val="18"/>
              </w:rPr>
              <w:t xml:space="preserve">Security fragmentation</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sz w:val="18"/>
                <w:szCs w:val="18"/>
              </w:rPr>
              <w:t xml:space="preserve">Parallel</w:t>
            </w:r>
          </w:p>
        </w:tc>
        <w:tc>
          <w:tcPr>
            <w:tcW w:type="dxa" w:w="46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sz w:val="18"/>
                <w:szCs w:val="18"/>
              </w:rPr>
              <w:t xml:space="preserve">Reconstruct shared legitimacy grammar before rebuilding institutions — the symbolic architecture precedes the institutional form</w:t>
            </w:r>
          </w:p>
        </w:tc>
      </w:tr>
    </w:tbl>
    <w:p>
      <w:pPr>
        <w:spacing w:after="80" w:before="80"/>
      </w:pPr>
      <w:r>
        <w:t xml:space="preserve"/>
      </w:r>
    </w:p>
    <w:p>
      <w:pPr>
        <w:spacing w:after="80" w:before="80"/>
        <w:jc w:val="both"/>
      </w:pPr>
      <w:r>
        <w:rPr>
          <w:rFonts w:ascii="Georgia" w:cs="Georgia" w:eastAsia="Georgia" w:hAnsi="Georgia"/>
          <w:sz w:val="22"/>
          <w:szCs w:val="22"/>
        </w:rPr>
        <w:t xml:space="preserve">The most important structural observation is about P4. The Council's Priority 4 — proactive multilateral dollar system stabilization — is the only recommendation that addresses the diffuse financial weapon at the structural level rather than reactively. The DSSM analysis elevates P4 from a 90-day secondary intervention to a parallel Priority 1 action: by the time military de-escalation through P1-P3 succeeds, the financial transformation may have already advanced past the point where a US-initiated Bretton Woods proposal can shape it.</w:t>
      </w:r>
    </w:p>
    <w:p>
      <w:pPr>
        <w:spacing w:after="80" w:before="80"/>
      </w:pPr>
      <w:r>
        <w:t xml:space="preserve"/>
      </w:r>
    </w:p>
    <w:p>
      <w:pPr>
        <w:spacing w:after="80" w:before="80"/>
        <w:jc w:val="both"/>
      </w:pPr>
      <w:r>
        <w:rPr>
          <w:rFonts w:ascii="Georgia" w:cs="Georgia" w:eastAsia="Georgia" w:hAnsi="Georgia"/>
          <w:sz w:val="22"/>
          <w:szCs w:val="22"/>
        </w:rPr>
        <w:t xml:space="preserve">The structural implication is that P4 should be treated as a parallel rather than sequential intervention: the financial transformation pathway operates on a different and potentially faster timescale than the military de-escalation pathway. Waiting for P1–P3 to succeed before initiating P4 leaves the monetary architecture exposed during the period when it is most vulnerable to irreversible change.</w:t>
      </w:r>
    </w:p>
    <w:p>
      <w:pPr>
        <w:spacing w:after="80" w:before="80"/>
      </w:pPr>
      <w:r>
        <w:t xml:space="preserve"/>
      </w:r>
    </w:p>
    <w:p>
      <w:pPr>
        <w:pStyle w:val="Heading1"/>
        <w:pBdr>
          <w:bottom w:val="single" w:color="C9A227" w:sz="4" w:space="4"/>
        </w:pBdr>
        <w:spacing w:after="180" w:before="360"/>
      </w:pPr>
      <w:r>
        <w:rPr>
          <w:rFonts w:ascii="Georgia" w:cs="Georgia" w:eastAsia="Georgia" w:hAnsi="Georgia"/>
          <w:b/>
          <w:bCs/>
          <w:color w:val="1A2E4A"/>
          <w:sz w:val="28"/>
          <w:szCs w:val="28"/>
        </w:rPr>
        <w:t xml:space="preserve">10. Conclusion</w:t>
      </w:r>
    </w:p>
    <w:p>
      <w:pPr>
        <w:spacing w:after="80" w:before="80"/>
        <w:jc w:val="both"/>
      </w:pPr>
      <w:r>
        <w:rPr>
          <w:rFonts w:ascii="Georgia" w:cs="Georgia" w:eastAsia="Georgia" w:hAnsi="Georgia"/>
          <w:sz w:val="22"/>
          <w:szCs w:val="22"/>
        </w:rPr>
        <w:t xml:space="preserve">The DSSM analysis of Mesopotamia across the full arc from Upper Paleolithic site reuse to the 2026 Gulf Confrontation yields three structural findings.</w:t>
      </w:r>
    </w:p>
    <w:p>
      <w:pPr>
        <w:spacing w:after="80" w:before="80"/>
      </w:pPr>
      <w:r>
        <w:t xml:space="preserve"/>
      </w:r>
    </w:p>
    <w:p>
      <w:pPr>
        <w:spacing w:after="80" w:before="80"/>
        <w:jc w:val="both"/>
      </w:pPr>
      <w:r>
        <w:rPr>
          <w:rFonts w:ascii="Georgia" w:cs="Georgia" w:eastAsia="Georgia" w:hAnsi="Georgia"/>
          <w:sz w:val="22"/>
          <w:szCs w:val="22"/>
        </w:rPr>
        <w:t xml:space="preserve">First, symbolic stabilization in the Tigris-Euphrates corridor precedes writing, monumentality, and state formation, and persists through their collapse. The Ubaid temple sequence at Eridu, the cross-media ceramic grammar of the Halaf and Samarra traditions, and the spatial organization of Neolithic villages in the northern corridor all show DSSM saturation criteria being met before the administrative and monumental forms that conventional models treat as causal. Cuneiform and ziggurat architecture are external codifications of symbolic load that was already stabilized — not the mechanisms that generated it.</w:t>
      </w:r>
    </w:p>
    <w:p>
      <w:pPr>
        <w:spacing w:after="80" w:before="80"/>
      </w:pPr>
      <w:r>
        <w:t xml:space="preserve"/>
      </w:r>
    </w:p>
    <w:p>
      <w:pPr>
        <w:spacing w:after="80" w:before="80"/>
        <w:jc w:val="both"/>
      </w:pPr>
      <w:r>
        <w:rPr>
          <w:rFonts w:ascii="Georgia" w:cs="Georgia" w:eastAsia="Georgia" w:hAnsi="Georgia"/>
          <w:sz w:val="22"/>
          <w:szCs w:val="22"/>
        </w:rPr>
        <w:t xml:space="preserve">Second, the same region that produced the earliest well-documented administrative writing and urban institutions also produced, under the structural pressures of the first millennium BCE, the textual portable traditions that became Judaism, Christianity, and Islam. DSSM does not offer a reductive explanation of these traditions; it identifies the structural conditions — empire-scale coordination demands, landscape displacement, the adaptive advantage of text-embedded over place-embedded symbolic systems — that are consistent with their emergence when and where they emerged. The content and meaning of these traditions exceed what structural analysis can capture.</w:t>
      </w:r>
    </w:p>
    <w:p>
      <w:pPr>
        <w:spacing w:after="80" w:before="80"/>
      </w:pPr>
      <w:r>
        <w:t xml:space="preserve"/>
      </w:r>
    </w:p>
    <w:p>
      <w:pPr>
        <w:spacing w:after="80" w:before="80"/>
        <w:jc w:val="both"/>
      </w:pPr>
      <w:r>
        <w:rPr>
          <w:rFonts w:ascii="Georgia" w:cs="Georgia" w:eastAsia="Georgia" w:hAnsi="Georgia"/>
          <w:sz w:val="22"/>
          <w:szCs w:val="22"/>
        </w:rPr>
        <w:t xml:space="preserve">Third, the 2026 Gulf Confrontation represents a structural failure mode that DSSM can diagnose with some precision: concurrent pressure on multiple coordination architectures that have achieved full saturation — the petrodollar settlement system, Gulf security arrangements, sovereign debt governance — without a replacement architecture at comparable saturation level. The NETJERU signal analysis (SRF 7.8/10 for energy infrastructure) and The Council's independent assessment converge on the same structural finding: this is a financial transmission risk more than a military one, and it requires legitimacy reconstruction at the monetary architecture level, not only military de-escalation.</w:t>
      </w:r>
    </w:p>
    <w:p>
      <w:pPr>
        <w:spacing w:after="80" w:before="80"/>
      </w:pPr>
      <w:r>
        <w:t xml:space="preserve"/>
      </w:r>
    </w:p>
    <w:p>
      <w:pPr>
        <w:spacing w:after="80" w:before="80"/>
        <w:jc w:val="both"/>
      </w:pPr>
      <w:r>
        <w:rPr>
          <w:rFonts w:ascii="Georgia" w:cs="Georgia" w:eastAsia="Georgia" w:hAnsi="Georgia"/>
          <w:sz w:val="22"/>
          <w:szCs w:val="22"/>
        </w:rPr>
        <w:t xml:space="preserve">The DSSM prescriptions — temporal buffers, redundant communication channels, legitimacy-before-infrastructure sequencing, and proactive monetary architecture stabilization — are not derived from the historical analysis in a simple sense. They are derived from the structural model, which the historical analysis tests. Mesopotamia is the test case. The 2026 Gulf crisis is the current iteration of the same problem the alluvial plain has posed to every coordination system that has tried to manage it: how to maintain shared symbolic architecture under conditions of maximum stress, when the forces that dissolve it are operating faster than the institutions designed to contain them.</w:t>
      </w:r>
    </w:p>
    <w:p>
      <w:pPr>
        <w:spacing w:after="80" w:before="80"/>
      </w:pPr>
      <w:r>
        <w:t xml:space="preserve"/>
      </w:r>
    </w:p>
    <w:p>
      <w:pPr>
        <w:spacing w:after="240" w:before="240"/>
        <w:jc w:val="center"/>
      </w:pPr>
      <w:r>
        <w:rPr>
          <w:rFonts w:ascii="Georgia" w:cs="Georgia" w:eastAsia="Georgia" w:hAnsi="Georgia"/>
          <w:color w:val="C9A227"/>
          <w:sz w:val="20"/>
          <w:szCs w:val="20"/>
        </w:rPr>
        <w:t xml:space="preserve">◆  ◆  ◆</w:t>
      </w:r>
    </w:p>
    <w:p>
      <w:pPr>
        <w:spacing w:after="80" w:before="80"/>
      </w:pPr>
      <w:r>
        <w:t xml:space="preserve"/>
      </w:r>
    </w:p>
    <w:p>
      <w:pPr>
        <w:pStyle w:val="Heading1"/>
        <w:pBdr>
          <w:bottom w:val="single" w:color="C9A227" w:sz="4" w:space="4"/>
        </w:pBdr>
        <w:spacing w:after="180" w:before="360"/>
      </w:pPr>
      <w:r>
        <w:rPr>
          <w:rFonts w:ascii="Georgia" w:cs="Georgia" w:eastAsia="Georgia" w:hAnsi="Georgia"/>
          <w:b/>
          <w:bCs/>
          <w:color w:val="1A2E4A"/>
          <w:sz w:val="28"/>
          <w:szCs w:val="28"/>
        </w:rPr>
        <w:t xml:space="preserve">References</w:t>
      </w:r>
    </w:p>
    <w:p>
      <w:pPr>
        <w:pStyle w:val="Heading2"/>
        <w:spacing w:after="120" w:before="280"/>
      </w:pPr>
      <w:r>
        <w:rPr>
          <w:rFonts w:ascii="Georgia" w:cs="Georgia" w:eastAsia="Georgia" w:hAnsi="Georgia"/>
          <w:b/>
          <w:bCs/>
          <w:color w:val="2E5077"/>
          <w:sz w:val="24"/>
          <w:szCs w:val="24"/>
        </w:rPr>
        <w:t xml:space="preserve">Primary DSSM Corpus</w:t>
      </w:r>
    </w:p>
    <w:p>
      <w:pPr>
        <w:spacing w:after="60" w:before="60"/>
        <w:ind w:left="720" w:hanging="720"/>
      </w:pPr>
      <w:r>
        <w:rPr>
          <w:rFonts w:ascii="Arial" w:cs="Arial" w:eastAsia="Arial" w:hAnsi="Arial"/>
          <w:sz w:val="20"/>
          <w:szCs w:val="20"/>
        </w:rPr>
        <w:t xml:space="preserve">Vondoom, A. (2025). The Deep Symbolic Systems Model (DSSM): A Cognitive-Ritual Framework for Early Monumentality and Cultural Continuity. OSF Preprints. https://doi.org/10.17605/OSF.IO/MRZFU</w:t>
      </w:r>
    </w:p>
    <w:p>
      <w:pPr>
        <w:spacing w:after="60" w:before="60"/>
        <w:ind w:left="720" w:hanging="720"/>
      </w:pPr>
      <w:r>
        <w:rPr>
          <w:rFonts w:ascii="Arial" w:cs="Arial" w:eastAsia="Arial" w:hAnsi="Arial"/>
          <w:sz w:val="20"/>
          <w:szCs w:val="20"/>
        </w:rPr>
        <w:t xml:space="preserve">Vondoom, A. (2026a). Deep Symbolic Stabilization Along the Tigris and Euphrates: A Mesopotamia-Based Case Study of the DSSM. DSSM Working Paper 4. OSF.</w:t>
      </w:r>
    </w:p>
    <w:p>
      <w:pPr>
        <w:spacing w:after="60" w:before="60"/>
        <w:ind w:left="720" w:hanging="720"/>
      </w:pPr>
      <w:r>
        <w:rPr>
          <w:rFonts w:ascii="Arial" w:cs="Arial" w:eastAsia="Arial" w:hAnsi="Arial"/>
          <w:sz w:val="20"/>
          <w:szCs w:val="20"/>
        </w:rPr>
        <w:t xml:space="preserve">Vondoom, A. (2026b). Deep Symbolic Stabilization Across Early Civilizations: A Global DSSM Synthesis. Figshare. https://doi.org/10.6084/m9.figshare.31061758</w:t>
      </w:r>
    </w:p>
    <w:p>
      <w:pPr>
        <w:spacing w:after="60" w:before="60"/>
        <w:ind w:left="720" w:hanging="720"/>
      </w:pPr>
      <w:r>
        <w:rPr>
          <w:rFonts w:ascii="Arial" w:cs="Arial" w:eastAsia="Arial" w:hAnsi="Arial"/>
          <w:sz w:val="20"/>
          <w:szCs w:val="20"/>
        </w:rPr>
        <w:t xml:space="preserve">Vondoom, A. (2026c). War Is Not Inevitable. It Is a Breakdown: Why Modern Conflict Represents a Failure of Symbolic Regulation. Figshare. https://doi.org/10.6084/m9.figshare.31082791</w:t>
      </w:r>
    </w:p>
    <w:p>
      <w:pPr>
        <w:spacing w:after="60" w:before="60"/>
        <w:ind w:left="720" w:hanging="720"/>
      </w:pPr>
      <w:r>
        <w:rPr>
          <w:rFonts w:ascii="Arial" w:cs="Arial" w:eastAsia="Arial" w:hAnsi="Arial"/>
          <w:sz w:val="20"/>
          <w:szCs w:val="20"/>
        </w:rPr>
        <w:t xml:space="preserve">Vondoom, A. (2026d). From Ritual to Protocol Power: A DSSM Account of How Humanity Engineered the Present. Zenodo. https://doi.org/10.5281/zenodo.18607182</w:t>
      </w:r>
    </w:p>
    <w:p>
      <w:pPr>
        <w:spacing w:after="60" w:before="60"/>
        <w:ind w:left="720" w:hanging="720"/>
      </w:pPr>
      <w:r>
        <w:rPr>
          <w:rFonts w:ascii="Arial" w:cs="Arial" w:eastAsia="Arial" w:hAnsi="Arial"/>
          <w:sz w:val="20"/>
          <w:szCs w:val="20"/>
        </w:rPr>
        <w:t xml:space="preserve">Vondoom, A. (2026e). The World as Fossilized Power: Applying the DSSM to the Global Crises of 2025–2026. DSSM Working Paper 40. Zenodo.</w:t>
      </w:r>
    </w:p>
    <w:p>
      <w:pPr>
        <w:spacing w:after="60" w:before="60"/>
        <w:ind w:left="720" w:hanging="720"/>
      </w:pPr>
      <w:r>
        <w:rPr>
          <w:rFonts w:ascii="Arial" w:cs="Arial" w:eastAsia="Arial" w:hAnsi="Arial"/>
          <w:sz w:val="20"/>
          <w:szCs w:val="20"/>
        </w:rPr>
        <w:t xml:space="preserve">Vondoom, A. (2026f). Civilization Is Rehearsed: The Deep Symbolic Systems Model. Zenodo. https://doi.org/10.5281/zenodo.19170162</w:t>
      </w:r>
    </w:p>
    <w:p>
      <w:pPr>
        <w:spacing w:after="60" w:before="60"/>
        <w:ind w:left="720" w:hanging="720"/>
      </w:pPr>
      <w:r>
        <w:rPr>
          <w:rFonts w:ascii="Arial" w:cs="Arial" w:eastAsia="Arial" w:hAnsi="Arial"/>
          <w:sz w:val="20"/>
          <w:szCs w:val="20"/>
        </w:rPr>
        <w:t xml:space="preserve">Vondoom, A. (2026g). Cognitive Foundations of Early Mesopotamian Civilization: Deep Symbolic Stabilization Along the Tigris and Euphrates. DSSM Working Paper 31. Figshare.</w:t>
      </w:r>
    </w:p>
    <w:p>
      <w:pPr>
        <w:spacing w:after="60" w:before="60"/>
        <w:ind w:left="720" w:hanging="720"/>
      </w:pPr>
      <w:r>
        <w:rPr>
          <w:rFonts w:ascii="Arial" w:cs="Arial" w:eastAsia="Arial" w:hAnsi="Arial"/>
          <w:sz w:val="20"/>
          <w:szCs w:val="20"/>
        </w:rPr>
        <w:t xml:space="preserve">Vondoom, A. (2026h). When the Substrate Breaks: Symbolic Coordination Collapse Across Five Concurrent Global Crises. DSSM Working Paper 44. Zenodo. https://doi.org/10.5281/zenodo.19207064</w:t>
      </w:r>
    </w:p>
    <w:p>
      <w:pPr>
        <w:spacing w:after="60" w:before="60"/>
        <w:ind w:left="720" w:hanging="720"/>
      </w:pPr>
      <w:r>
        <w:rPr>
          <w:rFonts w:ascii="Arial" w:cs="Arial" w:eastAsia="Arial" w:hAnsi="Arial"/>
          <w:sz w:val="20"/>
          <w:szCs w:val="20"/>
        </w:rPr>
        <w:t xml:space="preserve">Vondoom, A. (2026i). The Council: Ra's Judgment on the 2026 Gulf Confrontation. DSSM Working Paper 46. Zenodo. https://doi.org/10.5281/zenodo.19241334</w:t>
      </w:r>
    </w:p>
    <w:p>
      <w:pPr>
        <w:spacing w:after="80" w:before="80"/>
      </w:pPr>
      <w:r>
        <w:t xml:space="preserve"/>
      </w:r>
    </w:p>
    <w:p>
      <w:pPr>
        <w:pStyle w:val="Heading2"/>
        <w:spacing w:after="120" w:before="280"/>
      </w:pPr>
      <w:r>
        <w:rPr>
          <w:rFonts w:ascii="Georgia" w:cs="Georgia" w:eastAsia="Georgia" w:hAnsi="Georgia"/>
          <w:b/>
          <w:bCs/>
          <w:color w:val="2E5077"/>
          <w:sz w:val="24"/>
          <w:szCs w:val="24"/>
        </w:rPr>
        <w:t xml:space="preserve">Upper Paleolithic, Epipaleolithic, and Neolithic Archaeology</w:t>
      </w:r>
    </w:p>
    <w:p>
      <w:pPr>
        <w:spacing w:after="60" w:before="60"/>
        <w:ind w:left="720" w:hanging="720"/>
      </w:pPr>
      <w:r>
        <w:rPr>
          <w:rFonts w:ascii="Arial" w:cs="Arial" w:eastAsia="Arial" w:hAnsi="Arial"/>
          <w:sz w:val="20"/>
          <w:szCs w:val="20"/>
        </w:rPr>
        <w:t xml:space="preserve">Bar-Yosef, O., &amp; Belfer-Cohen, A. (1989). The Origins of Sedentism and Farming Communities in the Levant. Journal of World Prehistory, 3(4), 447–498.</w:t>
      </w:r>
    </w:p>
    <w:p>
      <w:pPr>
        <w:spacing w:after="60" w:before="60"/>
        <w:ind w:left="720" w:hanging="720"/>
      </w:pPr>
      <w:r>
        <w:rPr>
          <w:rFonts w:ascii="Arial" w:cs="Arial" w:eastAsia="Arial" w:hAnsi="Arial"/>
          <w:sz w:val="20"/>
          <w:szCs w:val="20"/>
        </w:rPr>
        <w:t xml:space="preserve">Cauvin, J. (2000). The Birth of the Gods and the Origins of Agriculture. Cambridge University Press. [Orig. French 1994]</w:t>
      </w:r>
    </w:p>
    <w:p>
      <w:pPr>
        <w:spacing w:after="60" w:before="60"/>
        <w:ind w:left="720" w:hanging="720"/>
      </w:pPr>
      <w:r>
        <w:rPr>
          <w:rFonts w:ascii="Arial" w:cs="Arial" w:eastAsia="Arial" w:hAnsi="Arial"/>
          <w:sz w:val="20"/>
          <w:szCs w:val="20"/>
        </w:rPr>
        <w:t xml:space="preserve">Moore, A.M.T., Hillman, G.C., &amp; Legge, A.J. (2000). Village on the Euphrates: From Foraging to Farming at Abu Hureyra. Oxford University Press.</w:t>
      </w:r>
    </w:p>
    <w:p>
      <w:pPr>
        <w:spacing w:after="60" w:before="60"/>
        <w:ind w:left="720" w:hanging="720"/>
      </w:pPr>
      <w:r>
        <w:rPr>
          <w:rFonts w:ascii="Arial" w:cs="Arial" w:eastAsia="Arial" w:hAnsi="Arial"/>
          <w:sz w:val="20"/>
          <w:szCs w:val="20"/>
        </w:rPr>
        <w:t xml:space="preserve">Olszewski, D.I. (1993). Subsistence Ecology in the Mediterranean Forest: Implications for the Origins of Sedentism at the Epipaleolithic Mureybit Site in Syria. American Anthropologist, 95(2), 420–435.</w:t>
      </w:r>
    </w:p>
    <w:p>
      <w:pPr>
        <w:spacing w:after="60" w:before="60"/>
        <w:ind w:left="720" w:hanging="720"/>
      </w:pPr>
      <w:r>
        <w:rPr>
          <w:rFonts w:ascii="Arial" w:cs="Arial" w:eastAsia="Arial" w:hAnsi="Arial"/>
          <w:sz w:val="20"/>
          <w:szCs w:val="20"/>
        </w:rPr>
        <w:t xml:space="preserve">Özdoğan, M., &amp; Özdoğan, A. (1998). Buildings of Cult and the Cult of Buildings. In G. Arsebük, M.J. Mellink, &amp; W. Schirmer (Eds.), Light on Top of the Black Hill. Ege Yayinlari, pp. 581–601. [Çayönü communal structures]</w:t>
      </w:r>
    </w:p>
    <w:p>
      <w:pPr>
        <w:spacing w:after="60" w:before="60"/>
        <w:ind w:left="720" w:hanging="720"/>
      </w:pPr>
      <w:r>
        <w:rPr>
          <w:rFonts w:ascii="Arial" w:cs="Arial" w:eastAsia="Arial" w:hAnsi="Arial"/>
          <w:sz w:val="20"/>
          <w:szCs w:val="20"/>
        </w:rPr>
        <w:t xml:space="preserve">Rosenberg, M., &amp; Redding, R.W. (1998). Hallan Çemi and Early Village Organization in Eastern Anatolia. In M. Özdoğan &amp; N. Başgelen (Eds.), Neolithic in Turkey. Arkeoloji ve Sanat Yayinlari, pp. 39–61.</w:t>
      </w:r>
    </w:p>
    <w:p>
      <w:pPr>
        <w:spacing w:after="60" w:before="60"/>
        <w:ind w:left="720" w:hanging="720"/>
      </w:pPr>
      <w:r>
        <w:rPr>
          <w:rFonts w:ascii="Arial" w:cs="Arial" w:eastAsia="Arial" w:hAnsi="Arial"/>
          <w:sz w:val="20"/>
          <w:szCs w:val="20"/>
        </w:rPr>
        <w:t xml:space="preserve">Skinner, J.H. (1930). Zarzi: A Cave Site in Iraqi Kurdistan. Journal of the Royal Anthropological Institute, 60, 85–92.</w:t>
      </w:r>
    </w:p>
    <w:p>
      <w:pPr>
        <w:spacing w:after="60" w:before="60"/>
        <w:ind w:left="720" w:hanging="720"/>
      </w:pPr>
      <w:r>
        <w:rPr>
          <w:rFonts w:ascii="Arial" w:cs="Arial" w:eastAsia="Arial" w:hAnsi="Arial"/>
          <w:sz w:val="20"/>
          <w:szCs w:val="20"/>
        </w:rPr>
        <w:t xml:space="preserve">Solecki, R.S. (1971). Shanidar: The First Flower People. Knopf.</w:t>
      </w:r>
    </w:p>
    <w:p>
      <w:pPr>
        <w:spacing w:after="60" w:before="60"/>
        <w:ind w:left="720" w:hanging="720"/>
      </w:pPr>
      <w:r>
        <w:rPr>
          <w:rFonts w:ascii="Arial" w:cs="Arial" w:eastAsia="Arial" w:hAnsi="Arial"/>
          <w:sz w:val="20"/>
          <w:szCs w:val="20"/>
        </w:rPr>
        <w:t xml:space="preserve">Sommer, J.D. (1999). The Shanidar IV 'Flower Burial': A Re-evaluation of Neanderthal Burial Ritual. Cambridge Archaeological Journal, 9(1), 127–129. [Contests Solecki's mortuary ritual interpretation on taphonomic grounds]</w:t>
      </w:r>
    </w:p>
    <w:p>
      <w:pPr>
        <w:spacing w:after="60" w:before="60"/>
        <w:ind w:left="720" w:hanging="720"/>
      </w:pPr>
      <w:r>
        <w:rPr>
          <w:rFonts w:ascii="Arial" w:cs="Arial" w:eastAsia="Arial" w:hAnsi="Arial"/>
          <w:sz w:val="20"/>
          <w:szCs w:val="20"/>
        </w:rPr>
        <w:t xml:space="preserve">Stordeur, D., Brenet, M., Der Aprahamian, G., &amp; Roux, J.-C. (2000). Les bâtiments communautaires de Jerf el Ahmar et Mureybet (Syrie). Paléorient, 26(1), 29–44.</w:t>
      </w:r>
    </w:p>
    <w:p>
      <w:pPr>
        <w:spacing w:after="60" w:before="60"/>
        <w:ind w:left="720" w:hanging="720"/>
      </w:pPr>
      <w:r>
        <w:rPr>
          <w:rFonts w:ascii="Arial" w:cs="Arial" w:eastAsia="Arial" w:hAnsi="Arial"/>
          <w:sz w:val="20"/>
          <w:szCs w:val="20"/>
        </w:rPr>
        <w:t xml:space="preserve">Trigger, B. (2003). Understanding Early Civilizations: A Comparative Study. Cambridge University Press.</w:t>
      </w:r>
    </w:p>
    <w:p>
      <w:pPr>
        <w:spacing w:after="60" w:before="60"/>
        <w:ind w:left="720" w:hanging="720"/>
      </w:pPr>
      <w:r>
        <w:rPr>
          <w:rFonts w:ascii="Arial" w:cs="Arial" w:eastAsia="Arial" w:hAnsi="Arial"/>
          <w:sz w:val="20"/>
          <w:szCs w:val="20"/>
        </w:rPr>
        <w:t xml:space="preserve">Watkins, T. (2010). New Light on Neolithic Revolution in South-West Asia. Antiquity, 84(325), 621–634.</w:t>
      </w:r>
    </w:p>
    <w:p>
      <w:pPr>
        <w:spacing w:after="60" w:before="60"/>
        <w:ind w:left="720" w:hanging="720"/>
      </w:pPr>
      <w:r>
        <w:rPr>
          <w:rFonts w:ascii="Arial" w:cs="Arial" w:eastAsia="Arial" w:hAnsi="Arial"/>
          <w:sz w:val="20"/>
          <w:szCs w:val="20"/>
        </w:rPr>
        <w:t xml:space="preserve">Weiss, H. (2000). Beyond the Younger Dryas: Collapse as Adaptation to Abrupt Climate Change in Ancient West Asia and the Eastern Mediterranean. In G. Bawden &amp; R. Reycraft (Eds.), Environmental Disaster and the Archaeology of Human Response. Maxwell Museum of Anthropology, pp. 75–98.</w:t>
      </w:r>
    </w:p>
    <w:p>
      <w:pPr>
        <w:spacing w:after="80" w:before="80"/>
      </w:pPr>
      <w:r>
        <w:t xml:space="preserve"/>
      </w:r>
    </w:p>
    <w:p>
      <w:pPr>
        <w:pStyle w:val="Heading2"/>
        <w:spacing w:after="120" w:before="280"/>
      </w:pPr>
      <w:r>
        <w:rPr>
          <w:rFonts w:ascii="Georgia" w:cs="Georgia" w:eastAsia="Georgia" w:hAnsi="Georgia"/>
          <w:b/>
          <w:bCs/>
          <w:color w:val="2E5077"/>
          <w:sz w:val="24"/>
          <w:szCs w:val="24"/>
        </w:rPr>
        <w:t xml:space="preserve">Mesopotamian Urbanism and Institutional History</w:t>
      </w:r>
    </w:p>
    <w:p>
      <w:pPr>
        <w:spacing w:after="60" w:before="60"/>
        <w:ind w:left="720" w:hanging="720"/>
      </w:pPr>
      <w:r>
        <w:rPr>
          <w:rFonts w:ascii="Arial" w:cs="Arial" w:eastAsia="Arial" w:hAnsi="Arial"/>
          <w:sz w:val="20"/>
          <w:szCs w:val="20"/>
        </w:rPr>
        <w:t xml:space="preserve">Adams, R.M. (1981). Heartland of Cities: Surveys of Ancient Settlement and Land Use on the Central Floodplain of the Euphrates. University of Chicago Press.</w:t>
      </w:r>
    </w:p>
    <w:p>
      <w:pPr>
        <w:spacing w:after="60" w:before="60"/>
        <w:ind w:left="720" w:hanging="720"/>
      </w:pPr>
      <w:r>
        <w:rPr>
          <w:rFonts w:ascii="Arial" w:cs="Arial" w:eastAsia="Arial" w:hAnsi="Arial"/>
          <w:sz w:val="20"/>
          <w:szCs w:val="20"/>
        </w:rPr>
        <w:t xml:space="preserve">Crawford, H. (2004). Sumer and the Sumerians. 2nd ed. Cambridge University Press.</w:t>
      </w:r>
    </w:p>
    <w:p>
      <w:pPr>
        <w:spacing w:after="60" w:before="60"/>
        <w:ind w:left="720" w:hanging="720"/>
      </w:pPr>
      <w:r>
        <w:rPr>
          <w:rFonts w:ascii="Arial" w:cs="Arial" w:eastAsia="Arial" w:hAnsi="Arial"/>
          <w:sz w:val="20"/>
          <w:szCs w:val="20"/>
        </w:rPr>
        <w:t xml:space="preserve">Kuhrt, A. (1995). The Ancient Near East c. 3000–330 BC. 2 vols. Routledge.</w:t>
      </w:r>
    </w:p>
    <w:p>
      <w:pPr>
        <w:spacing w:after="60" w:before="60"/>
        <w:ind w:left="720" w:hanging="720"/>
      </w:pPr>
      <w:r>
        <w:rPr>
          <w:rFonts w:ascii="Arial" w:cs="Arial" w:eastAsia="Arial" w:hAnsi="Arial"/>
          <w:sz w:val="20"/>
          <w:szCs w:val="20"/>
        </w:rPr>
        <w:t xml:space="preserve">Lloyd, S. (1984). The Archaeology of Mesopotamia: From the Old Stone Age to the Persian Conquest. Rev. ed. Thames &amp; Hudson.</w:t>
      </w:r>
    </w:p>
    <w:p>
      <w:pPr>
        <w:spacing w:after="60" w:before="60"/>
        <w:ind w:left="720" w:hanging="720"/>
      </w:pPr>
      <w:r>
        <w:rPr>
          <w:rFonts w:ascii="Arial" w:cs="Arial" w:eastAsia="Arial" w:hAnsi="Arial"/>
          <w:sz w:val="20"/>
          <w:szCs w:val="20"/>
        </w:rPr>
        <w:t xml:space="preserve">Nissen, H.J. (1988). The Early History of the Ancient Near East, 9000–2000 B.C. University of Chicago Press.</w:t>
      </w:r>
    </w:p>
    <w:p>
      <w:pPr>
        <w:spacing w:after="60" w:before="60"/>
        <w:ind w:left="720" w:hanging="720"/>
      </w:pPr>
      <w:r>
        <w:rPr>
          <w:rFonts w:ascii="Arial" w:cs="Arial" w:eastAsia="Arial" w:hAnsi="Arial"/>
          <w:sz w:val="20"/>
          <w:szCs w:val="20"/>
        </w:rPr>
        <w:t xml:space="preserve">Oded, B. (1979). Mass Deportations and Deportees in the Neo-Assyrian Empire. Reichert.</w:t>
      </w:r>
    </w:p>
    <w:p>
      <w:pPr>
        <w:spacing w:after="60" w:before="60"/>
        <w:ind w:left="720" w:hanging="720"/>
      </w:pPr>
      <w:r>
        <w:rPr>
          <w:rFonts w:ascii="Arial" w:cs="Arial" w:eastAsia="Arial" w:hAnsi="Arial"/>
          <w:sz w:val="20"/>
          <w:szCs w:val="20"/>
        </w:rPr>
        <w:t xml:space="preserve">Oppenheim, A.L. (1977). Ancient Mesopotamia: Portrait of a Dead Civilization. Rev. ed. University of Chicago Press.</w:t>
      </w:r>
    </w:p>
    <w:p>
      <w:pPr>
        <w:spacing w:after="60" w:before="60"/>
        <w:ind w:left="720" w:hanging="720"/>
      </w:pPr>
      <w:r>
        <w:rPr>
          <w:rFonts w:ascii="Arial" w:cs="Arial" w:eastAsia="Arial" w:hAnsi="Arial"/>
          <w:sz w:val="20"/>
          <w:szCs w:val="20"/>
        </w:rPr>
        <w:t xml:space="preserve">Wittfogel, K.A. (1957). Oriental Despotism: A Comparative Study of Total Power. Yale University Press. [Hydraulic state theory; engaged as counter-model in §1]</w:t>
      </w:r>
    </w:p>
    <w:p>
      <w:pPr>
        <w:spacing w:after="80" w:before="80"/>
      </w:pPr>
      <w:r>
        <w:t xml:space="preserve"/>
      </w:r>
    </w:p>
    <w:p>
      <w:pPr>
        <w:pStyle w:val="Heading2"/>
        <w:spacing w:after="120" w:before="280"/>
      </w:pPr>
      <w:r>
        <w:rPr>
          <w:rFonts w:ascii="Georgia" w:cs="Georgia" w:eastAsia="Georgia" w:hAnsi="Georgia"/>
          <w:b/>
          <w:bCs/>
          <w:color w:val="2E5077"/>
          <w:sz w:val="24"/>
          <w:szCs w:val="24"/>
        </w:rPr>
        <w:t xml:space="preserve">Cognitive Science and Theoretical Framework</w:t>
      </w:r>
    </w:p>
    <w:p>
      <w:pPr>
        <w:spacing w:after="60" w:before="60"/>
        <w:ind w:left="720" w:hanging="720"/>
      </w:pPr>
      <w:r>
        <w:rPr>
          <w:rFonts w:ascii="Arial" w:cs="Arial" w:eastAsia="Arial" w:hAnsi="Arial"/>
          <w:sz w:val="20"/>
          <w:szCs w:val="20"/>
        </w:rPr>
        <w:t xml:space="preserve">Donald, M. (1991). Origins of the Modern Mind: Three Stages in the Evolution of Culture and Cognition. Harvard University Press.</w:t>
      </w:r>
    </w:p>
    <w:p>
      <w:pPr>
        <w:spacing w:after="60" w:before="60"/>
        <w:ind w:left="720" w:hanging="720"/>
      </w:pPr>
      <w:r>
        <w:rPr>
          <w:rFonts w:ascii="Arial" w:cs="Arial" w:eastAsia="Arial" w:hAnsi="Arial"/>
          <w:sz w:val="20"/>
          <w:szCs w:val="20"/>
        </w:rPr>
        <w:t xml:space="preserve">Malafouris, L. (2013). How Things Shape the Mind: A Theory of Material Engagement. MIT Press.</w:t>
      </w:r>
    </w:p>
    <w:p>
      <w:pPr>
        <w:spacing w:after="60" w:before="60"/>
        <w:ind w:left="720" w:hanging="720"/>
      </w:pPr>
      <w:r>
        <w:rPr>
          <w:rFonts w:ascii="Arial" w:cs="Arial" w:eastAsia="Arial" w:hAnsi="Arial"/>
          <w:sz w:val="20"/>
          <w:szCs w:val="20"/>
        </w:rPr>
        <w:t xml:space="preserve">Mithen, S. (1996). The Prehistory of the Mind: The Cognitive Origins of Art, Religion and Science. Thames &amp; Hudson.</w:t>
      </w:r>
    </w:p>
    <w:p>
      <w:pPr>
        <w:spacing w:after="60" w:before="60"/>
        <w:ind w:left="720" w:hanging="720"/>
      </w:pPr>
      <w:r>
        <w:rPr>
          <w:rFonts w:ascii="Arial" w:cs="Arial" w:eastAsia="Arial" w:hAnsi="Arial"/>
          <w:sz w:val="20"/>
          <w:szCs w:val="20"/>
        </w:rPr>
        <w:t xml:space="preserve">Renfrew, C. (2007). Prehistory: The Making of the Human Mind. Weidenfeld &amp; Nicolson.</w:t>
      </w:r>
    </w:p>
    <w:p>
      <w:pPr>
        <w:spacing w:after="80" w:before="80"/>
      </w:pPr>
      <w:r>
        <w:t xml:space="preserve"/>
      </w:r>
    </w:p>
    <w:p>
      <w:pPr>
        <w:pStyle w:val="Heading2"/>
        <w:spacing w:after="120" w:before="280"/>
      </w:pPr>
      <w:r>
        <w:rPr>
          <w:rFonts w:ascii="Georgia" w:cs="Georgia" w:eastAsia="Georgia" w:hAnsi="Georgia"/>
          <w:b/>
          <w:bCs/>
          <w:color w:val="2E5077"/>
          <w:sz w:val="24"/>
          <w:szCs w:val="24"/>
        </w:rPr>
        <w:t xml:space="preserve">Religion, Axial Age, and Textual Traditions</w:t>
      </w:r>
    </w:p>
    <w:p>
      <w:pPr>
        <w:spacing w:after="60" w:before="60"/>
        <w:ind w:left="720" w:hanging="720"/>
      </w:pPr>
      <w:r>
        <w:rPr>
          <w:rFonts w:ascii="Arial" w:cs="Arial" w:eastAsia="Arial" w:hAnsi="Arial"/>
          <w:sz w:val="20"/>
          <w:szCs w:val="20"/>
        </w:rPr>
        <w:t xml:space="preserve">Assmann, J. (2006). Religion and Cultural Memory: Ten Studies. Stanford University Press.</w:t>
      </w:r>
    </w:p>
    <w:p>
      <w:pPr>
        <w:spacing w:after="60" w:before="60"/>
        <w:ind w:left="720" w:hanging="720"/>
      </w:pPr>
      <w:r>
        <w:rPr>
          <w:rFonts w:ascii="Arial" w:cs="Arial" w:eastAsia="Arial" w:hAnsi="Arial"/>
          <w:sz w:val="20"/>
          <w:szCs w:val="20"/>
        </w:rPr>
        <w:t xml:space="preserve">Bottéro, J. (2001). Religion in Ancient Mesopotamia. University of Chicago Press.</w:t>
      </w:r>
    </w:p>
    <w:p>
      <w:pPr>
        <w:spacing w:after="60" w:before="60"/>
        <w:ind w:left="720" w:hanging="720"/>
      </w:pPr>
      <w:r>
        <w:rPr>
          <w:rFonts w:ascii="Arial" w:cs="Arial" w:eastAsia="Arial" w:hAnsi="Arial"/>
          <w:sz w:val="20"/>
          <w:szCs w:val="20"/>
        </w:rPr>
        <w:t xml:space="preserve">Jaspers, K. (1953). The Origin and Goal of History. Yale University Press. [Orig. German 1949; primary source for the Axial Age concept]</w:t>
      </w:r>
    </w:p>
    <w:p>
      <w:pPr>
        <w:spacing w:after="60" w:before="60"/>
        <w:ind w:left="720" w:hanging="720"/>
      </w:pPr>
      <w:r>
        <w:rPr>
          <w:rFonts w:ascii="Arial" w:cs="Arial" w:eastAsia="Arial" w:hAnsi="Arial"/>
          <w:sz w:val="20"/>
          <w:szCs w:val="20"/>
        </w:rPr>
        <w:t xml:space="preserve">Kaufmann, Y. (1960). The Religion of Israel: From Its Beginnings to the Babylonian Exile. University of Chicago Press.</w:t>
      </w:r>
    </w:p>
    <w:p>
      <w:pPr>
        <w:spacing w:after="80" w:before="80"/>
      </w:pPr>
      <w:r>
        <w:t xml:space="preserve"/>
      </w:r>
    </w:p>
    <w:p>
      <w:pPr>
        <w:pStyle w:val="Heading2"/>
        <w:spacing w:after="120" w:before="280"/>
      </w:pPr>
      <w:r>
        <w:rPr>
          <w:rFonts w:ascii="Georgia" w:cs="Georgia" w:eastAsia="Georgia" w:hAnsi="Georgia"/>
          <w:b/>
          <w:bCs/>
          <w:color w:val="2E5077"/>
          <w:sz w:val="24"/>
          <w:szCs w:val="24"/>
        </w:rPr>
        <w:t xml:space="preserve">Late Bronze Age Collapse</w:t>
      </w:r>
    </w:p>
    <w:p>
      <w:pPr>
        <w:spacing w:after="60" w:before="60"/>
        <w:ind w:left="720" w:hanging="720"/>
      </w:pPr>
      <w:r>
        <w:rPr>
          <w:rFonts w:ascii="Arial" w:cs="Arial" w:eastAsia="Arial" w:hAnsi="Arial"/>
          <w:sz w:val="20"/>
          <w:szCs w:val="20"/>
        </w:rPr>
        <w:t xml:space="preserve">Cline, E.H. (2014). 1177 B.C.: The Year Civilization Collapsed. Princeton University Press.</w:t>
      </w:r>
    </w:p>
    <w:p>
      <w:pPr>
        <w:spacing w:after="60" w:before="60"/>
        <w:ind w:left="720" w:hanging="720"/>
      </w:pPr>
      <w:r>
        <w:rPr>
          <w:rFonts w:ascii="Arial" w:cs="Arial" w:eastAsia="Arial" w:hAnsi="Arial"/>
          <w:sz w:val="20"/>
          <w:szCs w:val="20"/>
        </w:rPr>
        <w:t xml:space="preserve">Drews, R. (1993). The End of the Bronze Age: Changes in Warfare and the Catastrophe ca. 1200 B.C. Princeton University Press.</w:t>
      </w:r>
    </w:p>
    <w:p>
      <w:pPr>
        <w:spacing w:after="80" w:before="80"/>
      </w:pPr>
      <w:r>
        <w:t xml:space="preserve"/>
      </w:r>
    </w:p>
    <w:p>
      <w:pPr>
        <w:pStyle w:val="Heading2"/>
        <w:spacing w:after="120" w:before="280"/>
      </w:pPr>
      <w:r>
        <w:rPr>
          <w:rFonts w:ascii="Georgia" w:cs="Georgia" w:eastAsia="Georgia" w:hAnsi="Georgia"/>
          <w:b/>
          <w:bCs/>
          <w:color w:val="2E5077"/>
          <w:sz w:val="24"/>
          <w:szCs w:val="24"/>
        </w:rPr>
        <w:t xml:space="preserve">Modern Geopolitics and Monetary Architecture</w:t>
      </w:r>
    </w:p>
    <w:p>
      <w:pPr>
        <w:spacing w:after="60" w:before="60"/>
        <w:ind w:left="720" w:hanging="720"/>
      </w:pPr>
      <w:r>
        <w:rPr>
          <w:rFonts w:ascii="Arial" w:cs="Arial" w:eastAsia="Arial" w:hAnsi="Arial"/>
          <w:sz w:val="20"/>
          <w:szCs w:val="20"/>
        </w:rPr>
        <w:t xml:space="preserve">Eichengreen, B. (2011). Exorbitant Privilege: The Rise and Fall of the Dollar and the Future of the International Monetary System. Oxford University Press.</w:t>
      </w:r>
    </w:p>
    <w:p>
      <w:pPr>
        <w:spacing w:after="60" w:before="60"/>
        <w:ind w:left="720" w:hanging="720"/>
      </w:pPr>
      <w:r>
        <w:rPr>
          <w:rFonts w:ascii="Arial" w:cs="Arial" w:eastAsia="Arial" w:hAnsi="Arial"/>
          <w:sz w:val="20"/>
          <w:szCs w:val="20"/>
        </w:rPr>
        <w:t xml:space="preserve">Kyle, K. (1991). Suez: Britain's End of Empire in the Middle East. I.B. Tauris.</w:t>
      </w:r>
    </w:p>
    <w:p>
      <w:pPr>
        <w:spacing w:after="60" w:before="60"/>
        <w:ind w:left="720" w:hanging="720"/>
      </w:pPr>
      <w:r>
        <w:rPr>
          <w:rFonts w:ascii="Arial" w:cs="Arial" w:eastAsia="Arial" w:hAnsi="Arial"/>
          <w:sz w:val="20"/>
          <w:szCs w:val="20"/>
        </w:rPr>
        <w:t xml:space="preserve">Kunz, D.B. (1991). The Economic Diplomacy of the Suez Crisis. University of North Carolina Press.</w:t>
      </w:r>
    </w:p>
    <w:p>
      <w:pPr>
        <w:spacing w:after="60" w:before="60"/>
        <w:ind w:left="720" w:hanging="720"/>
      </w:pPr>
      <w:r>
        <w:rPr>
          <w:rFonts w:ascii="Arial" w:cs="Arial" w:eastAsia="Arial" w:hAnsi="Arial"/>
          <w:sz w:val="20"/>
          <w:szCs w:val="20"/>
        </w:rPr>
        <w:t xml:space="preserve">Yergin, D. (1991). The Prize: The Epic Quest for Oil, Money, and Power. Simon &amp; Schuster.</w:t>
      </w:r>
    </w:p>
    <w:p>
      <w:pPr>
        <w:spacing w:after="80" w:before="80"/>
      </w:pPr>
      <w:r>
        <w:t xml:space="preserve"/>
      </w:r>
    </w:p>
    <w:p>
      <w:pPr>
        <w:spacing w:after="80" w:before="120"/>
      </w:pPr>
      <w:r>
        <w:rPr>
          <w:rFonts w:ascii="Georgia" w:cs="Georgia" w:eastAsia="Georgia" w:hAnsi="Georgia"/>
          <w:b/>
          <w:bCs/>
          <w:color w:val="1A2E4A"/>
          <w:sz w:val="20"/>
          <w:szCs w:val="20"/>
        </w:rPr>
        <w:t xml:space="preserve">Note on in-text citation practice</w:t>
      </w:r>
    </w:p>
    <w:p>
      <w:pPr>
        <w:spacing w:after="80" w:before="80"/>
        <w:jc w:val="both"/>
      </w:pPr>
      <w:r>
        <w:rPr>
          <w:rFonts w:ascii="Georgia" w:cs="Georgia" w:eastAsia="Georgia" w:hAnsi="Georgia"/>
          <w:sz w:val="22"/>
          <w:szCs w:val="22"/>
        </w:rPr>
        <w:t xml:space="preserve">This paper is a DSSM applied analysis rather than a primary archaeological monograph. Archaeological claims about Shanidar draw on Solecki (1971) with the contested flower-burial interpretation flagged via Sommer (1999). Zarzi evidence draws on Skinner (1930) and Olszewski (1993). Exchange network inferences for the Epipaleolithic draw on Bar-Yosef &amp; Belfer-Cohen (1989). Hallan Çemi, Çayönü, and Jerf el-Ahmar claims draw on Rosenberg &amp; Redding (1998), Özdoğan &amp; Özdoğan (1998), and Stordeur et al. (2000) respectively. The Eridu sequence and Uruk population estimates draw on Nissen (1988) and Lloyd (1984). Mesopotamian temple economy claims draw on Oppenheim (1977) and Bottéro (2001). Neo-Assyrian administrative claims draw on Kuhrt (1995) and Oded (1979). Axial Age claims follow Jaspers (1953) and Assmann (2006). Exile-period textual production draws on Kaufmann (1960) and Kuhrt (1995). The hydraulic state counter-model is Wittfogel (1957). The petrodollar system draws on Eichengreen (2011) and Yergin (1991). The Suez analogue draws on Kyle (1991) and Kunz (1991). The Late Bronze Age parallel draws on Drews (1993) and Cline (2014). The 2026 geopolitical analysis draws primarily on Vondoom (2026h, 2026i).</w:t>
      </w:r>
    </w:p>
    <w:p>
      <w:pPr>
        <w:spacing w:after="80" w:before="80"/>
      </w:pPr>
      <w:r>
        <w:t xml:space="preserve"/>
      </w:r>
    </w:p>
    <w:p>
      <w:pPr>
        <w:pBdr>
          <w:top w:val="single" w:color="C9A227" w:sz="2"/>
        </w:pBdr>
        <w:spacing w:after="120" w:before="240"/>
      </w:pPr>
      <w:r>
        <w:rPr>
          <w:rFonts w:ascii="Georgia" w:cs="Georgia" w:eastAsia="Georgia" w:hAnsi="Georgia"/>
          <w:b/>
          <w:bCs/>
          <w:color w:val="1A2E4A"/>
          <w:sz w:val="22"/>
          <w:szCs w:val="22"/>
        </w:rPr>
        <w:t xml:space="preserve">AI Disclosure</w:t>
      </w:r>
    </w:p>
    <w:p>
      <w:pPr>
        <w:spacing w:after="80" w:before="80"/>
        <w:jc w:val="both"/>
      </w:pPr>
      <w:r>
        <w:rPr>
          <w:rFonts w:ascii="Georgia" w:cs="Georgia" w:eastAsia="Georgia" w:hAnsi="Georgia"/>
          <w:sz w:val="22"/>
          <w:szCs w:val="22"/>
        </w:rPr>
        <w:t xml:space="preserve">This paper was produced with AI-assisted synthesis using Claude Sonnet 4.6 (Anthropic). The intellectual framework, argument structure, empirical claims, and analytical conclusions are the work of Anthony Vondoom. Claude was used for drafting, organisation, and document production. All claims remain the author's responsibility.</w:t>
      </w:r>
    </w:p>
    <w:p>
      <w:pPr>
        <w:spacing w:after="80" w:before="80"/>
      </w:pPr>
      <w:r>
        <w:t xml:space="preserve"/>
      </w:r>
    </w:p>
    <w:p>
      <w:pPr>
        <w:spacing w:after="60" w:before="240"/>
        <w:jc w:val="center"/>
      </w:pPr>
      <w:r>
        <w:rPr>
          <w:rFonts w:ascii="Arial" w:cs="Arial" w:eastAsia="Arial" w:hAnsi="Arial"/>
          <w:color w:val="666666"/>
          <w:sz w:val="18"/>
          <w:szCs w:val="18"/>
        </w:rPr>
        <w:t xml:space="preserve">© 2026 Anthony Vondoom  |  DSSM Working Paper Series</w:t>
      </w:r>
    </w:p>
    <w:p>
      <w:pPr>
        <w:jc w:val="center"/>
      </w:pPr>
      <w:r>
        <w:rPr>
          <w:rFonts w:ascii="Arial" w:cs="Arial" w:eastAsia="Arial" w:hAnsi="Arial"/>
          <w:color w:val="666666"/>
          <w:sz w:val="18"/>
          <w:szCs w:val="18"/>
        </w:rPr>
        <w:t xml:space="preserve">CC BY 4.0  |  OSF / Figshare / Zenodo / SSRN</w:t>
      </w:r>
    </w:p>
    <w:p>
      <w:pPr>
        <w:jc w:val="center"/>
      </w:pPr>
      <w:r>
        <w:rPr>
          <w:rFonts w:ascii="Arial" w:cs="Arial" w:eastAsia="Arial" w:hAnsi="Arial"/>
          <w:color w:val="666666"/>
          <w:sz w:val="18"/>
          <w:szCs w:val="18"/>
        </w:rPr>
        <w:t xml:space="preserve">Anthony.vondoom@outlook.com  |  ORCID: 0009-0003-4953-1427</w:t>
      </w:r>
    </w:p>
    <w:sectPr>
      <w:pgSz w:w="12240" w:h="15840" w:orient="portrait"/>
      <w:pgMar w:top="1440" w:right="1296" w:bottom="1440" w:left="1296"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80" w:before="360"/>
      <w:outlineLvl w:val="0"/>
    </w:pPr>
    <w:rPr>
      <w:rFonts w:ascii="Georgia" w:cs="Georgia" w:eastAsia="Georgia" w:hAnsi="Georgia"/>
      <w:b/>
      <w:bCs/>
      <w:sz w:val="28"/>
      <w:szCs w:val="28"/>
    </w:rPr>
  </w:style>
  <w:style w:type="paragraph" w:styleId="Heading2">
    <w:name w:val="Heading 2"/>
    <w:basedOn w:val="Normal"/>
    <w:next w:val="Normal"/>
    <w:qFormat/>
    <w:pPr>
      <w:spacing w:after="120" w:before="280"/>
      <w:outlineLvl w:val="1"/>
    </w:pPr>
    <w:rPr>
      <w:rFonts w:ascii="Georgia" w:cs="Georgia" w:eastAsia="Georgia" w:hAnsi="Georgia"/>
      <w:b/>
      <w:bCs/>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2026-04-21T17:55:34.582Z</dcterms:created>
  <dcterms:modified xsi:type="dcterms:W3CDTF">2026-04-21T17:55:34.582Z</dcterms:modified>
</cp:coreProperties>
</file>

<file path=docProps/custom.xml><?xml version="1.0" encoding="utf-8"?>
<Properties xmlns="http://schemas.openxmlformats.org/officeDocument/2006/custom-properties" xmlns:vt="http://schemas.openxmlformats.org/officeDocument/2006/docPropsVTypes"/>
</file>