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8EB7" w14:textId="77777777" w:rsidR="00CA1C3F" w:rsidRDefault="00000000">
      <w:pPr>
        <w:spacing w:after="180"/>
        <w:jc w:val="center"/>
      </w:pPr>
      <w:r>
        <w:rPr>
          <w:rFonts w:ascii="Arial" w:eastAsia="Arial" w:hAnsi="Arial" w:cs="Arial"/>
          <w:b/>
          <w:bCs/>
          <w:sz w:val="40"/>
          <w:szCs w:val="40"/>
        </w:rPr>
        <w:t>Before the Silk Road:</w:t>
      </w:r>
    </w:p>
    <w:p w14:paraId="04AFEEAE" w14:textId="77777777" w:rsidR="00CA1C3F" w:rsidRDefault="00000000">
      <w:pPr>
        <w:spacing w:after="120"/>
        <w:jc w:val="center"/>
      </w:pPr>
      <w:r>
        <w:rPr>
          <w:rFonts w:ascii="Arial" w:eastAsia="Arial" w:hAnsi="Arial" w:cs="Arial"/>
          <w:b/>
          <w:bCs/>
          <w:sz w:val="28"/>
          <w:szCs w:val="28"/>
        </w:rPr>
        <w:t>The Indus Valley Civilization and the Deep Origins of Eurasian Trade Infrastructure</w:t>
      </w:r>
    </w:p>
    <w:p w14:paraId="6C6447C6" w14:textId="77777777" w:rsidR="00CA1C3F" w:rsidRDefault="00000000">
      <w:pPr>
        <w:spacing w:after="80"/>
        <w:jc w:val="center"/>
      </w:pPr>
      <w:r>
        <w:rPr>
          <w:rFonts w:ascii="Arial" w:eastAsia="Arial" w:hAnsi="Arial" w:cs="Arial"/>
          <w:i/>
          <w:iCs/>
          <w:color w:val="595959"/>
          <w:sz w:val="23"/>
          <w:szCs w:val="23"/>
        </w:rPr>
        <w:t>A Deep Symbolic Systems Model (DSSM) Analysis</w:t>
      </w:r>
    </w:p>
    <w:p w14:paraId="5E226A78" w14:textId="77777777" w:rsidR="00CA1C3F" w:rsidRDefault="00CA1C3F">
      <w:pPr>
        <w:spacing w:after="240"/>
      </w:pPr>
    </w:p>
    <w:p w14:paraId="23CC0207" w14:textId="77777777" w:rsidR="00210B80" w:rsidRDefault="00210B80">
      <w:pPr>
        <w:spacing w:after="240"/>
      </w:pPr>
    </w:p>
    <w:p w14:paraId="324D6B4E" w14:textId="77777777" w:rsidR="00210B80" w:rsidRDefault="00210B80">
      <w:pPr>
        <w:spacing w:after="240"/>
      </w:pPr>
    </w:p>
    <w:p w14:paraId="12AF1B9E" w14:textId="77777777" w:rsidR="00210B80" w:rsidRDefault="00210B80">
      <w:pPr>
        <w:spacing w:after="240"/>
      </w:pPr>
    </w:p>
    <w:p w14:paraId="77BF7723" w14:textId="77777777" w:rsidR="00210B80" w:rsidRDefault="00210B80">
      <w:pPr>
        <w:spacing w:after="240"/>
      </w:pPr>
    </w:p>
    <w:p w14:paraId="4B430B70" w14:textId="77777777" w:rsidR="00210B80" w:rsidRDefault="00210B80">
      <w:pPr>
        <w:spacing w:after="240"/>
      </w:pPr>
    </w:p>
    <w:p w14:paraId="24F03E05" w14:textId="77777777" w:rsidR="00210B80" w:rsidRDefault="00210B80">
      <w:pPr>
        <w:spacing w:after="240"/>
      </w:pPr>
    </w:p>
    <w:p w14:paraId="135BAB68" w14:textId="060AE5CE" w:rsidR="00210B80" w:rsidRDefault="008768EF" w:rsidP="008768EF">
      <w:pPr>
        <w:spacing w:after="240"/>
        <w:jc w:val="center"/>
      </w:pPr>
      <w:r>
        <w:t xml:space="preserve">2026 </w:t>
      </w:r>
      <w:proofErr w:type="spellStart"/>
      <w:r>
        <w:t>Zenodo</w:t>
      </w:r>
      <w:proofErr w:type="spellEnd"/>
      <w:r>
        <w:t xml:space="preserve"> (CERN) publication</w:t>
      </w:r>
    </w:p>
    <w:p w14:paraId="188AAAF7" w14:textId="296007D0" w:rsidR="008768EF" w:rsidRDefault="008768EF" w:rsidP="008768EF">
      <w:pPr>
        <w:spacing w:after="240"/>
        <w:jc w:val="center"/>
      </w:pPr>
      <w:r>
        <w:fldChar w:fldCharType="begin"/>
      </w:r>
      <w:r>
        <w:instrText>HYPERLINK "</w:instrText>
      </w:r>
      <w:r w:rsidRPr="008768EF">
        <w:instrText>https://doi.org/10.5281/zenodo.20369726</w:instrText>
      </w:r>
      <w:r>
        <w:instrText>"</w:instrText>
      </w:r>
      <w:r>
        <w:fldChar w:fldCharType="separate"/>
      </w:r>
      <w:r w:rsidRPr="00B230AA">
        <w:rPr>
          <w:rStyle w:val="Hyperlink"/>
        </w:rPr>
        <w:t>https://doi.org/10.5281/zenodo.20369726</w:t>
      </w:r>
      <w:r>
        <w:fldChar w:fldCharType="end"/>
      </w:r>
      <w:r>
        <w:t xml:space="preserve"> </w:t>
      </w:r>
    </w:p>
    <w:p w14:paraId="1CAD9AAD" w14:textId="77777777" w:rsidR="00210B80" w:rsidRDefault="00210B80">
      <w:pPr>
        <w:spacing w:after="240"/>
      </w:pPr>
    </w:p>
    <w:p w14:paraId="4BDB098D" w14:textId="77777777" w:rsidR="00210B80" w:rsidRDefault="00210B80">
      <w:pPr>
        <w:spacing w:after="240"/>
      </w:pPr>
    </w:p>
    <w:p w14:paraId="0047F4F5" w14:textId="77777777" w:rsidR="00210B80" w:rsidRDefault="00210B80">
      <w:pPr>
        <w:spacing w:after="240"/>
      </w:pPr>
    </w:p>
    <w:p w14:paraId="3734A20E" w14:textId="77777777" w:rsidR="00210B80" w:rsidRDefault="00210B80">
      <w:pPr>
        <w:spacing w:after="240"/>
      </w:pPr>
    </w:p>
    <w:p w14:paraId="3694B302" w14:textId="77777777" w:rsidR="00210B80" w:rsidRDefault="00210B80">
      <w:pPr>
        <w:spacing w:after="240"/>
      </w:pPr>
    </w:p>
    <w:p w14:paraId="1024BFFE" w14:textId="77777777" w:rsidR="00210B80" w:rsidRDefault="00210B80">
      <w:pPr>
        <w:spacing w:after="240"/>
      </w:pPr>
    </w:p>
    <w:p w14:paraId="5515E92A" w14:textId="77777777" w:rsidR="00210B80" w:rsidRDefault="00210B80">
      <w:pPr>
        <w:spacing w:after="240"/>
      </w:pPr>
    </w:p>
    <w:p w14:paraId="1A4EB7AC" w14:textId="77777777" w:rsidR="00210B80" w:rsidRDefault="00210B80">
      <w:pPr>
        <w:spacing w:after="240"/>
      </w:pPr>
    </w:p>
    <w:p w14:paraId="7C71CE61" w14:textId="77777777" w:rsidR="00210B80" w:rsidRDefault="00210B80">
      <w:pPr>
        <w:spacing w:after="240"/>
      </w:pPr>
    </w:p>
    <w:p w14:paraId="77977BC7" w14:textId="77777777" w:rsidR="00210B80" w:rsidRDefault="00210B80">
      <w:pPr>
        <w:spacing w:after="240"/>
      </w:pPr>
    </w:p>
    <w:p w14:paraId="52C73745" w14:textId="77777777" w:rsidR="00210B80" w:rsidRDefault="00210B80">
      <w:pPr>
        <w:spacing w:after="240"/>
      </w:pPr>
    </w:p>
    <w:p w14:paraId="695B5AE1" w14:textId="77777777" w:rsidR="00CA1C3F" w:rsidRDefault="00000000">
      <w:pPr>
        <w:pBdr>
          <w:top w:val="single" w:sz="4" w:space="4" w:color="000000"/>
          <w:bottom w:val="single" w:sz="4" w:space="4" w:color="000000"/>
        </w:pBdr>
        <w:spacing w:after="60"/>
        <w:jc w:val="center"/>
      </w:pPr>
      <w:r>
        <w:rPr>
          <w:rFonts w:ascii="Arial" w:eastAsia="Arial" w:hAnsi="Arial" w:cs="Arial"/>
          <w:b/>
          <w:bCs/>
          <w:sz w:val="24"/>
          <w:szCs w:val="24"/>
        </w:rPr>
        <w:t>Anthony Vondoom</w:t>
      </w:r>
    </w:p>
    <w:p w14:paraId="70BA490B" w14:textId="77777777" w:rsidR="00CA1C3F" w:rsidRDefault="00000000">
      <w:pPr>
        <w:spacing w:before="60" w:after="40"/>
        <w:jc w:val="center"/>
      </w:pPr>
      <w:r>
        <w:rPr>
          <w:rFonts w:ascii="Arial" w:eastAsia="Arial" w:hAnsi="Arial" w:cs="Arial"/>
          <w:color w:val="595959"/>
          <w:sz w:val="18"/>
          <w:szCs w:val="18"/>
        </w:rPr>
        <w:t xml:space="preserve">Independent </w:t>
      </w:r>
      <w:proofErr w:type="gramStart"/>
      <w:r>
        <w:rPr>
          <w:rFonts w:ascii="Arial" w:eastAsia="Arial" w:hAnsi="Arial" w:cs="Arial"/>
          <w:color w:val="595959"/>
          <w:sz w:val="18"/>
          <w:szCs w:val="18"/>
        </w:rPr>
        <w:t>Researcher  |</w:t>
      </w:r>
      <w:proofErr w:type="gramEnd"/>
      <w:r>
        <w:rPr>
          <w:rFonts w:ascii="Arial" w:eastAsia="Arial" w:hAnsi="Arial" w:cs="Arial"/>
          <w:color w:val="595959"/>
          <w:sz w:val="18"/>
          <w:szCs w:val="18"/>
        </w:rPr>
        <w:t xml:space="preserve">  ORCID: 0009-0003-4953-</w:t>
      </w:r>
      <w:proofErr w:type="gramStart"/>
      <w:r>
        <w:rPr>
          <w:rFonts w:ascii="Arial" w:eastAsia="Arial" w:hAnsi="Arial" w:cs="Arial"/>
          <w:color w:val="595959"/>
          <w:sz w:val="18"/>
          <w:szCs w:val="18"/>
        </w:rPr>
        <w:t>1427  |</w:t>
      </w:r>
      <w:proofErr w:type="gramEnd"/>
      <w:r>
        <w:rPr>
          <w:rFonts w:ascii="Arial" w:eastAsia="Arial" w:hAnsi="Arial" w:cs="Arial"/>
          <w:color w:val="595959"/>
          <w:sz w:val="18"/>
          <w:szCs w:val="18"/>
        </w:rPr>
        <w:t xml:space="preserve">  anthony.vondoom@outlook.com</w:t>
      </w:r>
    </w:p>
    <w:p w14:paraId="35912CFF" w14:textId="08A47E9D" w:rsidR="00CA1C3F" w:rsidRDefault="00000000">
      <w:pPr>
        <w:spacing w:after="40"/>
        <w:jc w:val="center"/>
      </w:pPr>
      <w:r>
        <w:rPr>
          <w:rFonts w:ascii="Arial" w:eastAsia="Arial" w:hAnsi="Arial" w:cs="Arial"/>
          <w:i/>
          <w:iCs/>
          <w:color w:val="595959"/>
          <w:sz w:val="18"/>
          <w:szCs w:val="18"/>
        </w:rPr>
        <w:t>Deep Symbolic Systems Model (DSSM</w:t>
      </w:r>
      <w:r w:rsidR="00210B80">
        <w:rPr>
          <w:rFonts w:ascii="Arial" w:eastAsia="Arial" w:hAnsi="Arial" w:cs="Arial"/>
          <w:i/>
          <w:iCs/>
          <w:color w:val="595959"/>
          <w:sz w:val="18"/>
          <w:szCs w:val="18"/>
        </w:rPr>
        <w:t>)</w:t>
      </w:r>
      <w:r>
        <w:rPr>
          <w:rFonts w:ascii="Arial" w:eastAsia="Arial" w:hAnsi="Arial" w:cs="Arial"/>
          <w:i/>
          <w:iCs/>
          <w:color w:val="595959"/>
          <w:sz w:val="18"/>
          <w:szCs w:val="18"/>
        </w:rPr>
        <w:t xml:space="preserve"> </w:t>
      </w:r>
      <w:proofErr w:type="gramStart"/>
      <w:r>
        <w:rPr>
          <w:rFonts w:ascii="Arial" w:eastAsia="Arial" w:hAnsi="Arial" w:cs="Arial"/>
          <w:i/>
          <w:iCs/>
          <w:color w:val="595959"/>
          <w:sz w:val="18"/>
          <w:szCs w:val="18"/>
        </w:rPr>
        <w:t>|  CC</w:t>
      </w:r>
      <w:proofErr w:type="gramEnd"/>
      <w:r>
        <w:rPr>
          <w:rFonts w:ascii="Arial" w:eastAsia="Arial" w:hAnsi="Arial" w:cs="Arial"/>
          <w:i/>
          <w:iCs/>
          <w:color w:val="595959"/>
          <w:sz w:val="18"/>
          <w:szCs w:val="18"/>
        </w:rPr>
        <w:t xml:space="preserve"> BY 4.0</w:t>
      </w:r>
    </w:p>
    <w:p w14:paraId="1D78122C" w14:textId="77777777" w:rsidR="00CA1C3F" w:rsidRDefault="00000000">
      <w:pPr>
        <w:spacing w:after="280"/>
        <w:jc w:val="center"/>
      </w:pPr>
      <w:r>
        <w:rPr>
          <w:i/>
          <w:iCs/>
          <w:color w:val="595959"/>
          <w:sz w:val="18"/>
          <w:szCs w:val="18"/>
        </w:rPr>
        <w:lastRenderedPageBreak/>
        <w:t>AI Disclosure: The author used Claude (Anthropic) to assist with drafting, editing, and improving clarity of certain sections. The author takes full intellectual responsibility for all theoretical claims, frameworks, and conclusions presented herein.</w:t>
      </w:r>
    </w:p>
    <w:p w14:paraId="225DEC2A" w14:textId="77777777" w:rsidR="00CA1C3F" w:rsidRDefault="00000000">
      <w:pPr>
        <w:pStyle w:val="Heading1"/>
        <w:pBdr>
          <w:bottom w:val="single" w:sz="6" w:space="4" w:color="000000"/>
        </w:pBdr>
      </w:pPr>
      <w:r>
        <w:t>Abstract</w:t>
      </w:r>
    </w:p>
    <w:p w14:paraId="0839DA5B" w14:textId="77777777" w:rsidR="00CA1C3F" w:rsidRDefault="00000000">
      <w:pPr>
        <w:spacing w:after="140" w:line="276" w:lineRule="auto"/>
        <w:jc w:val="both"/>
      </w:pPr>
      <w:r>
        <w:t>The Silk Road — conventionally dated to 114 BCE — is widely understood as the origin point of sustained Eurasian long-distance trade. This paper challenges that framing. Drawing on the Deep Symbolic Systems Model (DSSM), archaeological evidence, and convergent genomic data from the companion paper (Vondoom, 2026c), it argues that the Silk Road did not create the infrastructure of Eurasian exchange: it inherited it. The Indus Valley Civilization (IVC, c. 7000–1900 BCE) had already established, maintained, and symbolically encoded a trade network spanning the Iranian Plateau, the Persian Gulf, Mesopotamia, and Central Asia — a network that Possehl (2007) designates the Middle Asian Interaction Sphere (MAIS). The MAIS's overland nodes — specifically the Bactria–</w:t>
      </w:r>
      <w:proofErr w:type="spellStart"/>
      <w:r>
        <w:t>Margiana</w:t>
      </w:r>
      <w:proofErr w:type="spellEnd"/>
      <w:r>
        <w:t xml:space="preserve"> Archaeological Complex (BMAC, c. 2400–1700 BCE) — are geographically identical to the later Silk Road corridors. IVC seals, standardized weights, and etched carnelian beads recovered at Ur, Susa, Nippur, </w:t>
      </w:r>
      <w:proofErr w:type="spellStart"/>
      <w:r>
        <w:t>Gonur</w:t>
      </w:r>
      <w:proofErr w:type="spellEnd"/>
      <w:r>
        <w:t xml:space="preserve"> Depe, and Shahr-</w:t>
      </w:r>
      <w:proofErr w:type="spellStart"/>
      <w:r>
        <w:t>i</w:t>
      </w:r>
      <w:proofErr w:type="spellEnd"/>
      <w:r>
        <w:t>-</w:t>
      </w:r>
      <w:proofErr w:type="spellStart"/>
      <w:r>
        <w:t>Sokhta</w:t>
      </w:r>
      <w:proofErr w:type="spellEnd"/>
      <w:r>
        <w:t xml:space="preserve"> constitute material proof that a functioning, symbolically sophisticated interregional exchange system was operational by 2500 BCE — two thousand years before the Silk Road's formal recognition. The </w:t>
      </w:r>
      <w:proofErr w:type="spellStart"/>
      <w:r>
        <w:t>Rakhigarhi</w:t>
      </w:r>
      <w:proofErr w:type="spellEnd"/>
      <w:r>
        <w:t xml:space="preserve"> genome (Narasimhan et al., 2019; Shinde et al., 2019) confirms that IVC people were physically present as resident agents at BMAC sites during this period, and that their 25% frequency at those sites indicates multigenerational communities capable of transmitting the IVC symbolic system without institutional support from the heartland. Under DSSM, this network constituted a distributed symbolic infrastructure — an error-correcting system that maintained cognitive coherence across vast territories through embodied knowledge, not centralized authority. The implications extend beyond trade history: the same geographic corridors that carried lapis lazuli from Badakhshan to Ur in 2500 BCE carried silk from China westward in 100 BCE. The geographic logic was never altered. Only the name changed.</w:t>
      </w:r>
    </w:p>
    <w:p w14:paraId="2E7A9965" w14:textId="77777777" w:rsidR="00CA1C3F" w:rsidRDefault="00000000">
      <w:pPr>
        <w:spacing w:before="100" w:after="200"/>
      </w:pPr>
      <w:r>
        <w:rPr>
          <w:b/>
          <w:bCs/>
        </w:rPr>
        <w:t xml:space="preserve">Keywords: </w:t>
      </w:r>
      <w:r>
        <w:rPr>
          <w:i/>
          <w:iCs/>
        </w:rPr>
        <w:t xml:space="preserve">Indus Valley Civilization, Silk Road precursor, Middle Asian Interaction Sphere, BMAC, DSSM, trade networks, symbolic infrastructure, </w:t>
      </w:r>
      <w:proofErr w:type="spellStart"/>
      <w:r>
        <w:rPr>
          <w:i/>
          <w:iCs/>
        </w:rPr>
        <w:t>Rakhigarhi</w:t>
      </w:r>
      <w:proofErr w:type="spellEnd"/>
      <w:r>
        <w:rPr>
          <w:i/>
          <w:iCs/>
        </w:rPr>
        <w:t xml:space="preserve"> genome, Eurasian exchange, Bronze Age globalization, resident mercantile communities, Stage IV symbolic systems, lapis lazuli route, </w:t>
      </w:r>
      <w:proofErr w:type="spellStart"/>
      <w:r>
        <w:rPr>
          <w:i/>
          <w:iCs/>
        </w:rPr>
        <w:t>Meluḫḫa</w:t>
      </w:r>
      <w:proofErr w:type="spellEnd"/>
    </w:p>
    <w:p w14:paraId="305B8458" w14:textId="77777777" w:rsidR="00CA1C3F" w:rsidRDefault="00000000">
      <w:pPr>
        <w:pStyle w:val="Heading1"/>
        <w:pBdr>
          <w:bottom w:val="single" w:sz="6" w:space="4" w:color="000000"/>
        </w:pBdr>
      </w:pPr>
      <w:r>
        <w:t>1. The Wrong Starting Point</w:t>
      </w:r>
    </w:p>
    <w:p w14:paraId="41F0F6D7" w14:textId="77777777" w:rsidR="00CA1C3F" w:rsidRDefault="00000000">
      <w:pPr>
        <w:spacing w:after="140" w:line="276" w:lineRule="auto"/>
        <w:jc w:val="both"/>
      </w:pPr>
      <w:r>
        <w:t>The Silk Road is conventionally dated to 114 BCE, when the Han Emperor Wu dispatched Zhang Qian westward to establish diplomatic and commercial relations with Central Asia. This framing — the Silk Road as a second-century BCE invention — has structured trade history for over a century. It is wrong, or more precisely, it names a formalization that occurred two thousand years after the underlying infrastructure was already operational.</w:t>
      </w:r>
    </w:p>
    <w:p w14:paraId="543A6BE6" w14:textId="77777777" w:rsidR="00CA1C3F" w:rsidRDefault="00000000">
      <w:pPr>
        <w:spacing w:after="140" w:line="276" w:lineRule="auto"/>
        <w:jc w:val="both"/>
      </w:pPr>
      <w:r>
        <w:t>The problem is terminological as much as historical. The Silk Road was never a single road, and silk was never its only cargo. It was a network of overland and maritime corridors connecting East Asia, Central Asia, South Asia, the Iranian Plateau, Mesopotamia, and eventually the Mediterranean — a network across which goods, people, diseases, religions, technologies, and symbolic systems moved continuously for millennia (</w:t>
      </w:r>
      <w:proofErr w:type="spellStart"/>
      <w:r>
        <w:t>Frankopan</w:t>
      </w:r>
      <w:proofErr w:type="spellEnd"/>
      <w:r>
        <w:t>, 2015; Liu, 2010). Zhang Qian did not build this network. He encountered it, already ancient, already institutionalized, already operating through geographic corridors that had been in continuous use for two thousand years before his journey.</w:t>
      </w:r>
    </w:p>
    <w:p w14:paraId="604A2F91" w14:textId="77777777" w:rsidR="00CA1C3F" w:rsidRDefault="00000000">
      <w:pPr>
        <w:spacing w:after="140" w:line="276" w:lineRule="auto"/>
        <w:jc w:val="both"/>
      </w:pPr>
      <w:r>
        <w:lastRenderedPageBreak/>
        <w:t xml:space="preserve">This paper advances a specific claim: the core overland and maritime corridors of the Silk Road were established, maintained, and symbolically encoded by the Indus Valley Civilization and its trade partners between approximately 3000 and 1900 BCE — at minimum fifteen hundred years, and by the Mehrgarh precursor sequence, up to four thousand years, before Zhang Qian's mission. The evidence is archaeological, genomic, and textual. The analytical framework is DSSM, which provides the mechanism explaining not only what moved along these routes, but why the </w:t>
      </w:r>
      <w:proofErr w:type="gramStart"/>
      <w:r>
        <w:t>routes maintained</w:t>
      </w:r>
      <w:proofErr w:type="gramEnd"/>
      <w:r>
        <w:t xml:space="preserve"> coherence across millennia, cultures, and the collapse of every civilization that had used them. The genomic foundation for this argument is established in the companion paper on the </w:t>
      </w:r>
      <w:proofErr w:type="spellStart"/>
      <w:r>
        <w:t>Rakhigarhi</w:t>
      </w:r>
      <w:proofErr w:type="spellEnd"/>
      <w:r>
        <w:t xml:space="preserve"> genome (Vondoom, 2026c).</w:t>
      </w:r>
    </w:p>
    <w:p w14:paraId="190FC5CA" w14:textId="77777777" w:rsidR="00CA1C3F" w:rsidRDefault="00000000">
      <w:pPr>
        <w:pStyle w:val="Heading1"/>
        <w:pBdr>
          <w:bottom w:val="single" w:sz="6" w:space="4" w:color="000000"/>
        </w:pBdr>
      </w:pPr>
      <w:r>
        <w:t>2. The Middle Asian Interaction Sphere: A Network Already in Place</w:t>
      </w:r>
    </w:p>
    <w:p w14:paraId="0D239061" w14:textId="77777777" w:rsidR="00CA1C3F" w:rsidRDefault="00000000">
      <w:pPr>
        <w:pStyle w:val="Heading2"/>
      </w:pPr>
      <w:r>
        <w:t>2.1 Possehl's Framework and Its Implications</w:t>
      </w:r>
    </w:p>
    <w:p w14:paraId="2866A358" w14:textId="77777777" w:rsidR="00CA1C3F" w:rsidRDefault="00000000">
      <w:pPr>
        <w:spacing w:after="140" w:line="276" w:lineRule="auto"/>
        <w:jc w:val="both"/>
      </w:pPr>
      <w:r>
        <w:t xml:space="preserve">The archaeologist Gregory Possehl coined the term Middle Asian Interaction Sphere (MAIS) to describe the integrated network of cultural and commercial exchange connecting the IVC, the Iranian Plateau, the Persian Gulf, Mesopotamia, and Central Asia during the third millennium BCE (Possehl, 2002, 2007). The MAIS is not a hypothesis. It is a description of a documented archaeological reality: Indus-type seals, standardized weights, and etched carnelian beads have been recovered from sites spanning this entire region, from Lothal on the Gujarat coast to Ur in southern Mesopotamia, from Bahrain (ancient Dilmun) to </w:t>
      </w:r>
      <w:proofErr w:type="spellStart"/>
      <w:r>
        <w:t>Gonur</w:t>
      </w:r>
      <w:proofErr w:type="spellEnd"/>
      <w:r>
        <w:t xml:space="preserve"> Depe in Turkmenistan (Gadd, 1932; Kenoyer, 1998; Possehl, 2002).</w:t>
      </w:r>
    </w:p>
    <w:p w14:paraId="0495331A" w14:textId="77777777" w:rsidR="00CA1C3F" w:rsidRDefault="00000000">
      <w:pPr>
        <w:spacing w:after="140" w:line="276" w:lineRule="auto"/>
        <w:jc w:val="both"/>
      </w:pPr>
      <w:r>
        <w:t xml:space="preserve">Mesopotamian cuneiform records — among the most detailed administrative texts from the ancient world — explicitly name the Indus region. The land of </w:t>
      </w:r>
      <w:proofErr w:type="spellStart"/>
      <w:r>
        <w:t>Meluḫḫa</w:t>
      </w:r>
      <w:proofErr w:type="spellEnd"/>
      <w:r>
        <w:t xml:space="preserve"> appears in Akkadian texts from the reign of Sargon of Akkad (c. 2334–2279 BCE) as a distant maritime trading partner sending timber, carnelian, gold, and luxury goods westward. Intermediate trading stations are named: Dilmun (Bahrain) and Magan (the </w:t>
      </w:r>
      <w:proofErr w:type="spellStart"/>
      <w:r>
        <w:t>Makran</w:t>
      </w:r>
      <w:proofErr w:type="spellEnd"/>
      <w:r>
        <w:t xml:space="preserve"> coast of modern Pakistan and Oman). The route is specified. The goods are specified. The relationship is described as sustained, not occasional (Oppenheim, 1954; </w:t>
      </w:r>
      <w:proofErr w:type="spellStart"/>
      <w:r>
        <w:t>Parpola</w:t>
      </w:r>
      <w:proofErr w:type="spellEnd"/>
      <w:r>
        <w:t xml:space="preserve"> et al., 1977; Possehl, 2002). This is not inference. It is administrative documentation of an operational trade network.</w:t>
      </w:r>
    </w:p>
    <w:p w14:paraId="6AD60E89" w14:textId="77777777" w:rsidR="00CA1C3F" w:rsidRDefault="00000000">
      <w:pPr>
        <w:spacing w:after="140" w:line="276" w:lineRule="auto"/>
        <w:jc w:val="both"/>
      </w:pPr>
      <w:r>
        <w:t>The material record confirms the textual account. Some two dozen Indus-style seals — bearing the characteristic unicorn motif and undeciphered Indus script — have been recovered from Mesopotamian urban centers including Ur, Nippur, Kish, and Susa (Gadd, 1932; Possehl, 2007). IVC-etched carnelian beads, identifiable by their distinctive drilling and etching technique, have been found at sites across the Iranian Plateau. Harappan pottery appears at Omani coastal sites. Persian Gulf-style circular seals appear at Lothal, the IVC's purpose-built port city on the Gujarat coast — indicating that the exchange was bidirectional and institutionally organized, not incidental contact (Rao, 1979; Kenoyer, 1998).</w:t>
      </w:r>
    </w:p>
    <w:p w14:paraId="30F89069" w14:textId="77777777" w:rsidR="00CA1C3F" w:rsidRDefault="00000000">
      <w:pPr>
        <w:pStyle w:val="Heading2"/>
      </w:pPr>
      <w:r>
        <w:t>2.2 The Material Evidence: Commodity Flows Across the MAIS</w:t>
      </w:r>
    </w:p>
    <w:p w14:paraId="4AC8E289" w14:textId="77777777" w:rsidR="00CA1C3F" w:rsidRDefault="00000000">
      <w:pPr>
        <w:spacing w:after="140" w:line="276" w:lineRule="auto"/>
        <w:jc w:val="both"/>
      </w:pPr>
      <w:r>
        <w:t>The cargo of the MAIS is well documented. Table 1 presents the attested commodity flows with archaeological source attribution. Moving westward and northward from the IVC: carnelian beads produced by a technique exclusive to IVC craftspeople, identifiable by compositional analysis; cotton textiles — the IVC was among the earliest cultivators of cotton, and Mesopotamian texts describe importing cotton cloth; ivory and ivory objects; timber; gold jewelry; shell inlays; and live animals including water buffalo and possibly chickens, both domesticated in the Indus region before they appear in Mesopotamia (Fuller, 2006; Kenoyer, 2010).</w:t>
      </w:r>
    </w:p>
    <w:p w14:paraId="17A78C2C" w14:textId="77777777" w:rsidR="00CA1C3F" w:rsidRDefault="00CA1C3F">
      <w:pPr>
        <w:spacing w:after="160"/>
      </w:pPr>
    </w:p>
    <w:p w14:paraId="15D5BEF6" w14:textId="77777777" w:rsidR="00210B80" w:rsidRDefault="00210B80">
      <w:pPr>
        <w:spacing w:before="60" w:after="200"/>
        <w:jc w:val="center"/>
        <w:rPr>
          <w:rFonts w:ascii="Arial" w:eastAsia="Arial" w:hAnsi="Arial" w:cs="Arial"/>
          <w:i/>
          <w:iCs/>
          <w:color w:val="595959"/>
          <w:sz w:val="18"/>
          <w:szCs w:val="18"/>
        </w:rPr>
      </w:pPr>
    </w:p>
    <w:p w14:paraId="11B924C4" w14:textId="299A0C47" w:rsidR="00CA1C3F" w:rsidRDefault="00000000">
      <w:pPr>
        <w:spacing w:before="60" w:after="200"/>
        <w:jc w:val="center"/>
      </w:pPr>
      <w:r>
        <w:rPr>
          <w:rFonts w:ascii="Arial" w:eastAsia="Arial" w:hAnsi="Arial" w:cs="Arial"/>
          <w:i/>
          <w:iCs/>
          <w:color w:val="595959"/>
          <w:sz w:val="18"/>
          <w:szCs w:val="18"/>
        </w:rPr>
        <w:t xml:space="preserve">Table 1. Documented Commodity Flows Across the Middle Asian Interaction Sphere (c. 3000–1900 BCE). Sources: Possehl (2002); Kenoyer (2010); Oppenheim (1954); </w:t>
      </w:r>
      <w:proofErr w:type="spellStart"/>
      <w:r>
        <w:rPr>
          <w:rFonts w:ascii="Arial" w:eastAsia="Arial" w:hAnsi="Arial" w:cs="Arial"/>
          <w:i/>
          <w:iCs/>
          <w:color w:val="595959"/>
          <w:sz w:val="18"/>
          <w:szCs w:val="18"/>
        </w:rPr>
        <w:t>Parpola</w:t>
      </w:r>
      <w:proofErr w:type="spellEnd"/>
      <w:r>
        <w:rPr>
          <w:rFonts w:ascii="Arial" w:eastAsia="Arial" w:hAnsi="Arial" w:cs="Arial"/>
          <w:i/>
          <w:iCs/>
          <w:color w:val="595959"/>
          <w:sz w:val="18"/>
          <w:szCs w:val="18"/>
        </w:rPr>
        <w:t xml:space="preserve"> et al. (1977); Wright (2010).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080"/>
        <w:gridCol w:w="2680"/>
        <w:gridCol w:w="1800"/>
      </w:tblGrid>
      <w:tr w:rsidR="00CA1C3F" w14:paraId="5892BCB0" w14:textId="77777777">
        <w:tblPrEx>
          <w:tblCellMar>
            <w:top w:w="0" w:type="dxa"/>
            <w:bottom w:w="0" w:type="dxa"/>
          </w:tblCellMar>
        </w:tblPrEx>
        <w:trPr>
          <w:tblHeader/>
        </w:trPr>
        <w:tc>
          <w:tcPr>
            <w:tcW w:w="18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06C43033" w14:textId="77777777" w:rsidR="00CA1C3F" w:rsidRDefault="00000000">
            <w:pPr>
              <w:jc w:val="center"/>
            </w:pPr>
            <w:r>
              <w:rPr>
                <w:rFonts w:ascii="Arial" w:eastAsia="Arial" w:hAnsi="Arial" w:cs="Arial"/>
                <w:b/>
                <w:bCs/>
                <w:sz w:val="19"/>
                <w:szCs w:val="19"/>
              </w:rPr>
              <w:t>Direction</w:t>
            </w:r>
          </w:p>
        </w:tc>
        <w:tc>
          <w:tcPr>
            <w:tcW w:w="30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F79C276" w14:textId="77777777" w:rsidR="00CA1C3F" w:rsidRDefault="00000000">
            <w:pPr>
              <w:jc w:val="center"/>
            </w:pPr>
            <w:r>
              <w:rPr>
                <w:rFonts w:ascii="Arial" w:eastAsia="Arial" w:hAnsi="Arial" w:cs="Arial"/>
                <w:b/>
                <w:bCs/>
                <w:sz w:val="19"/>
                <w:szCs w:val="19"/>
              </w:rPr>
              <w:t>Commodity</w:t>
            </w:r>
          </w:p>
        </w:tc>
        <w:tc>
          <w:tcPr>
            <w:tcW w:w="26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6D25E99A" w14:textId="77777777" w:rsidR="00CA1C3F" w:rsidRDefault="00000000">
            <w:pPr>
              <w:jc w:val="center"/>
            </w:pPr>
            <w:r>
              <w:rPr>
                <w:rFonts w:ascii="Arial" w:eastAsia="Arial" w:hAnsi="Arial" w:cs="Arial"/>
                <w:b/>
                <w:bCs/>
                <w:sz w:val="19"/>
                <w:szCs w:val="19"/>
              </w:rPr>
              <w:t>Attested Sites</w:t>
            </w: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627FB6C0" w14:textId="77777777" w:rsidR="00CA1C3F" w:rsidRDefault="00000000">
            <w:pPr>
              <w:jc w:val="center"/>
            </w:pPr>
            <w:r>
              <w:rPr>
                <w:rFonts w:ascii="Arial" w:eastAsia="Arial" w:hAnsi="Arial" w:cs="Arial"/>
                <w:b/>
                <w:bCs/>
                <w:sz w:val="19"/>
                <w:szCs w:val="19"/>
              </w:rPr>
              <w:t>Source</w:t>
            </w:r>
          </w:p>
        </w:tc>
      </w:tr>
      <w:tr w:rsidR="00CA1C3F" w14:paraId="6F473AEB"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05D9D15" w14:textId="77777777" w:rsidR="00CA1C3F" w:rsidRDefault="00000000">
            <w:r>
              <w:rPr>
                <w:sz w:val="19"/>
                <w:szCs w:val="19"/>
              </w:rPr>
              <w:t>Westward / Northward from IVC</w:t>
            </w:r>
          </w:p>
        </w:tc>
        <w:tc>
          <w:tcPr>
            <w:tcW w:w="3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25FECBE" w14:textId="77777777" w:rsidR="00CA1C3F" w:rsidRDefault="00000000">
            <w:r>
              <w:rPr>
                <w:b/>
                <w:bCs/>
                <w:sz w:val="19"/>
                <w:szCs w:val="19"/>
              </w:rPr>
              <w:t>Etched carnelian beads</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50A251D" w14:textId="77777777" w:rsidR="00CA1C3F" w:rsidRDefault="00000000">
            <w:r>
              <w:rPr>
                <w:sz w:val="19"/>
                <w:szCs w:val="19"/>
              </w:rPr>
              <w:t xml:space="preserve">Ur, Kish, Nippur, Susa, </w:t>
            </w:r>
            <w:proofErr w:type="spellStart"/>
            <w:r>
              <w:rPr>
                <w:sz w:val="19"/>
                <w:szCs w:val="19"/>
              </w:rPr>
              <w:t>Gonur</w:t>
            </w:r>
            <w:proofErr w:type="spellEnd"/>
            <w:r>
              <w:rPr>
                <w:sz w:val="19"/>
                <w:szCs w:val="19"/>
              </w:rPr>
              <w:t xml:space="preserve"> Depe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13EBF8C" w14:textId="77777777" w:rsidR="00CA1C3F" w:rsidRDefault="00000000">
            <w:r>
              <w:rPr>
                <w:sz w:val="19"/>
                <w:szCs w:val="19"/>
              </w:rPr>
              <w:t>Kenoyer, 2010</w:t>
            </w:r>
          </w:p>
        </w:tc>
      </w:tr>
      <w:tr w:rsidR="00CA1C3F" w14:paraId="2A5586E7"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AAC3A24" w14:textId="77777777" w:rsidR="00CA1C3F" w:rsidRDefault="00000000">
            <w:r>
              <w:rPr>
                <w:sz w:val="19"/>
                <w:szCs w:val="19"/>
              </w:rPr>
              <w:t>Westward / Northward from IVC</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C3F38CA" w14:textId="77777777" w:rsidR="00CA1C3F" w:rsidRDefault="00000000">
            <w:r>
              <w:rPr>
                <w:b/>
                <w:bCs/>
                <w:sz w:val="19"/>
                <w:szCs w:val="19"/>
              </w:rPr>
              <w:t>Cotton textiles</w:t>
            </w:r>
          </w:p>
        </w:tc>
        <w:tc>
          <w:tcPr>
            <w:tcW w:w="2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07282B1" w14:textId="77777777" w:rsidR="00CA1C3F" w:rsidRDefault="00000000">
            <w:r>
              <w:rPr>
                <w:sz w:val="19"/>
                <w:szCs w:val="19"/>
              </w:rPr>
              <w:t>Mesopotamia (named in Akkadian texts)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440C6398" w14:textId="77777777" w:rsidR="00CA1C3F" w:rsidRDefault="00000000">
            <w:r>
              <w:rPr>
                <w:sz w:val="19"/>
                <w:szCs w:val="19"/>
              </w:rPr>
              <w:t>Oppenheim, 1954</w:t>
            </w:r>
          </w:p>
        </w:tc>
      </w:tr>
      <w:tr w:rsidR="00CA1C3F" w14:paraId="461D9CC6"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E251234" w14:textId="77777777" w:rsidR="00CA1C3F" w:rsidRDefault="00000000">
            <w:r>
              <w:rPr>
                <w:sz w:val="19"/>
                <w:szCs w:val="19"/>
              </w:rPr>
              <w:t>Westward / Northward from IVC</w:t>
            </w:r>
          </w:p>
        </w:tc>
        <w:tc>
          <w:tcPr>
            <w:tcW w:w="3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F3816E7" w14:textId="77777777" w:rsidR="00CA1C3F" w:rsidRDefault="00000000">
            <w:r>
              <w:rPr>
                <w:b/>
                <w:bCs/>
                <w:sz w:val="19"/>
                <w:szCs w:val="19"/>
              </w:rPr>
              <w:t>Ivory and ivory objects</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5D376BC" w14:textId="77777777" w:rsidR="00CA1C3F" w:rsidRDefault="00000000">
            <w:r>
              <w:rPr>
                <w:sz w:val="19"/>
                <w:szCs w:val="19"/>
              </w:rPr>
              <w:t>Persian Gulf coast, Mesopotamia</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C7EC378" w14:textId="77777777" w:rsidR="00CA1C3F" w:rsidRDefault="00000000">
            <w:r>
              <w:rPr>
                <w:sz w:val="19"/>
                <w:szCs w:val="19"/>
              </w:rPr>
              <w:t>Possehl, 2002</w:t>
            </w:r>
          </w:p>
        </w:tc>
      </w:tr>
      <w:tr w:rsidR="00CA1C3F" w14:paraId="586B7C52"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79142B06" w14:textId="77777777" w:rsidR="00CA1C3F" w:rsidRDefault="00000000">
            <w:r>
              <w:rPr>
                <w:sz w:val="19"/>
                <w:szCs w:val="19"/>
              </w:rPr>
              <w:t>Westward / Northward from IVC</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5C36FE1" w14:textId="77777777" w:rsidR="00CA1C3F" w:rsidRDefault="00000000">
            <w:r>
              <w:rPr>
                <w:b/>
                <w:bCs/>
                <w:sz w:val="19"/>
                <w:szCs w:val="19"/>
              </w:rPr>
              <w:t>Lapis lazuli (transit)</w:t>
            </w:r>
          </w:p>
        </w:tc>
        <w:tc>
          <w:tcPr>
            <w:tcW w:w="2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5A7D765" w14:textId="77777777" w:rsidR="00CA1C3F" w:rsidRDefault="00000000">
            <w:r>
              <w:rPr>
                <w:sz w:val="19"/>
                <w:szCs w:val="19"/>
              </w:rPr>
              <w:t>Badakhshan → IVC → Mesopotamia, Egypt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2FEEA34" w14:textId="77777777" w:rsidR="00CA1C3F" w:rsidRDefault="00000000">
            <w:r>
              <w:rPr>
                <w:sz w:val="19"/>
                <w:szCs w:val="19"/>
              </w:rPr>
              <w:t>Kuzmina, 2008</w:t>
            </w:r>
          </w:p>
        </w:tc>
      </w:tr>
      <w:tr w:rsidR="00CA1C3F" w14:paraId="0378B716"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E8D2ECE" w14:textId="77777777" w:rsidR="00CA1C3F" w:rsidRDefault="00000000">
            <w:r>
              <w:rPr>
                <w:sz w:val="19"/>
                <w:szCs w:val="19"/>
              </w:rPr>
              <w:t>Westward / Northward from IVC</w:t>
            </w:r>
          </w:p>
        </w:tc>
        <w:tc>
          <w:tcPr>
            <w:tcW w:w="3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9496694" w14:textId="77777777" w:rsidR="00CA1C3F" w:rsidRDefault="00000000">
            <w:r>
              <w:rPr>
                <w:b/>
                <w:bCs/>
                <w:sz w:val="19"/>
                <w:szCs w:val="19"/>
              </w:rPr>
              <w:t>Timber, gold jewelry, shell inlays</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FF1427D" w14:textId="77777777" w:rsidR="00CA1C3F" w:rsidRDefault="00000000">
            <w:r>
              <w:rPr>
                <w:sz w:val="19"/>
                <w:szCs w:val="19"/>
              </w:rPr>
              <w:t>Ur (</w:t>
            </w:r>
            <w:proofErr w:type="spellStart"/>
            <w:r>
              <w:rPr>
                <w:sz w:val="19"/>
                <w:szCs w:val="19"/>
              </w:rPr>
              <w:t>Meluḫḫa</w:t>
            </w:r>
            <w:proofErr w:type="spellEnd"/>
            <w:r>
              <w:rPr>
                <w:sz w:val="19"/>
                <w:szCs w:val="19"/>
              </w:rPr>
              <w:t xml:space="preserve"> trade records)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5907F84" w14:textId="77777777" w:rsidR="00CA1C3F" w:rsidRDefault="00000000">
            <w:proofErr w:type="spellStart"/>
            <w:r>
              <w:rPr>
                <w:sz w:val="19"/>
                <w:szCs w:val="19"/>
              </w:rPr>
              <w:t>Parpola</w:t>
            </w:r>
            <w:proofErr w:type="spellEnd"/>
            <w:r>
              <w:rPr>
                <w:sz w:val="19"/>
                <w:szCs w:val="19"/>
              </w:rPr>
              <w:t xml:space="preserve"> et al., 1977</w:t>
            </w:r>
          </w:p>
        </w:tc>
      </w:tr>
      <w:tr w:rsidR="00CA1C3F" w14:paraId="508F650F"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49146916" w14:textId="77777777" w:rsidR="00CA1C3F" w:rsidRDefault="00000000">
            <w:r>
              <w:rPr>
                <w:sz w:val="19"/>
                <w:szCs w:val="19"/>
              </w:rPr>
              <w:t>Eastward into IVC</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2F103D45" w14:textId="77777777" w:rsidR="00CA1C3F" w:rsidRDefault="00000000">
            <w:r>
              <w:rPr>
                <w:b/>
                <w:bCs/>
                <w:sz w:val="19"/>
                <w:szCs w:val="19"/>
              </w:rPr>
              <w:t>Silver and tin ingots</w:t>
            </w:r>
          </w:p>
        </w:tc>
        <w:tc>
          <w:tcPr>
            <w:tcW w:w="2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D0B5676" w14:textId="77777777" w:rsidR="00CA1C3F" w:rsidRDefault="00000000">
            <w:r>
              <w:rPr>
                <w:sz w:val="19"/>
                <w:szCs w:val="19"/>
              </w:rPr>
              <w:t>Mesopotamia → IVC (bronze production)</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700B0E7" w14:textId="77777777" w:rsidR="00CA1C3F" w:rsidRDefault="00000000">
            <w:r>
              <w:rPr>
                <w:sz w:val="19"/>
                <w:szCs w:val="19"/>
              </w:rPr>
              <w:t>Wright, 2010</w:t>
            </w:r>
          </w:p>
        </w:tc>
      </w:tr>
      <w:tr w:rsidR="00CA1C3F" w14:paraId="5BCC12F9"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824D3CE" w14:textId="77777777" w:rsidR="00CA1C3F" w:rsidRDefault="00000000">
            <w:r>
              <w:rPr>
                <w:sz w:val="19"/>
                <w:szCs w:val="19"/>
              </w:rPr>
              <w:t>Eastward into IVC</w:t>
            </w:r>
          </w:p>
        </w:tc>
        <w:tc>
          <w:tcPr>
            <w:tcW w:w="30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7DE5A22" w14:textId="77777777" w:rsidR="00CA1C3F" w:rsidRDefault="00000000">
            <w:r>
              <w:rPr>
                <w:b/>
                <w:bCs/>
                <w:sz w:val="19"/>
                <w:szCs w:val="19"/>
              </w:rPr>
              <w:t>Copper from Oman</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8348B18" w14:textId="77777777" w:rsidR="00CA1C3F" w:rsidRDefault="00000000">
            <w:proofErr w:type="spellStart"/>
            <w:r>
              <w:rPr>
                <w:sz w:val="19"/>
                <w:szCs w:val="19"/>
              </w:rPr>
              <w:t>Makran</w:t>
            </w:r>
            <w:proofErr w:type="spellEnd"/>
            <w:r>
              <w:rPr>
                <w:sz w:val="19"/>
                <w:szCs w:val="19"/>
              </w:rPr>
              <w:t xml:space="preserve"> coast (Magan)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2C8C8CC" w14:textId="77777777" w:rsidR="00CA1C3F" w:rsidRDefault="00000000">
            <w:r>
              <w:rPr>
                <w:sz w:val="19"/>
                <w:szCs w:val="19"/>
              </w:rPr>
              <w:t>Possehl, 2002</w:t>
            </w:r>
          </w:p>
        </w:tc>
      </w:tr>
      <w:tr w:rsidR="00CA1C3F" w14:paraId="4CE97B2F"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F00C4A1" w14:textId="77777777" w:rsidR="00CA1C3F" w:rsidRDefault="00000000">
            <w:r>
              <w:rPr>
                <w:sz w:val="19"/>
                <w:szCs w:val="19"/>
              </w:rPr>
              <w:t>Eastward into IVC</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B843D17" w14:textId="77777777" w:rsidR="00CA1C3F" w:rsidRDefault="00000000">
            <w:r>
              <w:rPr>
                <w:b/>
                <w:bCs/>
                <w:sz w:val="19"/>
                <w:szCs w:val="19"/>
              </w:rPr>
              <w:t>Woolen textiles, bitumen</w:t>
            </w:r>
          </w:p>
        </w:tc>
        <w:tc>
          <w:tcPr>
            <w:tcW w:w="2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B2864B6" w14:textId="77777777" w:rsidR="00CA1C3F" w:rsidRDefault="00000000">
            <w:r>
              <w:rPr>
                <w:sz w:val="19"/>
                <w:szCs w:val="19"/>
              </w:rPr>
              <w:t>Mesopotamia → Gujarat ports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7AC6D4A" w14:textId="77777777" w:rsidR="00CA1C3F" w:rsidRDefault="00000000">
            <w:r>
              <w:rPr>
                <w:sz w:val="19"/>
                <w:szCs w:val="19"/>
              </w:rPr>
              <w:t>Kenoyer, 2010</w:t>
            </w:r>
          </w:p>
        </w:tc>
      </w:tr>
    </w:tbl>
    <w:p w14:paraId="3427A8F8" w14:textId="77777777" w:rsidR="00CA1C3F" w:rsidRDefault="00CA1C3F">
      <w:pPr>
        <w:spacing w:after="160"/>
      </w:pPr>
    </w:p>
    <w:p w14:paraId="708A0556" w14:textId="77777777" w:rsidR="00CA1C3F" w:rsidRDefault="00000000">
      <w:pPr>
        <w:spacing w:after="140" w:line="276" w:lineRule="auto"/>
        <w:jc w:val="both"/>
      </w:pPr>
      <w:r>
        <w:t>The economic logic of this exchange is itself informative. The IVC ran a significant trade surplus in manufactured and luxury goods — a pattern that does not suggest a peripheral or subordinate relationship to Mesopotamia but rather a primary producer of high-value craft output supplying a downstream market (Kenoyer, 2010; Wright, 2010). The sophistication of IVC craftspeople was acknowledged in Mesopotamian desire for their products.</w:t>
      </w:r>
    </w:p>
    <w:p w14:paraId="79FBACE0" w14:textId="77777777" w:rsidR="00CA1C3F" w:rsidRDefault="00000000">
      <w:pPr>
        <w:spacing w:after="140" w:line="276" w:lineRule="auto"/>
        <w:jc w:val="both"/>
      </w:pPr>
      <w:r>
        <w:t xml:space="preserve">Critically, the mechanisms of exchange were institutionally sophisticated. IVC seals functioned as trade authentication devices — portable symbolic codes encoding merchant identity, commodity type, and institutional affiliation (Vondoom, 2026b; </w:t>
      </w:r>
      <w:proofErr w:type="spellStart"/>
      <w:r>
        <w:t>Parpola</w:t>
      </w:r>
      <w:proofErr w:type="spellEnd"/>
      <w:r>
        <w:t>, 1994). The IVC weight system, with variance under one percent across thousands of kilometers of geographic range, constituted a shared metrological infrastructure — a symbolic standard enforced not by a central authority but by the distributed practice of merchants who had internalized it across generations (Vondoom, 2026b; Kenoyer, 1998). This is precisely what DSSM predicts for a Stage IV symbolic system: coherence through distributed enforcement rather than bureaucratic coercion.</w:t>
      </w:r>
    </w:p>
    <w:p w14:paraId="4723F826" w14:textId="77777777" w:rsidR="00CA1C3F" w:rsidRDefault="00000000">
      <w:pPr>
        <w:pStyle w:val="Heading2"/>
      </w:pPr>
      <w:r>
        <w:t>2.3 The Lapis Lazuli Road: The Oldest Fixed Corridor</w:t>
      </w:r>
    </w:p>
    <w:p w14:paraId="49F39D80" w14:textId="77777777" w:rsidR="00CA1C3F" w:rsidRDefault="00000000">
      <w:pPr>
        <w:spacing w:after="140" w:line="276" w:lineRule="auto"/>
        <w:jc w:val="both"/>
      </w:pPr>
      <w:r>
        <w:t xml:space="preserve">Among the commodities moving through the MAIS, lapis lazuli holds special analytical significance. Lapis lazuli — the deep blue semiprecious stone that appears in royal Egyptian jewelry, Mesopotamian temple offerings, and IVC ornaments — has a single primary ancient-world source: the Badakhshan mines in northeastern Afghanistan, at the headwaters of the </w:t>
      </w:r>
      <w:proofErr w:type="spellStart"/>
      <w:r>
        <w:t>Kokcha</w:t>
      </w:r>
      <w:proofErr w:type="spellEnd"/>
      <w:r>
        <w:t xml:space="preserve"> River (Kuzmina, 2008; Herrmann, 1968). From the </w:t>
      </w:r>
      <w:r>
        <w:lastRenderedPageBreak/>
        <w:t>third millennium BCE onward, lapis lazuli moved from Badakhshan to Mesopotamia, Egypt, and the IVC along fixed overland routes. Those routes run through precisely the territory that later became the Silk Road's southern and central branches: through Bactria (northern Afghanistan), across the Iranian Plateau, and westward to Mesopotamia and Egypt — or southeastward through the Indus corridor (</w:t>
      </w:r>
      <w:proofErr w:type="spellStart"/>
      <w:r>
        <w:t>Frankopan</w:t>
      </w:r>
      <w:proofErr w:type="spellEnd"/>
      <w:r>
        <w:t>, 2015; Kuzmina, 2008).</w:t>
      </w:r>
    </w:p>
    <w:p w14:paraId="21EE0D38" w14:textId="77777777" w:rsidR="00CA1C3F" w:rsidRDefault="00000000">
      <w:pPr>
        <w:spacing w:after="140" w:line="276" w:lineRule="auto"/>
        <w:jc w:val="both"/>
      </w:pPr>
      <w:r>
        <w:t>This is not coincidence. It reflects the geographic logic of mountain passes, river valleys, and water sources that constrain overland movement across this terrain. The Silk Road followed the lapis lazuli road because there was no other viable route across the Hindu Kush and Iranian Plateau that avoided impassable terrain. The infrastructure of Eurasian overland trade was determined by geography, and IVC Bronze Age merchants had already identified, repeatedly used, and institutionally encoded that geography — evidenced by the purpose-built port at Lothal and the standardized weight system operative across the full corridor — two thousand years before any Chinese emperor sent an envoy westward. Table 2 compares the Bronze Age corridor segments with their Silk Road successors.</w:t>
      </w:r>
    </w:p>
    <w:p w14:paraId="447DEF64" w14:textId="77777777" w:rsidR="00CA1C3F" w:rsidRDefault="00CA1C3F">
      <w:pPr>
        <w:spacing w:after="160"/>
      </w:pPr>
    </w:p>
    <w:p w14:paraId="2E55A533" w14:textId="77777777" w:rsidR="00CA1C3F" w:rsidRDefault="00000000">
      <w:pPr>
        <w:spacing w:before="60" w:after="200"/>
        <w:jc w:val="center"/>
      </w:pPr>
      <w:r>
        <w:rPr>
          <w:rFonts w:ascii="Arial" w:eastAsia="Arial" w:hAnsi="Arial" w:cs="Arial"/>
          <w:i/>
          <w:iCs/>
          <w:color w:val="595959"/>
          <w:sz w:val="18"/>
          <w:szCs w:val="18"/>
        </w:rPr>
        <w:t xml:space="preserve">Table 2. Route Corridor Comparison: Bronze Age MAIS (c. 2500 BCE) versus Historical Silk Road (c. 100 BCE–600 CE). Sources: Kuzmina (2008); </w:t>
      </w:r>
      <w:proofErr w:type="spellStart"/>
      <w:r>
        <w:rPr>
          <w:rFonts w:ascii="Arial" w:eastAsia="Arial" w:hAnsi="Arial" w:cs="Arial"/>
          <w:i/>
          <w:iCs/>
          <w:color w:val="595959"/>
          <w:sz w:val="18"/>
          <w:szCs w:val="18"/>
        </w:rPr>
        <w:t>Frankopan</w:t>
      </w:r>
      <w:proofErr w:type="spellEnd"/>
      <w:r>
        <w:rPr>
          <w:rFonts w:ascii="Arial" w:eastAsia="Arial" w:hAnsi="Arial" w:cs="Arial"/>
          <w:i/>
          <w:iCs/>
          <w:color w:val="595959"/>
          <w:sz w:val="18"/>
          <w:szCs w:val="18"/>
        </w:rPr>
        <w:t xml:space="preserve"> (2015); Narasimhan et al. (2019); Possehl (2002); Gadd (1932).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80"/>
        <w:gridCol w:w="2480"/>
        <w:gridCol w:w="2000"/>
      </w:tblGrid>
      <w:tr w:rsidR="00CA1C3F" w14:paraId="13F34BC6" w14:textId="77777777">
        <w:tblPrEx>
          <w:tblCellMar>
            <w:top w:w="0" w:type="dxa"/>
            <w:bottom w:w="0" w:type="dxa"/>
          </w:tblCellMar>
        </w:tblPrEx>
        <w:trPr>
          <w:tblHeader/>
        </w:trPr>
        <w:tc>
          <w:tcPr>
            <w:tcW w:w="24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6AF4F26" w14:textId="77777777" w:rsidR="00CA1C3F" w:rsidRDefault="00000000">
            <w:pPr>
              <w:jc w:val="center"/>
            </w:pPr>
            <w:r>
              <w:rPr>
                <w:rFonts w:ascii="Arial" w:eastAsia="Arial" w:hAnsi="Arial" w:cs="Arial"/>
                <w:b/>
                <w:bCs/>
                <w:sz w:val="19"/>
                <w:szCs w:val="19"/>
              </w:rPr>
              <w:t>Corridor Segment</w:t>
            </w:r>
          </w:p>
        </w:tc>
        <w:tc>
          <w:tcPr>
            <w:tcW w:w="24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E7C326F" w14:textId="77777777" w:rsidR="00CA1C3F" w:rsidRDefault="00000000">
            <w:pPr>
              <w:jc w:val="center"/>
            </w:pPr>
            <w:r>
              <w:rPr>
                <w:rFonts w:ascii="Arial" w:eastAsia="Arial" w:hAnsi="Arial" w:cs="Arial"/>
                <w:b/>
                <w:bCs/>
                <w:sz w:val="19"/>
                <w:szCs w:val="19"/>
              </w:rPr>
              <w:t>IVC / Bronze Age Use (c. 2500 BCE)</w:t>
            </w:r>
          </w:p>
        </w:tc>
        <w:tc>
          <w:tcPr>
            <w:tcW w:w="24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6DA786B1" w14:textId="77777777" w:rsidR="00CA1C3F" w:rsidRDefault="00000000">
            <w:pPr>
              <w:jc w:val="center"/>
            </w:pPr>
            <w:r>
              <w:rPr>
                <w:rFonts w:ascii="Arial" w:eastAsia="Arial" w:hAnsi="Arial" w:cs="Arial"/>
                <w:b/>
                <w:bCs/>
                <w:sz w:val="19"/>
                <w:szCs w:val="19"/>
              </w:rPr>
              <w:t>Silk Road Use (c. 100 BCE–600 CE)</w:t>
            </w:r>
          </w:p>
        </w:tc>
        <w:tc>
          <w:tcPr>
            <w:tcW w:w="2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EE7213F" w14:textId="77777777" w:rsidR="00CA1C3F" w:rsidRDefault="00000000">
            <w:pPr>
              <w:jc w:val="center"/>
            </w:pPr>
            <w:r>
              <w:rPr>
                <w:rFonts w:ascii="Arial" w:eastAsia="Arial" w:hAnsi="Arial" w:cs="Arial"/>
                <w:b/>
                <w:bCs/>
                <w:sz w:val="19"/>
                <w:szCs w:val="19"/>
              </w:rPr>
              <w:t>Continuity Evidence</w:t>
            </w:r>
          </w:p>
        </w:tc>
      </w:tr>
      <w:tr w:rsidR="00CA1C3F" w14:paraId="2C867B0A"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7AEB541" w14:textId="77777777" w:rsidR="00CA1C3F" w:rsidRDefault="00000000">
            <w:r>
              <w:rPr>
                <w:b/>
                <w:bCs/>
                <w:sz w:val="19"/>
                <w:szCs w:val="19"/>
              </w:rPr>
              <w:t>Badakhshan → Bactria (N. Afghanistan)</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46C8603" w14:textId="77777777" w:rsidR="00CA1C3F" w:rsidRDefault="00000000">
            <w:r>
              <w:rPr>
                <w:sz w:val="19"/>
                <w:szCs w:val="19"/>
              </w:rPr>
              <w:t xml:space="preserve">Lapis lazuli export route; BMAC nodes at </w:t>
            </w:r>
            <w:proofErr w:type="spellStart"/>
            <w:r>
              <w:rPr>
                <w:sz w:val="19"/>
                <w:szCs w:val="19"/>
              </w:rPr>
              <w:t>Shortugai</w:t>
            </w:r>
            <w:proofErr w:type="spellEnd"/>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25DDD42" w14:textId="77777777" w:rsidR="00CA1C3F" w:rsidRDefault="00000000">
            <w:r>
              <w:rPr>
                <w:sz w:val="19"/>
                <w:szCs w:val="19"/>
              </w:rPr>
              <w:t>Major Silk Road eastern branch node; Balkh (Bactria)</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5FE0158" w14:textId="77777777" w:rsidR="00CA1C3F" w:rsidRDefault="00000000">
            <w:r>
              <w:rPr>
                <w:sz w:val="19"/>
                <w:szCs w:val="19"/>
              </w:rPr>
              <w:t>Geographic determinism; same mountain passes</w:t>
            </w:r>
          </w:p>
        </w:tc>
      </w:tr>
      <w:tr w:rsidR="00CA1C3F" w14:paraId="1B768EC0"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E2B0207" w14:textId="77777777" w:rsidR="00CA1C3F" w:rsidRDefault="00000000">
            <w:r>
              <w:rPr>
                <w:b/>
                <w:bCs/>
                <w:sz w:val="19"/>
                <w:szCs w:val="19"/>
              </w:rPr>
              <w:t xml:space="preserve">Bactria → </w:t>
            </w:r>
            <w:proofErr w:type="spellStart"/>
            <w:r>
              <w:rPr>
                <w:b/>
                <w:bCs/>
                <w:sz w:val="19"/>
                <w:szCs w:val="19"/>
              </w:rPr>
              <w:t>Margiana</w:t>
            </w:r>
            <w:proofErr w:type="spellEnd"/>
            <w:r>
              <w:rPr>
                <w:b/>
                <w:bCs/>
                <w:sz w:val="19"/>
                <w:szCs w:val="19"/>
              </w:rPr>
              <w:t xml:space="preserve"> (Turkmenistan)</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2F9A6C1" w14:textId="77777777" w:rsidR="00CA1C3F" w:rsidRDefault="00000000">
            <w:r>
              <w:rPr>
                <w:sz w:val="19"/>
                <w:szCs w:val="19"/>
              </w:rPr>
              <w:t xml:space="preserve">BMAC core corridor; </w:t>
            </w:r>
            <w:proofErr w:type="spellStart"/>
            <w:r>
              <w:rPr>
                <w:sz w:val="19"/>
                <w:szCs w:val="19"/>
              </w:rPr>
              <w:t>Gonur</w:t>
            </w:r>
            <w:proofErr w:type="spellEnd"/>
            <w:r>
              <w:rPr>
                <w:sz w:val="19"/>
                <w:szCs w:val="19"/>
              </w:rPr>
              <w:t xml:space="preserve"> Depe (IVC migrants present)</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E7EF649" w14:textId="77777777" w:rsidR="00CA1C3F" w:rsidRDefault="00000000">
            <w:r>
              <w:rPr>
                <w:sz w:val="19"/>
                <w:szCs w:val="19"/>
              </w:rPr>
              <w:t>Merv (</w:t>
            </w:r>
            <w:proofErr w:type="spellStart"/>
            <w:r>
              <w:rPr>
                <w:sz w:val="19"/>
                <w:szCs w:val="19"/>
              </w:rPr>
              <w:t>Margiana</w:t>
            </w:r>
            <w:proofErr w:type="spellEnd"/>
            <w:r>
              <w:rPr>
                <w:sz w:val="19"/>
                <w:szCs w:val="19"/>
              </w:rPr>
              <w:t>) — canonical Silk Road city</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7BAFC87" w14:textId="77777777" w:rsidR="00CA1C3F" w:rsidRDefault="00000000">
            <w:r>
              <w:rPr>
                <w:sz w:val="19"/>
                <w:szCs w:val="19"/>
              </w:rPr>
              <w:t>IVC-cline genomic presence; artifact continuity</w:t>
            </w:r>
          </w:p>
        </w:tc>
      </w:tr>
      <w:tr w:rsidR="00CA1C3F" w14:paraId="33459EE0"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E4F2F12" w14:textId="77777777" w:rsidR="00CA1C3F" w:rsidRDefault="00000000">
            <w:proofErr w:type="spellStart"/>
            <w:r>
              <w:rPr>
                <w:b/>
                <w:bCs/>
                <w:sz w:val="19"/>
                <w:szCs w:val="19"/>
              </w:rPr>
              <w:t>Margiana</w:t>
            </w:r>
            <w:proofErr w:type="spellEnd"/>
            <w:r>
              <w:rPr>
                <w:b/>
                <w:bCs/>
                <w:sz w:val="19"/>
                <w:szCs w:val="19"/>
              </w:rPr>
              <w:t xml:space="preserve"> → Iranian Plateau</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ECD9EC8" w14:textId="77777777" w:rsidR="00CA1C3F" w:rsidRDefault="00000000">
            <w:r>
              <w:rPr>
                <w:sz w:val="19"/>
                <w:szCs w:val="19"/>
              </w:rPr>
              <w:t>Shahr-</w:t>
            </w:r>
            <w:proofErr w:type="spellStart"/>
            <w:r>
              <w:rPr>
                <w:sz w:val="19"/>
                <w:szCs w:val="19"/>
              </w:rPr>
              <w:t>i</w:t>
            </w:r>
            <w:proofErr w:type="spellEnd"/>
            <w:r>
              <w:rPr>
                <w:sz w:val="19"/>
                <w:szCs w:val="19"/>
              </w:rPr>
              <w:t>-</w:t>
            </w:r>
            <w:proofErr w:type="spellStart"/>
            <w:r>
              <w:rPr>
                <w:sz w:val="19"/>
                <w:szCs w:val="19"/>
              </w:rPr>
              <w:t>Sokhta</w:t>
            </w:r>
            <w:proofErr w:type="spellEnd"/>
            <w:r>
              <w:rPr>
                <w:sz w:val="19"/>
                <w:szCs w:val="19"/>
              </w:rPr>
              <w:t xml:space="preserve"> trade node; IVC migrants present</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1511EF2" w14:textId="77777777" w:rsidR="00CA1C3F" w:rsidRDefault="00000000">
            <w:r>
              <w:rPr>
                <w:sz w:val="19"/>
                <w:szCs w:val="19"/>
              </w:rPr>
              <w:t>Silk Road southern branch; Nishapur, Herat</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01CFDE9" w14:textId="77777777" w:rsidR="00CA1C3F" w:rsidRDefault="00000000">
            <w:r>
              <w:rPr>
                <w:sz w:val="19"/>
                <w:szCs w:val="19"/>
              </w:rPr>
              <w:t>Genomic + material culture overlap</w:t>
            </w:r>
          </w:p>
        </w:tc>
      </w:tr>
      <w:tr w:rsidR="00CA1C3F" w14:paraId="40A7AA0C"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0ECB8F1" w14:textId="77777777" w:rsidR="00CA1C3F" w:rsidRDefault="00000000">
            <w:r>
              <w:rPr>
                <w:b/>
                <w:bCs/>
                <w:sz w:val="19"/>
                <w:szCs w:val="19"/>
              </w:rPr>
              <w:t>Iranian Plateau → Mesopotamia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647FA68D" w14:textId="77777777" w:rsidR="00CA1C3F" w:rsidRDefault="00000000">
            <w:proofErr w:type="spellStart"/>
            <w:r>
              <w:rPr>
                <w:sz w:val="19"/>
                <w:szCs w:val="19"/>
              </w:rPr>
              <w:t>Meluḫḫa</w:t>
            </w:r>
            <w:proofErr w:type="spellEnd"/>
            <w:r>
              <w:rPr>
                <w:sz w:val="19"/>
                <w:szCs w:val="19"/>
              </w:rPr>
              <w:t xml:space="preserve"> maritime/overland trade; IVC seals at Ur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025677C" w14:textId="77777777" w:rsidR="00CA1C3F" w:rsidRDefault="00000000">
            <w:r>
              <w:rPr>
                <w:sz w:val="19"/>
                <w:szCs w:val="19"/>
              </w:rPr>
              <w:t xml:space="preserve">Persian Royal Road precursor; </w:t>
            </w:r>
            <w:proofErr w:type="gramStart"/>
            <w:r>
              <w:rPr>
                <w:sz w:val="19"/>
                <w:szCs w:val="19"/>
              </w:rPr>
              <w:t>Achaemenid road</w:t>
            </w:r>
            <w:proofErr w:type="gramEnd"/>
            <w:r>
              <w:rPr>
                <w:sz w:val="19"/>
                <w:szCs w:val="19"/>
              </w:rPr>
              <w:t xml:space="preserve"> system</w:t>
            </w: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5FFC7FB" w14:textId="77777777" w:rsidR="00CA1C3F" w:rsidRDefault="00000000">
            <w:r>
              <w:rPr>
                <w:sz w:val="19"/>
                <w:szCs w:val="19"/>
              </w:rPr>
              <w:t>Mesopotamian cuneiform records; seal finds</w:t>
            </w:r>
          </w:p>
        </w:tc>
      </w:tr>
      <w:tr w:rsidR="00CA1C3F" w14:paraId="3FB0A443"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B335B3C" w14:textId="77777777" w:rsidR="00CA1C3F" w:rsidRDefault="00000000">
            <w:r>
              <w:rPr>
                <w:b/>
                <w:bCs/>
                <w:sz w:val="19"/>
                <w:szCs w:val="19"/>
              </w:rPr>
              <w:t>Indus → Persian Gulf (maritime)</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C3FF492" w14:textId="77777777" w:rsidR="00CA1C3F" w:rsidRDefault="00000000">
            <w:r>
              <w:rPr>
                <w:sz w:val="19"/>
                <w:szCs w:val="19"/>
              </w:rPr>
              <w:t>Lothal port; Dilmun (Bahrain) intermediate station</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C9674E8" w14:textId="77777777" w:rsidR="00CA1C3F" w:rsidRDefault="00000000">
            <w:r>
              <w:rPr>
                <w:sz w:val="19"/>
                <w:szCs w:val="19"/>
              </w:rPr>
              <w:t>Indian Ocean trade arm; Sasanian-era Gulf routes</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30FC976" w14:textId="77777777" w:rsidR="00CA1C3F" w:rsidRDefault="00000000">
            <w:r>
              <w:rPr>
                <w:sz w:val="19"/>
                <w:szCs w:val="19"/>
              </w:rPr>
              <w:t>Harappan pottery at Omani sites; Gulf seals at Lothal</w:t>
            </w:r>
          </w:p>
        </w:tc>
      </w:tr>
    </w:tbl>
    <w:p w14:paraId="769A637F" w14:textId="77777777" w:rsidR="00CA1C3F" w:rsidRDefault="00CA1C3F">
      <w:pPr>
        <w:spacing w:after="160"/>
      </w:pPr>
    </w:p>
    <w:p w14:paraId="1BE7F214" w14:textId="77777777" w:rsidR="00CA1C3F" w:rsidRDefault="00000000">
      <w:pPr>
        <w:pStyle w:val="Heading1"/>
        <w:pBdr>
          <w:bottom w:val="single" w:sz="6" w:space="4" w:color="000000"/>
        </w:pBdr>
      </w:pPr>
      <w:r>
        <w:t>3. The BMAC: The Missing Node</w:t>
      </w:r>
    </w:p>
    <w:p w14:paraId="2C3EB52B" w14:textId="77777777" w:rsidR="00CA1C3F" w:rsidRDefault="00000000">
      <w:pPr>
        <w:pStyle w:val="Heading2"/>
      </w:pPr>
      <w:r>
        <w:t>3.1 The Oxus Civilization as Convergence Hub</w:t>
      </w:r>
    </w:p>
    <w:p w14:paraId="7CB90C88" w14:textId="77777777" w:rsidR="00CA1C3F" w:rsidRDefault="00000000">
      <w:pPr>
        <w:spacing w:after="140" w:line="276" w:lineRule="auto"/>
        <w:jc w:val="both"/>
      </w:pPr>
      <w:r>
        <w:t>The Bactria–</w:t>
      </w:r>
      <w:proofErr w:type="spellStart"/>
      <w:r>
        <w:t>Margiana</w:t>
      </w:r>
      <w:proofErr w:type="spellEnd"/>
      <w:r>
        <w:t xml:space="preserve"> Archaeological Complex (BMAC), also called the Oxus Civilization, flourished in southern Central Asia — present-day Turkmenistan, Afghanistan, Uzbekistan, and Tajikistan — between approximately 2400 and 1700 BCE. Its geographic position is decisive: the BMAC occupies the exact territory through which the later Silk Road's central corridor runs. Merv (ancient </w:t>
      </w:r>
      <w:proofErr w:type="spellStart"/>
      <w:r>
        <w:t>Margiana</w:t>
      </w:r>
      <w:proofErr w:type="spellEnd"/>
      <w:r>
        <w:t>) and Balkh (ancient Bactria) are canonical Silk Road cities. They were BMAC cities first (</w:t>
      </w:r>
      <w:proofErr w:type="spellStart"/>
      <w:r>
        <w:t>Sarianidi</w:t>
      </w:r>
      <w:proofErr w:type="spellEnd"/>
      <w:r>
        <w:t>, 1994; Lamberg-</w:t>
      </w:r>
      <w:proofErr w:type="spellStart"/>
      <w:r>
        <w:t>Karlovsky</w:t>
      </w:r>
      <w:proofErr w:type="spellEnd"/>
      <w:r>
        <w:t>, 2002).</w:t>
      </w:r>
    </w:p>
    <w:p w14:paraId="6222BC68" w14:textId="77777777" w:rsidR="00CA1C3F" w:rsidRDefault="00000000">
      <w:pPr>
        <w:spacing w:after="140" w:line="276" w:lineRule="auto"/>
        <w:jc w:val="both"/>
      </w:pPr>
      <w:r>
        <w:lastRenderedPageBreak/>
        <w:t xml:space="preserve">The BMAC was not a peripheral culture. Recent archaeological and genomic analysis confirms it as a sophisticated urban complex — the first structured proto-urban cities of the region, gathering thousands of individuals, with deep social stratification — explicitly situated within the MAIS as a dynamic network of cultural interaction and interregional exchanges with the IVC, the </w:t>
      </w:r>
      <w:proofErr w:type="spellStart"/>
      <w:r>
        <w:t>Syro</w:t>
      </w:r>
      <w:proofErr w:type="spellEnd"/>
      <w:r>
        <w:t>-Anatolian area, Mesopotamia, and the Iranian Plateau (Possehl, 2007; Narasimhan et al., 2019). BMAC sites have yielded lapis lazuli from Badakhshan, carnelian from the Indus Valley, and tin from Central Asian sources — the exact commodity assemblage of the Bronze Age long-distance network.</w:t>
      </w:r>
    </w:p>
    <w:p w14:paraId="69A2DD7C" w14:textId="77777777" w:rsidR="00CA1C3F" w:rsidRDefault="00000000">
      <w:pPr>
        <w:pStyle w:val="Heading2"/>
      </w:pPr>
      <w:r>
        <w:t>3.2 The Genomic Confirmation: IVC People at BMAC Sites</w:t>
      </w:r>
    </w:p>
    <w:p w14:paraId="2817D9FB" w14:textId="77777777" w:rsidR="00CA1C3F" w:rsidRDefault="00000000">
      <w:pPr>
        <w:spacing w:after="140" w:line="276" w:lineRule="auto"/>
        <w:jc w:val="both"/>
      </w:pPr>
      <w:r>
        <w:t xml:space="preserve">The genomic record provides a critical and underappreciated confirmation of BMAC's role as a MAIS node. In 2019, Shinde et al. published the first successfully sequenced ancient genome from an IVC individual — a woman designated I6113, buried at </w:t>
      </w:r>
      <w:proofErr w:type="spellStart"/>
      <w:r>
        <w:t>Rakhigarhi</w:t>
      </w:r>
      <w:proofErr w:type="spellEnd"/>
      <w:r>
        <w:t xml:space="preserve"> around 2500 BCE, whose ancestry is best modeled as a mixture of ancient Iranian-related populations and Ancient Ancestral South Indians (AASI), with zero steppe pastoralist ancestry and zero Anatolian farmer ancestry (Shinde et al., 2019). This profile establishes the IVC as an indigenously developed civilization with no large-scale external demographic contribution. Published simultaneously, Narasimhan et al. (2019) in </w:t>
      </w:r>
      <w:proofErr w:type="gramStart"/>
      <w:r>
        <w:t>Science</w:t>
      </w:r>
      <w:proofErr w:type="gramEnd"/>
      <w:r>
        <w:t xml:space="preserve"> reported genome-wide data from 523 ancient individuals across South and Central Asia. Within this dataset, eleven individuals emerged as genetic outliers at non-IVC sites: three from </w:t>
      </w:r>
      <w:proofErr w:type="spellStart"/>
      <w:r>
        <w:t>Gonur</w:t>
      </w:r>
      <w:proofErr w:type="spellEnd"/>
      <w:r>
        <w:t xml:space="preserve"> Depe and eight from Shahr-</w:t>
      </w:r>
      <w:proofErr w:type="spellStart"/>
      <w:r>
        <w:t>i</w:t>
      </w:r>
      <w:proofErr w:type="spellEnd"/>
      <w:r>
        <w:t>-</w:t>
      </w:r>
      <w:proofErr w:type="spellStart"/>
      <w:r>
        <w:t>Sokhta</w:t>
      </w:r>
      <w:proofErr w:type="spellEnd"/>
      <w:r>
        <w:t>. Their ancestry matched I6113. These were IVC-cline individuals living outside IVC territory.</w:t>
      </w:r>
    </w:p>
    <w:p w14:paraId="3612364B" w14:textId="77777777" w:rsidR="00CA1C3F" w:rsidRDefault="00000000">
      <w:pPr>
        <w:spacing w:after="140" w:line="276" w:lineRule="auto"/>
        <w:jc w:val="both"/>
      </w:pPr>
      <w:r>
        <w:t>The direction of movement — outward from South Asia, not inward — is established by three independent lines of evidence. First, statistical frequency: roughly 25% of sampled individuals at these sites carry IVC-cline ancestry, consistent with a resident community and inconsistent with any model placing the ancestry's origin at the Central Asian sites themselves. Second, material culture corroboration: of the three Shahr-</w:t>
      </w:r>
      <w:proofErr w:type="spellStart"/>
      <w:r>
        <w:t>i</w:t>
      </w:r>
      <w:proofErr w:type="spellEnd"/>
      <w:r>
        <w:t>-</w:t>
      </w:r>
      <w:proofErr w:type="spellStart"/>
      <w:r>
        <w:t>Sokhta</w:t>
      </w:r>
      <w:proofErr w:type="spellEnd"/>
      <w:r>
        <w:t xml:space="preserve"> individuals with direct Baluchistan material affiliations — objects traceable to IVC craft traditions — all three are IVC-cline outliers. Genetic status and material affiliation coincide in the same individuals. Third, the AASI signature: the IVC-cline outliers carry admixture from populations related to present-day South Asian tribal groups — absent in local Copper Age </w:t>
      </w:r>
      <w:proofErr w:type="spellStart"/>
      <w:r>
        <w:t>Turkmenistani</w:t>
      </w:r>
      <w:proofErr w:type="spellEnd"/>
      <w:r>
        <w:t xml:space="preserve"> and Iranian populations and explainable only through South Asian contact. The researchers' interpretation is unambiguous: these individuals were possibly even first-generation migrants from South Asia (Narasimhan, quoted in Smithsonian Magazine, 2019). The full analysis, with extended evidential treatment, is presented in the companion paper (Vondoom, 2026c); the three lines are summarized here because they are foundational to this paper's argument and should not require a separate source to follow.</w:t>
      </w:r>
    </w:p>
    <w:p w14:paraId="73B9B95A" w14:textId="77777777" w:rsidR="00CA1C3F" w:rsidRDefault="00000000">
      <w:pPr>
        <w:spacing w:after="140" w:line="276" w:lineRule="auto"/>
        <w:jc w:val="both"/>
      </w:pPr>
      <w:r>
        <w:t xml:space="preserve">This genomic finding resolves a methodological objection sometimes raised against arguments for pre-Silk Road long-distance exchange: that artifact distribution could reflect down-the-line exchange rather than direct contact. The presence of IVC-ancestry individuals in situ at BMAC sites is not consistent with down-the-line exchange. It is consistent with sustained mercantile diaspora — the same pattern documented millennia later in Sogdian trading colonies along the historical Silk Road (de la </w:t>
      </w:r>
      <w:proofErr w:type="spellStart"/>
      <w:r>
        <w:t>Vaissière</w:t>
      </w:r>
      <w:proofErr w:type="spellEnd"/>
      <w:r>
        <w:t>, 2005), and later still in the Indian Ocean networks that connected Gujarati merchants to Mombasa by the nineteenth century (Sheriff, 1987).</w:t>
      </w:r>
    </w:p>
    <w:p w14:paraId="3708B74B" w14:textId="77777777" w:rsidR="00CA1C3F" w:rsidRDefault="00000000">
      <w:pPr>
        <w:pStyle w:val="Heading1"/>
        <w:pBdr>
          <w:bottom w:val="single" w:sz="6" w:space="4" w:color="000000"/>
        </w:pBdr>
      </w:pPr>
      <w:r>
        <w:t>4. DSSM Analysis: Why the Routes Persisted</w:t>
      </w:r>
    </w:p>
    <w:p w14:paraId="646C8CFD" w14:textId="77777777" w:rsidR="00CA1C3F" w:rsidRDefault="00000000">
      <w:pPr>
        <w:spacing w:after="140" w:line="276" w:lineRule="auto"/>
        <w:jc w:val="both"/>
      </w:pPr>
      <w:r>
        <w:t xml:space="preserve">The preceding sections establish that a functioning interregional trade network, connecting the IVC to Mesopotamia, the Iranian Plateau, and Central Asia, was operational by at least 2500 BCE. This is the </w:t>
      </w:r>
      <w:r>
        <w:lastRenderedPageBreak/>
        <w:t>archaeological and genomic consensus. What the standard literature does not provide is a mechanism explaining why this network was so durable — why the same geographic corridors continued to function as primary Eurasian trade routes across four millennia, through the collapse of every civilization that had used them (</w:t>
      </w:r>
      <w:proofErr w:type="spellStart"/>
      <w:r>
        <w:t>Frankopan</w:t>
      </w:r>
      <w:proofErr w:type="spellEnd"/>
      <w:r>
        <w:t>, 2015; Liu, 2010).</w:t>
      </w:r>
    </w:p>
    <w:p w14:paraId="3369B076" w14:textId="77777777" w:rsidR="00CA1C3F" w:rsidRDefault="00000000">
      <w:pPr>
        <w:spacing w:after="140" w:line="276" w:lineRule="auto"/>
        <w:jc w:val="both"/>
      </w:pPr>
      <w:r>
        <w:t>DSSM identifies four stages of symbolic development: Embodied Symbolic Familiarity (Stage I), Ritualized Repetition (Stage II), Material Amplification and Externalization (Stage III, threshold approximately 500 individuals), and Cognitive Offloading and Institutional Emergence (Stage IV). A symbolic system reaches Stage IV when its conventions become sufficiently externalized and distributed — encoded in durable material forms and embodied in institutionally coherent communities — that they no longer require continuous reinforcement from a central origin point. Stage IV saturation is assessed through six observable criteria including Symbolic Regulation, Distributed Symbolic Authority, and Portable Symbolic Anchors (Vondoom, 2025a). The IVC evidence — standardized seals, metrological conventions, and the resident communities documented genomically — maps directly onto this Stage IV profile.</w:t>
      </w:r>
    </w:p>
    <w:p w14:paraId="78A35D94" w14:textId="77777777" w:rsidR="00CA1C3F" w:rsidRDefault="00000000">
      <w:pPr>
        <w:spacing w:after="140" w:line="276" w:lineRule="auto"/>
        <w:jc w:val="both"/>
      </w:pPr>
      <w:r>
        <w:t>DSSM provides the broader mechanism explaining network durability. The key insight is that trade routes are not merely economic infrastructure. They are symbolic infrastructure: systems of shared cognitive conventions — weights, seals, commodity categories, trust protocols, exchange norms — that allow strangers to transact across linguistic and cultural boundaries (Vondoom, 2025a). These conventions require continuous rehearsal to remain functional. They stabilize through repetition, material externalization, and intergenerational transmission — precisely the DSSM criteria for symbolic saturation. The IVC's contribution to Eurasian trade was not merely the goods it produced. It was the symbolic infrastructure of exchange itself.</w:t>
      </w:r>
    </w:p>
    <w:p w14:paraId="2E49F83E" w14:textId="77777777" w:rsidR="00CA1C3F" w:rsidRDefault="00000000">
      <w:pPr>
        <w:pStyle w:val="Heading1"/>
        <w:pBdr>
          <w:bottom w:val="single" w:sz="6" w:space="4" w:color="000000"/>
        </w:pBdr>
      </w:pPr>
      <w:r>
        <w:t>5. The Resident Agent Mechanism: How the System Survived Its Origin</w:t>
      </w:r>
    </w:p>
    <w:p w14:paraId="66C53791" w14:textId="77777777" w:rsidR="00CA1C3F" w:rsidRDefault="00000000">
      <w:pPr>
        <w:spacing w:after="140" w:line="276" w:lineRule="auto"/>
        <w:jc w:val="both"/>
      </w:pPr>
      <w:r>
        <w:t xml:space="preserve">The genomic evidence from </w:t>
      </w:r>
      <w:proofErr w:type="spellStart"/>
      <w:r>
        <w:t>Gonur</w:t>
      </w:r>
      <w:proofErr w:type="spellEnd"/>
      <w:r>
        <w:t xml:space="preserve"> Depe and Shahr-</w:t>
      </w:r>
      <w:proofErr w:type="spellStart"/>
      <w:r>
        <w:t>i</w:t>
      </w:r>
      <w:proofErr w:type="spellEnd"/>
      <w:r>
        <w:t>-</w:t>
      </w:r>
      <w:proofErr w:type="spellStart"/>
      <w:r>
        <w:t>Sokhta</w:t>
      </w:r>
      <w:proofErr w:type="spellEnd"/>
      <w:r>
        <w:t xml:space="preserve"> does more than confirm that trade occurred. It reveals the human mechanism through which a symbolic system originally developed in the Indus heartland was maintained, enforced, and ultimately transmitted beyond the lifespan of the civilization that created it. This section develops the argument in full, building on the genomic foundation established in Vondoom (2026c).</w:t>
      </w:r>
    </w:p>
    <w:p w14:paraId="36F195BC" w14:textId="77777777" w:rsidR="00CA1C3F" w:rsidRDefault="00000000">
      <w:pPr>
        <w:pStyle w:val="Heading2"/>
      </w:pPr>
      <w:r>
        <w:t>5.1 From Frequency to Community: Reading the 25% Signal</w:t>
      </w:r>
    </w:p>
    <w:p w14:paraId="6D0A21E3" w14:textId="77777777" w:rsidR="00CA1C3F" w:rsidRDefault="00000000">
      <w:pPr>
        <w:spacing w:after="140" w:line="276" w:lineRule="auto"/>
        <w:jc w:val="both"/>
      </w:pPr>
      <w:r>
        <w:t xml:space="preserve">The key genomic figure — approximately 25% of individuals at </w:t>
      </w:r>
      <w:proofErr w:type="spellStart"/>
      <w:r>
        <w:t>Gonur</w:t>
      </w:r>
      <w:proofErr w:type="spellEnd"/>
      <w:r>
        <w:t xml:space="preserve"> Depe and Shahr-</w:t>
      </w:r>
      <w:proofErr w:type="spellStart"/>
      <w:r>
        <w:t>i</w:t>
      </w:r>
      <w:proofErr w:type="spellEnd"/>
      <w:r>
        <w:t>-</w:t>
      </w:r>
      <w:proofErr w:type="spellStart"/>
      <w:r>
        <w:t>Sokhta</w:t>
      </w:r>
      <w:proofErr w:type="spellEnd"/>
      <w:r>
        <w:t xml:space="preserve"> carrying IVC-cline ancestry — has been noted in the literature primarily as a directional indicator: outward movement from South Asia, not inward (Narasimhan et al., 2019). Its population-level implications have received less attention. A frequency of one in four individuals at a foreign site carrying ancestry from a specific distant origin population is not consistent with occasional traders passing through. Population genetics models of gene flow from transient contact produce much lower trace frequencies — typically under 5% in the receiving population, and declining over generations (Skoglund &amp; Jakobsson, 2011; Moorjani et al., 2013). A stable 25% frequency, maintained across a site's occupation period, requires a resident community — a group large enough to maintain social cohesion and reproduce without returning to the origin population.</w:t>
      </w:r>
    </w:p>
    <w:p w14:paraId="38C30471" w14:textId="77777777" w:rsidR="00CA1C3F" w:rsidRDefault="00000000">
      <w:pPr>
        <w:spacing w:after="140" w:line="276" w:lineRule="auto"/>
        <w:jc w:val="both"/>
      </w:pPr>
      <w:r>
        <w:t xml:space="preserve">The critical implication is that we are not looking at merchants in transit. We are looking at something structurally equivalent to the Assyrian </w:t>
      </w:r>
      <w:proofErr w:type="spellStart"/>
      <w:r>
        <w:t>kārum</w:t>
      </w:r>
      <w:proofErr w:type="spellEnd"/>
      <w:r>
        <w:t xml:space="preserve"> at </w:t>
      </w:r>
      <w:proofErr w:type="spellStart"/>
      <w:r>
        <w:t>Kaneš</w:t>
      </w:r>
      <w:proofErr w:type="spellEnd"/>
      <w:r>
        <w:t xml:space="preserve">: a permanent, institutionally coherent community of foreign traders living at a host-culture site, operating under their own commercial norms, transmitting their </w:t>
      </w:r>
      <w:r>
        <w:lastRenderedPageBreak/>
        <w:t xml:space="preserve">practices locally (Larsen, 1987; Veenhof, 1995). The </w:t>
      </w:r>
      <w:proofErr w:type="spellStart"/>
      <w:r>
        <w:t>kārum</w:t>
      </w:r>
      <w:proofErr w:type="spellEnd"/>
      <w:r>
        <w:t xml:space="preserve"> system is documented in over 22,000 cuneiform tablets from </w:t>
      </w:r>
      <w:proofErr w:type="spellStart"/>
      <w:r>
        <w:t>Kaneš</w:t>
      </w:r>
      <w:proofErr w:type="spellEnd"/>
      <w:r>
        <w:t xml:space="preserve"> alone — one of the best-documented examples of Bronze Age mercantile diaspora in the historical record. Its structural features map precisely onto what the IVC-cline frequency at </w:t>
      </w:r>
      <w:proofErr w:type="spellStart"/>
      <w:r>
        <w:t>Gonur</w:t>
      </w:r>
      <w:proofErr w:type="spellEnd"/>
      <w:r>
        <w:t xml:space="preserve"> Depe implies: resident agents, not passing traders.</w:t>
      </w:r>
    </w:p>
    <w:p w14:paraId="2C8E2A02" w14:textId="77777777" w:rsidR="00CA1C3F" w:rsidRDefault="00000000">
      <w:pPr>
        <w:pStyle w:val="Heading2"/>
      </w:pPr>
      <w:r>
        <w:t>5.2 Embodied Knowledge as Trade Infrastructure</w:t>
      </w:r>
    </w:p>
    <w:p w14:paraId="64EE6917" w14:textId="77777777" w:rsidR="00CA1C3F" w:rsidRDefault="00000000">
      <w:pPr>
        <w:spacing w:after="140" w:line="276" w:lineRule="auto"/>
        <w:jc w:val="both"/>
      </w:pPr>
      <w:r>
        <w:t>The distinction matters because of what resident agents carry that transient traders do not. A merchant passing through a foreign city carries goods, a reference weight set, and institutional credentials — a seal, perhaps a letter of introduction. A resident agent carries something categorically different: embodied knowledge of the system. This is the knowledge that cannot be encoded in objects — the tactile familiarity with a correctly calibrated weight, the visual pattern-recognition that distinguishes a genuine IVC carnelian bead from an imitation, the social fluency to negotiate within the system's norms and to identify violations (Lave &amp; Wenger, 1991; Donald, 1991; Vondoom, 2025a).</w:t>
      </w:r>
    </w:p>
    <w:p w14:paraId="29427372" w14:textId="77777777" w:rsidR="00CA1C3F" w:rsidRDefault="00000000">
      <w:pPr>
        <w:spacing w:after="140" w:line="276" w:lineRule="auto"/>
        <w:jc w:val="both"/>
      </w:pPr>
      <w:r>
        <w:t xml:space="preserve">This embodied knowledge is what maintained IVC weight standardization at sub-1% variance across 3,000 kilometers. There was no central bureau of weights and measures sending inspectors to </w:t>
      </w:r>
      <w:proofErr w:type="spellStart"/>
      <w:r>
        <w:t>Gonur</w:t>
      </w:r>
      <w:proofErr w:type="spellEnd"/>
      <w:r>
        <w:t xml:space="preserve"> Depe. There was no deciphered administrative code specifying correct bead dimensions. What there was, the genomic evidence now confirms, were people — IVC-ancestry individuals at the network nodes, for whom the standards were second nature, who had grown up inside the system and carried it in their hands and eyes and social reflexes. The system was not enforced. It was inhabited (Vondoom, 2025a; Kenoyer, 1998).</w:t>
      </w:r>
    </w:p>
    <w:p w14:paraId="755398F4" w14:textId="77777777" w:rsidR="00CA1C3F" w:rsidRDefault="00000000">
      <w:pPr>
        <w:pStyle w:val="Heading2"/>
      </w:pPr>
      <w:r>
        <w:t>5.3 Intergenerational Transmission and the Decentralization Threshold</w:t>
      </w:r>
    </w:p>
    <w:p w14:paraId="231FBFDB" w14:textId="77777777" w:rsidR="00CA1C3F" w:rsidRDefault="00000000">
      <w:pPr>
        <w:spacing w:after="140" w:line="276" w:lineRule="auto"/>
        <w:jc w:val="both"/>
      </w:pPr>
      <w:r>
        <w:t>If these communities were multigenerational — raising children at BMAC sites, transmitting commercial practices locally, maintaining institutional identity without physical connection to the IVC heartland — then the IVC symbolic system had crossed what DSSM identifies as the decentralization threshold: the point at which a symbolic system becomes capable of self-replication at remote nodes without institutional support from the center (Vondoom, 2025a). This is, for Stage IV analysis, the most significant claim the genomic data can support.</w:t>
      </w:r>
    </w:p>
    <w:p w14:paraId="140FE7BD" w14:textId="77777777" w:rsidR="00CA1C3F" w:rsidRDefault="00000000">
      <w:pPr>
        <w:spacing w:after="140" w:line="276" w:lineRule="auto"/>
        <w:jc w:val="both"/>
      </w:pPr>
      <w:r>
        <w:t>Most ancient symbolic systems that achieve Stage IV coherence do so through centralized enforcement. The IVC did not. It achieved sub-1% weight variance across its entire geographic range — a feat of standardization comparable to modern industrial tolerances — through a mechanism that left no palace archives, no identified administrative center, no deciphered legal code. The distributed human carrier network is the only mechanism consistent with both the standardization evidence and the absence of detectable central enforcement (Kenoyer, 1998; Possehl, 2002; Wright, 2010). The 25% genomic frequency at BMAC sites is not a footnote to this argument. It is the mechanism.</w:t>
      </w:r>
    </w:p>
    <w:p w14:paraId="4139F375" w14:textId="77777777" w:rsidR="00CA1C3F" w:rsidRDefault="00000000">
      <w:pPr>
        <w:pStyle w:val="Heading2"/>
      </w:pPr>
      <w:r>
        <w:t>5.4 Collapse, Dispersal, and Continuity: Why the Routes Did Not Die</w:t>
      </w:r>
    </w:p>
    <w:p w14:paraId="673DB960" w14:textId="77777777" w:rsidR="00CA1C3F" w:rsidRDefault="00000000">
      <w:pPr>
        <w:spacing w:after="140" w:line="276" w:lineRule="auto"/>
        <w:jc w:val="both"/>
      </w:pPr>
      <w:r>
        <w:t>A symbolic system capable of self-replication at remote nodes without central authority is a system that does not die when its center collapses. This is the key to understanding why the routes persisted through IVC decline. When the urban phase ended — c. 1900 BCE, driven by the drying of the Ghaggar-</w:t>
      </w:r>
      <w:proofErr w:type="spellStart"/>
      <w:r>
        <w:t>Hakra</w:t>
      </w:r>
      <w:proofErr w:type="spellEnd"/>
      <w:r>
        <w:t xml:space="preserve"> river system and the fragmentation of major cities — the routes that IVC resident agents had maintained did not disappear with the cities. The resident communities at BMAC nodes had already internalized and localized the system. The BMAC itself outlasted the IVC by several centuries (</w:t>
      </w:r>
      <w:proofErr w:type="spellStart"/>
      <w:r>
        <w:t>Sarianidi</w:t>
      </w:r>
      <w:proofErr w:type="spellEnd"/>
      <w:r>
        <w:t>, 1994; Lamberg-</w:t>
      </w:r>
      <w:proofErr w:type="spellStart"/>
      <w:r>
        <w:t>Karlovsky</w:t>
      </w:r>
      <w:proofErr w:type="spellEnd"/>
      <w:r>
        <w:t>, 2002).</w:t>
      </w:r>
    </w:p>
    <w:p w14:paraId="45FD8AF7" w14:textId="77777777" w:rsidR="00CA1C3F" w:rsidRDefault="00000000">
      <w:pPr>
        <w:spacing w:after="140" w:line="276" w:lineRule="auto"/>
        <w:jc w:val="both"/>
      </w:pPr>
      <w:r>
        <w:lastRenderedPageBreak/>
        <w:t>The institutional memory embedded in successor cultures across the network — in BMAC craft traditions, in the weight conventions carried by post-Harappan populations into the Late Harappan and Cemetery H phases, in the continued use of lapis lazuli routes by Bactrian traders — did not require IVC urban centers to remain functional. It had been distributed beyond the center's reach before the center fell. Table 3 presents the sequence of subsequent actors who formalized, captured, and renamed the infrastructure the IVC had built.</w:t>
      </w:r>
    </w:p>
    <w:p w14:paraId="2AC8FF92" w14:textId="77777777" w:rsidR="00CA1C3F" w:rsidRDefault="00CA1C3F">
      <w:pPr>
        <w:spacing w:after="160"/>
      </w:pPr>
    </w:p>
    <w:p w14:paraId="7C0155B5" w14:textId="77777777" w:rsidR="00CA1C3F" w:rsidRDefault="00000000">
      <w:pPr>
        <w:spacing w:before="60" w:after="200"/>
        <w:jc w:val="center"/>
      </w:pPr>
      <w:r>
        <w:rPr>
          <w:rFonts w:ascii="Arial" w:eastAsia="Arial" w:hAnsi="Arial" w:cs="Arial"/>
          <w:i/>
          <w:iCs/>
          <w:color w:val="595959"/>
          <w:sz w:val="18"/>
          <w:szCs w:val="18"/>
        </w:rPr>
        <w:t xml:space="preserve">Table 3. Sequential Capture of IVC Trade Infrastructure by Successor Civilizations. Each actor inherited and formalized existing corridors rather than constructing new ones. Sources: </w:t>
      </w:r>
      <w:proofErr w:type="spellStart"/>
      <w:r>
        <w:rPr>
          <w:rFonts w:ascii="Arial" w:eastAsia="Arial" w:hAnsi="Arial" w:cs="Arial"/>
          <w:i/>
          <w:iCs/>
          <w:color w:val="595959"/>
          <w:sz w:val="18"/>
          <w:szCs w:val="18"/>
        </w:rPr>
        <w:t>Frankopan</w:t>
      </w:r>
      <w:proofErr w:type="spellEnd"/>
      <w:r>
        <w:rPr>
          <w:rFonts w:ascii="Arial" w:eastAsia="Arial" w:hAnsi="Arial" w:cs="Arial"/>
          <w:i/>
          <w:iCs/>
          <w:color w:val="595959"/>
          <w:sz w:val="18"/>
          <w:szCs w:val="18"/>
        </w:rPr>
        <w:t xml:space="preserve"> (2015); Kuzmina (2008); Liu (2010); Lamberg-</w:t>
      </w:r>
      <w:proofErr w:type="spellStart"/>
      <w:r>
        <w:rPr>
          <w:rFonts w:ascii="Arial" w:eastAsia="Arial" w:hAnsi="Arial" w:cs="Arial"/>
          <w:i/>
          <w:iCs/>
          <w:color w:val="595959"/>
          <w:sz w:val="18"/>
          <w:szCs w:val="18"/>
        </w:rPr>
        <w:t>Karlovsky</w:t>
      </w:r>
      <w:proofErr w:type="spellEnd"/>
      <w:r>
        <w:rPr>
          <w:rFonts w:ascii="Arial" w:eastAsia="Arial" w:hAnsi="Arial" w:cs="Arial"/>
          <w:i/>
          <w:iCs/>
          <w:color w:val="595959"/>
          <w:sz w:val="18"/>
          <w:szCs w:val="18"/>
        </w:rPr>
        <w:t xml:space="preserve"> (2002).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480"/>
        <w:gridCol w:w="2480"/>
        <w:gridCol w:w="2400"/>
      </w:tblGrid>
      <w:tr w:rsidR="00CA1C3F" w14:paraId="4B40EDB5" w14:textId="77777777">
        <w:tblPrEx>
          <w:tblCellMar>
            <w:top w:w="0" w:type="dxa"/>
            <w:bottom w:w="0" w:type="dxa"/>
          </w:tblCellMar>
        </w:tblPrEx>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5A420081" w14:textId="77777777" w:rsidR="00CA1C3F" w:rsidRDefault="00000000">
            <w:pPr>
              <w:jc w:val="center"/>
            </w:pPr>
            <w:r>
              <w:rPr>
                <w:rFonts w:ascii="Arial" w:eastAsia="Arial" w:hAnsi="Arial" w:cs="Arial"/>
                <w:b/>
                <w:bCs/>
                <w:sz w:val="19"/>
                <w:szCs w:val="19"/>
              </w:rPr>
              <w:t>Period</w:t>
            </w:r>
          </w:p>
        </w:tc>
        <w:tc>
          <w:tcPr>
            <w:tcW w:w="24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11A4987" w14:textId="77777777" w:rsidR="00CA1C3F" w:rsidRDefault="00000000">
            <w:pPr>
              <w:jc w:val="center"/>
            </w:pPr>
            <w:r>
              <w:rPr>
                <w:rFonts w:ascii="Arial" w:eastAsia="Arial" w:hAnsi="Arial" w:cs="Arial"/>
                <w:b/>
                <w:bCs/>
                <w:sz w:val="19"/>
                <w:szCs w:val="19"/>
              </w:rPr>
              <w:t>Actor</w:t>
            </w:r>
          </w:p>
        </w:tc>
        <w:tc>
          <w:tcPr>
            <w:tcW w:w="24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588392C3" w14:textId="77777777" w:rsidR="00CA1C3F" w:rsidRDefault="00000000">
            <w:pPr>
              <w:jc w:val="center"/>
            </w:pPr>
            <w:r>
              <w:rPr>
                <w:rFonts w:ascii="Arial" w:eastAsia="Arial" w:hAnsi="Arial" w:cs="Arial"/>
                <w:b/>
                <w:bCs/>
                <w:sz w:val="19"/>
                <w:szCs w:val="19"/>
              </w:rPr>
              <w:t>Mechanism</w:t>
            </w:r>
          </w:p>
        </w:tc>
        <w:tc>
          <w:tcPr>
            <w:tcW w:w="24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4AA2310F" w14:textId="77777777" w:rsidR="00CA1C3F" w:rsidRDefault="00000000">
            <w:pPr>
              <w:jc w:val="center"/>
            </w:pPr>
            <w:r>
              <w:rPr>
                <w:rFonts w:ascii="Arial" w:eastAsia="Arial" w:hAnsi="Arial" w:cs="Arial"/>
                <w:b/>
                <w:bCs/>
                <w:sz w:val="19"/>
                <w:szCs w:val="19"/>
              </w:rPr>
              <w:t>Route Segment Captured</w:t>
            </w:r>
          </w:p>
        </w:tc>
      </w:tr>
      <w:tr w:rsidR="00CA1C3F" w14:paraId="01675F41" w14:textId="77777777">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4EC09C1" w14:textId="77777777" w:rsidR="00CA1C3F" w:rsidRDefault="00000000">
            <w:r>
              <w:rPr>
                <w:b/>
                <w:bCs/>
                <w:sz w:val="19"/>
                <w:szCs w:val="19"/>
              </w:rPr>
              <w:t>c. 550–330 BCE</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E3EF227" w14:textId="77777777" w:rsidR="00CA1C3F" w:rsidRDefault="00000000">
            <w:r>
              <w:rPr>
                <w:sz w:val="19"/>
                <w:szCs w:val="19"/>
              </w:rPr>
              <w:t>Achaemenid Persian Empire</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FDC8F1F" w14:textId="77777777" w:rsidR="00CA1C3F" w:rsidRDefault="00000000">
            <w:r>
              <w:rPr>
                <w:sz w:val="19"/>
                <w:szCs w:val="19"/>
              </w:rPr>
              <w:t>Royal Road system; administrative formalization of existing corridors</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B6B60A5" w14:textId="77777777" w:rsidR="00CA1C3F" w:rsidRDefault="00000000">
            <w:r>
              <w:rPr>
                <w:sz w:val="19"/>
                <w:szCs w:val="19"/>
              </w:rPr>
              <w:t>Iranian Plateau → Anatolia → Mesopotamia</w:t>
            </w:r>
          </w:p>
        </w:tc>
      </w:tr>
      <w:tr w:rsidR="00CA1C3F" w14:paraId="07BAB212" w14:textId="77777777">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75BDF4C3" w14:textId="77777777" w:rsidR="00CA1C3F" w:rsidRDefault="00000000">
            <w:r>
              <w:rPr>
                <w:b/>
                <w:bCs/>
                <w:sz w:val="19"/>
                <w:szCs w:val="19"/>
              </w:rPr>
              <w:t>c. 330–250 BCE</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363C6DE" w14:textId="77777777" w:rsidR="00CA1C3F" w:rsidRDefault="00000000">
            <w:r>
              <w:rPr>
                <w:sz w:val="19"/>
                <w:szCs w:val="19"/>
              </w:rPr>
              <w:t>Macedonian / Hellenistic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75D0F269" w14:textId="77777777" w:rsidR="00CA1C3F" w:rsidRDefault="00000000">
            <w:r>
              <w:rPr>
                <w:sz w:val="19"/>
                <w:szCs w:val="19"/>
              </w:rPr>
              <w:t>Military conquest along pre-existing routes; Hellenistic city foundations at nodes</w:t>
            </w:r>
          </w:p>
        </w:tc>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6BF09616" w14:textId="77777777" w:rsidR="00CA1C3F" w:rsidRDefault="00000000">
            <w:r>
              <w:rPr>
                <w:sz w:val="19"/>
                <w:szCs w:val="19"/>
              </w:rPr>
              <w:t xml:space="preserve">Bactria, </w:t>
            </w:r>
            <w:proofErr w:type="spellStart"/>
            <w:r>
              <w:rPr>
                <w:sz w:val="19"/>
                <w:szCs w:val="19"/>
              </w:rPr>
              <w:t>Margiana</w:t>
            </w:r>
            <w:proofErr w:type="spellEnd"/>
            <w:r>
              <w:rPr>
                <w:sz w:val="19"/>
                <w:szCs w:val="19"/>
              </w:rPr>
              <w:t>, Iranian Plateau</w:t>
            </w:r>
          </w:p>
        </w:tc>
      </w:tr>
      <w:tr w:rsidR="00CA1C3F" w14:paraId="47C56CA9" w14:textId="77777777">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04E1B8E" w14:textId="77777777" w:rsidR="00CA1C3F" w:rsidRDefault="00000000">
            <w:r>
              <w:rPr>
                <w:b/>
                <w:bCs/>
                <w:sz w:val="19"/>
                <w:szCs w:val="19"/>
              </w:rPr>
              <w:t>c. 250 BCE–224 CE</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F83E735" w14:textId="77777777" w:rsidR="00CA1C3F" w:rsidRDefault="00000000">
            <w:r>
              <w:rPr>
                <w:sz w:val="19"/>
                <w:szCs w:val="19"/>
              </w:rPr>
              <w:t>Parthian Empire</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249C72E" w14:textId="77777777" w:rsidR="00CA1C3F" w:rsidRDefault="00000000">
            <w:r>
              <w:rPr>
                <w:sz w:val="19"/>
                <w:szCs w:val="19"/>
              </w:rPr>
              <w:t>Silk transit monopoly; taxation of east-west corridor</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36AEAFA" w14:textId="77777777" w:rsidR="00CA1C3F" w:rsidRDefault="00000000">
            <w:r>
              <w:rPr>
                <w:sz w:val="19"/>
                <w:szCs w:val="19"/>
              </w:rPr>
              <w:t>Central Silk Road corridor; IVC maritime legacy via Parthian Gulf control</w:t>
            </w:r>
          </w:p>
        </w:tc>
      </w:tr>
      <w:tr w:rsidR="00CA1C3F" w14:paraId="723847FE" w14:textId="77777777">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7BE66230" w14:textId="77777777" w:rsidR="00CA1C3F" w:rsidRDefault="00000000">
            <w:r>
              <w:rPr>
                <w:b/>
                <w:bCs/>
                <w:sz w:val="19"/>
                <w:szCs w:val="19"/>
              </w:rPr>
              <w:t>c. 114 BCE onward</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051C0A0" w14:textId="77777777" w:rsidR="00CA1C3F" w:rsidRDefault="00000000">
            <w:r>
              <w:rPr>
                <w:sz w:val="19"/>
                <w:szCs w:val="19"/>
              </w:rPr>
              <w:t>Han China (Zhang Qian)</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6B579742" w14:textId="77777777" w:rsidR="00CA1C3F" w:rsidRDefault="00000000">
            <w:r>
              <w:rPr>
                <w:sz w:val="19"/>
                <w:szCs w:val="19"/>
              </w:rPr>
              <w:t>Diplomatic formalization; silk export; naming of the route</w:t>
            </w:r>
          </w:p>
        </w:tc>
        <w:tc>
          <w:tcPr>
            <w:tcW w:w="2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A52B6B7" w14:textId="77777777" w:rsidR="00CA1C3F" w:rsidRDefault="00000000">
            <w:r>
              <w:rPr>
                <w:sz w:val="19"/>
                <w:szCs w:val="19"/>
              </w:rPr>
              <w:t>Eastern Silk Road; Tarim Basin connection to existing BMAC corridors</w:t>
            </w:r>
          </w:p>
        </w:tc>
      </w:tr>
      <w:tr w:rsidR="00CA1C3F" w14:paraId="0E40AC2E" w14:textId="77777777">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42EE058" w14:textId="77777777" w:rsidR="00CA1C3F" w:rsidRDefault="00000000">
            <w:r>
              <w:rPr>
                <w:b/>
                <w:bCs/>
                <w:sz w:val="19"/>
                <w:szCs w:val="19"/>
              </w:rPr>
              <w:t>c. 1498 CE onward</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5618096" w14:textId="77777777" w:rsidR="00CA1C3F" w:rsidRDefault="00000000">
            <w:r>
              <w:rPr>
                <w:sz w:val="19"/>
                <w:szCs w:val="19"/>
              </w:rPr>
              <w:t>Portuguese Empire</w:t>
            </w:r>
          </w:p>
        </w:tc>
        <w:tc>
          <w:tcPr>
            <w:tcW w:w="248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88ED4A1" w14:textId="77777777" w:rsidR="00CA1C3F" w:rsidRDefault="00000000">
            <w:r>
              <w:rPr>
                <w:sz w:val="19"/>
                <w:szCs w:val="19"/>
              </w:rPr>
              <w:t>Maritime capture via Cape route; displacement of Indian Ocean IVC-legacy networks</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A801209" w14:textId="77777777" w:rsidR="00CA1C3F" w:rsidRDefault="00000000">
            <w:r>
              <w:rPr>
                <w:sz w:val="19"/>
                <w:szCs w:val="19"/>
              </w:rPr>
              <w:t>IVC maritime corridor (Gujarat → Persian Gulf → East Africa)</w:t>
            </w:r>
          </w:p>
        </w:tc>
      </w:tr>
    </w:tbl>
    <w:p w14:paraId="621A0A12" w14:textId="77777777" w:rsidR="00CA1C3F" w:rsidRDefault="00CA1C3F">
      <w:pPr>
        <w:spacing w:after="160"/>
      </w:pPr>
    </w:p>
    <w:p w14:paraId="1C013892" w14:textId="77777777" w:rsidR="00CA1C3F" w:rsidRDefault="00000000">
      <w:pPr>
        <w:spacing w:after="140" w:line="276" w:lineRule="auto"/>
        <w:jc w:val="both"/>
      </w:pPr>
      <w:r>
        <w:t xml:space="preserve">The pattern is consistent across four thousand years. No civilization that used these routes built them from scratch. The Achaemenid Royal Road followed existing corridors. Alexander's campaigns moved along them. Parthian silk transit </w:t>
      </w:r>
      <w:proofErr w:type="gramStart"/>
      <w:r>
        <w:t>monopolies controlled</w:t>
      </w:r>
      <w:proofErr w:type="gramEnd"/>
      <w:r>
        <w:t xml:space="preserve"> routes already ancient. Zhang Qian's mission connected China to a network that already extended to the Mediterranean. Each actor captured what the IVC had institutionalized. The Silk Road is not a creation. It is an inheritance, repeatedly renamed.</w:t>
      </w:r>
    </w:p>
    <w:p w14:paraId="535770A6" w14:textId="77777777" w:rsidR="00210B80" w:rsidRDefault="00210B80">
      <w:pPr>
        <w:pStyle w:val="Heading1"/>
        <w:pBdr>
          <w:bottom w:val="single" w:sz="6" w:space="4" w:color="000000"/>
        </w:pBdr>
      </w:pPr>
    </w:p>
    <w:p w14:paraId="2112A416" w14:textId="77777777" w:rsidR="00210B80" w:rsidRDefault="00210B80">
      <w:pPr>
        <w:pStyle w:val="Heading1"/>
        <w:pBdr>
          <w:bottom w:val="single" w:sz="6" w:space="4" w:color="000000"/>
        </w:pBdr>
      </w:pPr>
    </w:p>
    <w:p w14:paraId="6995B0B3" w14:textId="77777777" w:rsidR="00210B80" w:rsidRDefault="00210B80">
      <w:pPr>
        <w:pStyle w:val="Heading1"/>
        <w:pBdr>
          <w:bottom w:val="single" w:sz="6" w:space="4" w:color="000000"/>
        </w:pBdr>
      </w:pPr>
    </w:p>
    <w:p w14:paraId="182904B5" w14:textId="77777777" w:rsidR="00210B80" w:rsidRDefault="00210B80">
      <w:pPr>
        <w:pStyle w:val="Heading1"/>
        <w:pBdr>
          <w:bottom w:val="single" w:sz="6" w:space="4" w:color="000000"/>
        </w:pBdr>
      </w:pPr>
    </w:p>
    <w:p w14:paraId="20437A5F" w14:textId="77777777" w:rsidR="00210B80" w:rsidRDefault="00210B80">
      <w:pPr>
        <w:pStyle w:val="Heading1"/>
        <w:pBdr>
          <w:bottom w:val="single" w:sz="6" w:space="4" w:color="000000"/>
        </w:pBdr>
      </w:pPr>
    </w:p>
    <w:p w14:paraId="2308EFFA" w14:textId="77777777" w:rsidR="00210B80" w:rsidRDefault="00210B80">
      <w:pPr>
        <w:pStyle w:val="Heading1"/>
        <w:pBdr>
          <w:bottom w:val="single" w:sz="6" w:space="4" w:color="000000"/>
        </w:pBdr>
      </w:pPr>
    </w:p>
    <w:p w14:paraId="75E3FF52" w14:textId="57BA5984" w:rsidR="00CA1C3F" w:rsidRDefault="00000000">
      <w:pPr>
        <w:pStyle w:val="Heading1"/>
        <w:pBdr>
          <w:bottom w:val="single" w:sz="6" w:space="4" w:color="000000"/>
        </w:pBdr>
      </w:pPr>
      <w:r>
        <w:t>6. Confidence Assessment</w:t>
      </w:r>
    </w:p>
    <w:p w14:paraId="46C6D52A" w14:textId="77777777" w:rsidR="00CA1C3F" w:rsidRDefault="00000000">
      <w:pPr>
        <w:spacing w:after="140" w:line="276" w:lineRule="auto"/>
        <w:jc w:val="both"/>
      </w:pPr>
      <w:r>
        <w:t>Following DSSM methodological standards, all claims are assessed explicitly by confidence level. Table 4 presents the full confidence matrix for this paper's analytical claims.</w:t>
      </w:r>
    </w:p>
    <w:p w14:paraId="54EC8725" w14:textId="77777777" w:rsidR="00CA1C3F" w:rsidRDefault="00CA1C3F">
      <w:pPr>
        <w:spacing w:after="160"/>
      </w:pPr>
    </w:p>
    <w:p w14:paraId="11097CF2" w14:textId="77777777" w:rsidR="00CA1C3F" w:rsidRDefault="00000000">
      <w:pPr>
        <w:spacing w:before="60" w:after="200"/>
        <w:jc w:val="center"/>
      </w:pPr>
      <w:r>
        <w:rPr>
          <w:rFonts w:ascii="Arial" w:eastAsia="Arial" w:hAnsi="Arial" w:cs="Arial"/>
          <w:i/>
          <w:iCs/>
          <w:color w:val="595959"/>
          <w:sz w:val="18"/>
          <w:szCs w:val="18"/>
        </w:rPr>
        <w:t>Table 4. DSSM Confidence Assessment Matrix. Confidence levels: High = supported by multiple independent data sources; Medium = supported but requires interpretive inference; Low/Hypothesis = plausible but empirically unconfirmed.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4160"/>
        <w:gridCol w:w="3700"/>
      </w:tblGrid>
      <w:tr w:rsidR="00CA1C3F" w14:paraId="22641ED7" w14:textId="77777777">
        <w:tblPrEx>
          <w:tblCellMar>
            <w:top w:w="0" w:type="dxa"/>
            <w:bottom w:w="0" w:type="dxa"/>
          </w:tblCellMar>
        </w:tblPrEx>
        <w:trPr>
          <w:tblHeader/>
        </w:trPr>
        <w:tc>
          <w:tcPr>
            <w:tcW w:w="15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340B15F9" w14:textId="77777777" w:rsidR="00CA1C3F" w:rsidRDefault="00000000">
            <w:pPr>
              <w:jc w:val="center"/>
            </w:pPr>
            <w:r>
              <w:rPr>
                <w:rFonts w:ascii="Arial" w:eastAsia="Arial" w:hAnsi="Arial" w:cs="Arial"/>
                <w:b/>
                <w:bCs/>
                <w:sz w:val="19"/>
                <w:szCs w:val="19"/>
              </w:rPr>
              <w:t>Confidence</w:t>
            </w:r>
          </w:p>
        </w:tc>
        <w:tc>
          <w:tcPr>
            <w:tcW w:w="41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856C4EE" w14:textId="77777777" w:rsidR="00CA1C3F" w:rsidRDefault="00000000">
            <w:pPr>
              <w:jc w:val="center"/>
            </w:pPr>
            <w:r>
              <w:rPr>
                <w:rFonts w:ascii="Arial" w:eastAsia="Arial" w:hAnsi="Arial" w:cs="Arial"/>
                <w:b/>
                <w:bCs/>
                <w:sz w:val="19"/>
                <w:szCs w:val="19"/>
              </w:rPr>
              <w:t>Claim</w:t>
            </w:r>
          </w:p>
        </w:tc>
        <w:tc>
          <w:tcPr>
            <w:tcW w:w="37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20" w:type="dxa"/>
              <w:bottom w:w="80" w:type="dxa"/>
              <w:right w:w="120" w:type="dxa"/>
            </w:tcMar>
          </w:tcPr>
          <w:p w14:paraId="23CD9F47" w14:textId="77777777" w:rsidR="00CA1C3F" w:rsidRDefault="00000000">
            <w:pPr>
              <w:jc w:val="center"/>
            </w:pPr>
            <w:r>
              <w:rPr>
                <w:rFonts w:ascii="Arial" w:eastAsia="Arial" w:hAnsi="Arial" w:cs="Arial"/>
                <w:b/>
                <w:bCs/>
                <w:sz w:val="19"/>
                <w:szCs w:val="19"/>
              </w:rPr>
              <w:t>Evidential Basis</w:t>
            </w:r>
          </w:p>
        </w:tc>
      </w:tr>
      <w:tr w:rsidR="00CA1C3F" w14:paraId="7212D59C"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5FFF2D9" w14:textId="77777777" w:rsidR="00CA1C3F" w:rsidRDefault="00000000">
            <w:pPr>
              <w:jc w:val="center"/>
            </w:pPr>
            <w:r>
              <w:rPr>
                <w:b/>
                <w:bCs/>
                <w:sz w:val="19"/>
                <w:szCs w:val="19"/>
              </w:rPr>
              <w:t>High</w:t>
            </w:r>
          </w:p>
        </w:tc>
        <w:tc>
          <w:tcPr>
            <w:tcW w:w="4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7145961" w14:textId="77777777" w:rsidR="00CA1C3F" w:rsidRDefault="00000000">
            <w:r>
              <w:rPr>
                <w:sz w:val="19"/>
                <w:szCs w:val="19"/>
              </w:rPr>
              <w:t>The MAIS was a functioning interregional exchange network by 2500 BCE, connecting IVC to Mesopotamia, Iranian Plateau, and BMAC</w:t>
            </w:r>
          </w:p>
        </w:tc>
        <w:tc>
          <w:tcPr>
            <w:tcW w:w="3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2B5C351" w14:textId="77777777" w:rsidR="00CA1C3F" w:rsidRDefault="00000000">
            <w:r>
              <w:rPr>
                <w:sz w:val="19"/>
                <w:szCs w:val="19"/>
              </w:rPr>
              <w:t xml:space="preserve">IVC seals at Ur, Nippur, Kish, Susa; Akkadian </w:t>
            </w:r>
            <w:proofErr w:type="spellStart"/>
            <w:r>
              <w:rPr>
                <w:sz w:val="19"/>
                <w:szCs w:val="19"/>
              </w:rPr>
              <w:t>Meluḫḫa</w:t>
            </w:r>
            <w:proofErr w:type="spellEnd"/>
            <w:r>
              <w:rPr>
                <w:sz w:val="19"/>
                <w:szCs w:val="19"/>
              </w:rPr>
              <w:t xml:space="preserve"> records; carnelian at </w:t>
            </w:r>
            <w:proofErr w:type="spellStart"/>
            <w:r>
              <w:rPr>
                <w:sz w:val="19"/>
                <w:szCs w:val="19"/>
              </w:rPr>
              <w:t>Gonur</w:t>
            </w:r>
            <w:proofErr w:type="spellEnd"/>
            <w:r>
              <w:rPr>
                <w:sz w:val="19"/>
                <w:szCs w:val="19"/>
              </w:rPr>
              <w:t xml:space="preserve"> Depe (Possehl, 2002; Gadd, 1932)</w:t>
            </w:r>
          </w:p>
        </w:tc>
      </w:tr>
      <w:tr w:rsidR="00CA1C3F" w14:paraId="56EA1ADB"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5799C40C" w14:textId="77777777" w:rsidR="00CA1C3F" w:rsidRDefault="00000000">
            <w:pPr>
              <w:jc w:val="center"/>
            </w:pPr>
            <w:r>
              <w:rPr>
                <w:b/>
                <w:bCs/>
                <w:sz w:val="19"/>
                <w:szCs w:val="19"/>
              </w:rPr>
              <w:t>High</w:t>
            </w:r>
          </w:p>
        </w:tc>
        <w:tc>
          <w:tcPr>
            <w:tcW w:w="41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4102DC4C" w14:textId="77777777" w:rsidR="00CA1C3F" w:rsidRDefault="00000000">
            <w:r>
              <w:rPr>
                <w:sz w:val="19"/>
                <w:szCs w:val="19"/>
              </w:rPr>
              <w:t xml:space="preserve">IVC-ancestry individuals were resident at </w:t>
            </w:r>
            <w:proofErr w:type="spellStart"/>
            <w:r>
              <w:rPr>
                <w:sz w:val="19"/>
                <w:szCs w:val="19"/>
              </w:rPr>
              <w:t>Gonur</w:t>
            </w:r>
            <w:proofErr w:type="spellEnd"/>
            <w:r>
              <w:rPr>
                <w:sz w:val="19"/>
                <w:szCs w:val="19"/>
              </w:rPr>
              <w:t xml:space="preserve"> Depe and Shahr-</w:t>
            </w:r>
            <w:proofErr w:type="spellStart"/>
            <w:r>
              <w:rPr>
                <w:sz w:val="19"/>
                <w:szCs w:val="19"/>
              </w:rPr>
              <w:t>i</w:t>
            </w:r>
            <w:proofErr w:type="spellEnd"/>
            <w:r>
              <w:rPr>
                <w:sz w:val="19"/>
                <w:szCs w:val="19"/>
              </w:rPr>
              <w:t>-</w:t>
            </w:r>
            <w:proofErr w:type="spellStart"/>
            <w:r>
              <w:rPr>
                <w:sz w:val="19"/>
                <w:szCs w:val="19"/>
              </w:rPr>
              <w:t>Sokhta</w:t>
            </w:r>
            <w:proofErr w:type="spellEnd"/>
            <w:r>
              <w:rPr>
                <w:sz w:val="19"/>
                <w:szCs w:val="19"/>
              </w:rPr>
              <w:t xml:space="preserve"> by 2500 BCE</w:t>
            </w:r>
          </w:p>
        </w:tc>
        <w:tc>
          <w:tcPr>
            <w:tcW w:w="3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25CA2494" w14:textId="77777777" w:rsidR="00CA1C3F" w:rsidRDefault="00000000">
            <w:r>
              <w:rPr>
                <w:sz w:val="19"/>
                <w:szCs w:val="19"/>
              </w:rPr>
              <w:t>Three independent evidential lines; 25% outlier frequency; material corroboration (Narasimhan et al., 2019)</w:t>
            </w:r>
          </w:p>
        </w:tc>
      </w:tr>
      <w:tr w:rsidR="00CA1C3F" w14:paraId="4D2AAB6C"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E151C45" w14:textId="77777777" w:rsidR="00CA1C3F" w:rsidRDefault="00000000">
            <w:pPr>
              <w:jc w:val="center"/>
            </w:pPr>
            <w:r>
              <w:rPr>
                <w:b/>
                <w:bCs/>
                <w:sz w:val="19"/>
                <w:szCs w:val="19"/>
              </w:rPr>
              <w:t>High</w:t>
            </w:r>
          </w:p>
        </w:tc>
        <w:tc>
          <w:tcPr>
            <w:tcW w:w="4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AEA85AB" w14:textId="77777777" w:rsidR="00CA1C3F" w:rsidRDefault="00000000">
            <w:r>
              <w:rPr>
                <w:sz w:val="19"/>
                <w:szCs w:val="19"/>
              </w:rPr>
              <w:t>The lapis lazuli route through Bactria/Badakhshan is geographically identical to the Silk Road's central corridor</w:t>
            </w:r>
          </w:p>
        </w:tc>
        <w:tc>
          <w:tcPr>
            <w:tcW w:w="3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216BBAD" w14:textId="77777777" w:rsidR="00CA1C3F" w:rsidRDefault="00000000">
            <w:r>
              <w:rPr>
                <w:sz w:val="19"/>
                <w:szCs w:val="19"/>
              </w:rPr>
              <w:t xml:space="preserve">Geographic constraint; fixed mountain passes; BMAC site distribution (Kuzmina, 2008; </w:t>
            </w:r>
            <w:proofErr w:type="spellStart"/>
            <w:r>
              <w:rPr>
                <w:sz w:val="19"/>
                <w:szCs w:val="19"/>
              </w:rPr>
              <w:t>Frankopan</w:t>
            </w:r>
            <w:proofErr w:type="spellEnd"/>
            <w:r>
              <w:rPr>
                <w:sz w:val="19"/>
                <w:szCs w:val="19"/>
              </w:rPr>
              <w:t>, 2015)</w:t>
            </w:r>
          </w:p>
        </w:tc>
      </w:tr>
      <w:tr w:rsidR="00CA1C3F" w14:paraId="513931E8"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78FF2453" w14:textId="77777777" w:rsidR="00CA1C3F" w:rsidRDefault="00000000">
            <w:pPr>
              <w:jc w:val="center"/>
            </w:pPr>
            <w:r>
              <w:rPr>
                <w:b/>
                <w:bCs/>
                <w:sz w:val="19"/>
                <w:szCs w:val="19"/>
              </w:rPr>
              <w:t>High</w:t>
            </w:r>
          </w:p>
        </w:tc>
        <w:tc>
          <w:tcPr>
            <w:tcW w:w="41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6F21790A" w14:textId="77777777" w:rsidR="00CA1C3F" w:rsidRDefault="00000000">
            <w:r>
              <w:rPr>
                <w:sz w:val="19"/>
                <w:szCs w:val="19"/>
              </w:rPr>
              <w:t>IVC weight standardization (sub-1% variance) was maintained without detectable central administrative enforcement</w:t>
            </w:r>
          </w:p>
        </w:tc>
        <w:tc>
          <w:tcPr>
            <w:tcW w:w="3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722D5C42" w14:textId="77777777" w:rsidR="00CA1C3F" w:rsidRDefault="00000000">
            <w:r>
              <w:rPr>
                <w:sz w:val="19"/>
                <w:szCs w:val="19"/>
              </w:rPr>
              <w:t>No identified palace archive; no deciphered legal script; distributed material evidence (Kenoyer, 1998; Possehl, 2002)</w:t>
            </w:r>
          </w:p>
        </w:tc>
      </w:tr>
      <w:tr w:rsidR="00CA1C3F" w14:paraId="7999B561"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A3C7AB5" w14:textId="77777777" w:rsidR="00CA1C3F" w:rsidRDefault="00000000">
            <w:pPr>
              <w:jc w:val="center"/>
            </w:pPr>
            <w:r>
              <w:rPr>
                <w:sz w:val="19"/>
                <w:szCs w:val="19"/>
              </w:rPr>
              <w:t>Medium</w:t>
            </w:r>
          </w:p>
        </w:tc>
        <w:tc>
          <w:tcPr>
            <w:tcW w:w="4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D3C3B09" w14:textId="77777777" w:rsidR="00CA1C3F" w:rsidRDefault="00000000">
            <w:r>
              <w:rPr>
                <w:sz w:val="19"/>
                <w:szCs w:val="19"/>
              </w:rPr>
              <w:t>25% IVC-cline frequency at BMAC sites indicates multigenerational resident communities, not transient contact</w:t>
            </w:r>
          </w:p>
        </w:tc>
        <w:tc>
          <w:tcPr>
            <w:tcW w:w="3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AB19479" w14:textId="77777777" w:rsidR="00CA1C3F" w:rsidRDefault="00000000">
            <w:r>
              <w:rPr>
                <w:sz w:val="19"/>
                <w:szCs w:val="19"/>
              </w:rPr>
              <w:t xml:space="preserve">Population-level frequency; Sogdian and Assyrian </w:t>
            </w:r>
            <w:proofErr w:type="spellStart"/>
            <w:r>
              <w:rPr>
                <w:sz w:val="19"/>
                <w:szCs w:val="19"/>
              </w:rPr>
              <w:t>kārum</w:t>
            </w:r>
            <w:proofErr w:type="spellEnd"/>
            <w:r>
              <w:rPr>
                <w:sz w:val="19"/>
                <w:szCs w:val="19"/>
              </w:rPr>
              <w:t xml:space="preserve"> analogues; material burial affiliations (Larsen, 1987; Narasimhan et al., 2019)</w:t>
            </w:r>
          </w:p>
        </w:tc>
      </w:tr>
      <w:tr w:rsidR="00CA1C3F" w14:paraId="177671D9"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18D038C3" w14:textId="77777777" w:rsidR="00CA1C3F" w:rsidRDefault="00000000">
            <w:pPr>
              <w:jc w:val="center"/>
            </w:pPr>
            <w:r>
              <w:rPr>
                <w:sz w:val="19"/>
                <w:szCs w:val="19"/>
              </w:rPr>
              <w:t>Medium</w:t>
            </w:r>
          </w:p>
        </w:tc>
        <w:tc>
          <w:tcPr>
            <w:tcW w:w="41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071E4152" w14:textId="77777777" w:rsidR="00CA1C3F" w:rsidRDefault="00000000">
            <w:r>
              <w:rPr>
                <w:sz w:val="19"/>
                <w:szCs w:val="19"/>
              </w:rPr>
              <w:t>The Silk Road inherited rather than created Eurasian long-distance trade infrastructure</w:t>
            </w:r>
          </w:p>
        </w:tc>
        <w:tc>
          <w:tcPr>
            <w:tcW w:w="3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2EBCAE46" w14:textId="77777777" w:rsidR="00CA1C3F" w:rsidRDefault="00000000">
            <w:r>
              <w:rPr>
                <w:sz w:val="19"/>
                <w:szCs w:val="19"/>
              </w:rPr>
              <w:t xml:space="preserve">Route corridor overlap; Persian road system continuity; BMAC persistence post-IVC (Kuzmina, 2008; </w:t>
            </w:r>
            <w:proofErr w:type="spellStart"/>
            <w:r>
              <w:rPr>
                <w:sz w:val="19"/>
                <w:szCs w:val="19"/>
              </w:rPr>
              <w:t>Frankopan</w:t>
            </w:r>
            <w:proofErr w:type="spellEnd"/>
            <w:r>
              <w:rPr>
                <w:sz w:val="19"/>
                <w:szCs w:val="19"/>
              </w:rPr>
              <w:t>, 2015)</w:t>
            </w:r>
          </w:p>
        </w:tc>
      </w:tr>
      <w:tr w:rsidR="00CA1C3F" w14:paraId="44207DFA"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5FA5113" w14:textId="77777777" w:rsidR="00CA1C3F" w:rsidRDefault="00000000">
            <w:pPr>
              <w:jc w:val="center"/>
            </w:pPr>
            <w:r>
              <w:rPr>
                <w:sz w:val="19"/>
                <w:szCs w:val="19"/>
              </w:rPr>
              <w:t>Medium</w:t>
            </w:r>
          </w:p>
        </w:tc>
        <w:tc>
          <w:tcPr>
            <w:tcW w:w="4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F050511" w14:textId="77777777" w:rsidR="00CA1C3F" w:rsidRDefault="00000000">
            <w:r>
              <w:rPr>
                <w:sz w:val="19"/>
                <w:szCs w:val="19"/>
              </w:rPr>
              <w:t>IVC symbolic system achieved Stage IV self-replication at remote nodes before 2500 BCE</w:t>
            </w:r>
          </w:p>
        </w:tc>
        <w:tc>
          <w:tcPr>
            <w:tcW w:w="3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EA03BBC" w14:textId="77777777" w:rsidR="00CA1C3F" w:rsidRDefault="00000000">
            <w:r>
              <w:rPr>
                <w:sz w:val="19"/>
                <w:szCs w:val="19"/>
              </w:rPr>
              <w:t>Resident community inference; embodied knowledge transmission model; distributed coherence without center (Vondoom, 2025a; 2026b)</w:t>
            </w:r>
          </w:p>
        </w:tc>
      </w:tr>
      <w:tr w:rsidR="00CA1C3F" w14:paraId="59F84AD0" w14:textId="77777777">
        <w:tblPrEx>
          <w:tblCellMar>
            <w:top w:w="0" w:type="dxa"/>
            <w:bottom w:w="0" w:type="dxa"/>
          </w:tblCellMar>
        </w:tblPrEx>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2D8DC221" w14:textId="77777777" w:rsidR="00CA1C3F" w:rsidRDefault="00000000">
            <w:pPr>
              <w:jc w:val="center"/>
            </w:pPr>
            <w:r>
              <w:rPr>
                <w:sz w:val="19"/>
                <w:szCs w:val="19"/>
              </w:rPr>
              <w:t>Low / Hypothesis</w:t>
            </w:r>
          </w:p>
        </w:tc>
        <w:tc>
          <w:tcPr>
            <w:tcW w:w="41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25D2B74" w14:textId="77777777" w:rsidR="00CA1C3F" w:rsidRDefault="00000000">
            <w:r>
              <w:rPr>
                <w:sz w:val="19"/>
                <w:szCs w:val="19"/>
              </w:rPr>
              <w:t>The collapse of IVC urban centers (c. 1900 BCE) redistributed rather than destroyed the trade network, embedding it in successor cultures</w:t>
            </w:r>
          </w:p>
        </w:tc>
        <w:tc>
          <w:tcPr>
            <w:tcW w:w="3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20" w:type="dxa"/>
              <w:bottom w:w="60" w:type="dxa"/>
              <w:right w:w="120" w:type="dxa"/>
            </w:tcMar>
          </w:tcPr>
          <w:p w14:paraId="3B58D536" w14:textId="77777777" w:rsidR="00CA1C3F" w:rsidRDefault="00000000">
            <w:r>
              <w:rPr>
                <w:sz w:val="19"/>
                <w:szCs w:val="19"/>
              </w:rPr>
              <w:t>BMAC persistence; Persian road system; circumstantial continuity — requires further archaeological confirmation</w:t>
            </w:r>
          </w:p>
        </w:tc>
      </w:tr>
    </w:tbl>
    <w:p w14:paraId="255AF15E" w14:textId="77777777" w:rsidR="00CA1C3F" w:rsidRDefault="00CA1C3F">
      <w:pPr>
        <w:spacing w:after="160"/>
      </w:pPr>
    </w:p>
    <w:p w14:paraId="2CEA7AE4" w14:textId="77777777" w:rsidR="00CA1C3F" w:rsidRDefault="00000000">
      <w:pPr>
        <w:pStyle w:val="Heading1"/>
        <w:pBdr>
          <w:bottom w:val="single" w:sz="6" w:space="4" w:color="000000"/>
        </w:pBdr>
      </w:pPr>
      <w:r>
        <w:t>7. SDG Alignment</w:t>
      </w:r>
    </w:p>
    <w:p w14:paraId="3A794B34" w14:textId="77777777" w:rsidR="00CA1C3F" w:rsidRDefault="00000000">
      <w:pPr>
        <w:spacing w:after="140" w:line="276" w:lineRule="auto"/>
        <w:jc w:val="both"/>
      </w:pPr>
      <w:r>
        <w:t>SDG 4 (Quality Education): Establishing the pre-Silk Road origins of Eurasian trade infrastructure requires revision of widely taught historical narratives that attribute the origins of long-distance exchange to the second century BCE. Evidence-based correction of this timeline is consistent with Target 4.7 on global citizenship education.</w:t>
      </w:r>
    </w:p>
    <w:p w14:paraId="5A46E394" w14:textId="77777777" w:rsidR="00CA1C3F" w:rsidRDefault="00000000">
      <w:pPr>
        <w:spacing w:after="140" w:line="276" w:lineRule="auto"/>
        <w:jc w:val="both"/>
      </w:pPr>
      <w:r>
        <w:lastRenderedPageBreak/>
        <w:t>SDG 8 (Decent Work and Economic Growth): Understanding the deep institutional origins of trade infrastructure — specifically the role of resident mercantile communities in maintaining exchange standards — has implications for contemporary models of trade facilitation, particularly in contexts where institutional trust must be maintained across cultural and linguistic boundaries.</w:t>
      </w:r>
    </w:p>
    <w:p w14:paraId="6C958EDD" w14:textId="77777777" w:rsidR="00CA1C3F" w:rsidRDefault="00000000">
      <w:pPr>
        <w:spacing w:after="140" w:line="276" w:lineRule="auto"/>
        <w:jc w:val="both"/>
      </w:pPr>
      <w:r>
        <w:t>SDG 10 (Reduced Inequalities): Demonstrating that a South Asian civilization was the primary architect of Eurasian trade infrastructure two thousand years before the routes received their Eurocentric name addresses systematic underrepresentation of South Asian and Central Asian civilizational contributions to world history.</w:t>
      </w:r>
    </w:p>
    <w:p w14:paraId="409695EB" w14:textId="77777777" w:rsidR="00CA1C3F" w:rsidRDefault="00000000">
      <w:pPr>
        <w:spacing w:after="140" w:line="276" w:lineRule="auto"/>
        <w:jc w:val="both"/>
      </w:pPr>
      <w:r>
        <w:t>SDG 16 (Peace, Justice and Strong Institutions): The IVC weight standardization — maintained at sub-1% variance without centralized enforcement — provides a historical model of distributed institutional coherence that has implications for thinking about non-coercive mechanisms of international standard-setting.</w:t>
      </w:r>
    </w:p>
    <w:p w14:paraId="6C0225EB" w14:textId="77777777" w:rsidR="00CA1C3F" w:rsidRDefault="00000000">
      <w:pPr>
        <w:spacing w:after="140" w:line="276" w:lineRule="auto"/>
        <w:jc w:val="both"/>
      </w:pPr>
      <w:r>
        <w:t>SDG 17 (Partnerships for the Goals): The MAIS itself — a network maintained by resident communities operating across cultural, linguistic, and political boundaries — represents a historical model of sustained cross-civilizational cooperation that predates and structurally anticipates modern multilateral frameworks.</w:t>
      </w:r>
    </w:p>
    <w:p w14:paraId="2975A880" w14:textId="77777777" w:rsidR="00CA1C3F" w:rsidRDefault="00000000">
      <w:pPr>
        <w:pStyle w:val="Heading1"/>
        <w:pBdr>
          <w:bottom w:val="single" w:sz="6" w:space="4" w:color="000000"/>
        </w:pBdr>
      </w:pPr>
      <w:r>
        <w:t>8. Conclusion</w:t>
      </w:r>
    </w:p>
    <w:p w14:paraId="21CE0135" w14:textId="77777777" w:rsidR="00CA1C3F" w:rsidRDefault="00000000">
      <w:pPr>
        <w:spacing w:after="140" w:line="276" w:lineRule="auto"/>
        <w:jc w:val="both"/>
      </w:pPr>
      <w:r>
        <w:t xml:space="preserve">The Silk Road did not create Eurasian long-distance trade. It named what was already there, already ancient, already operating through geographic corridors that geographic necessity had determined and IVC merchants had institutionalized. The lapis lazuli moved from Badakhshan to Ur along the same passes that silk would later follow from </w:t>
      </w:r>
      <w:proofErr w:type="spellStart"/>
      <w:r>
        <w:t>Chang'an</w:t>
      </w:r>
      <w:proofErr w:type="spellEnd"/>
      <w:r>
        <w:t xml:space="preserve"> to Rome. The passes did not change. Only the cargo and the name changed.</w:t>
      </w:r>
    </w:p>
    <w:p w14:paraId="77110566" w14:textId="77777777" w:rsidR="00CA1C3F" w:rsidRDefault="00000000">
      <w:pPr>
        <w:spacing w:after="140" w:line="276" w:lineRule="auto"/>
        <w:jc w:val="both"/>
      </w:pPr>
      <w:r>
        <w:t>The IVC's contribution was not the routes themselves — geography determined those. Its contribution was the symbolic infrastructure that made the routes function: the weight system, the seal corpus, the metrological conventions that allowed a carnelian bead to change hands fifteen times across three thousand kilometers without a dispute about its value. That infrastructure was not maintained by edict or archive. It was maintained by people — IVC-ancestry individuals living as resident agents at BMAC nodes, carrying the system in embodied knowledge, transmitting it to children who may never have seen Mohenjo-daro.</w:t>
      </w:r>
    </w:p>
    <w:p w14:paraId="63090E44" w14:textId="77777777" w:rsidR="00CA1C3F" w:rsidRDefault="00000000">
      <w:pPr>
        <w:spacing w:after="140" w:line="276" w:lineRule="auto"/>
        <w:jc w:val="both"/>
      </w:pPr>
      <w:r>
        <w:t xml:space="preserve">The genomic evidence from </w:t>
      </w:r>
      <w:proofErr w:type="spellStart"/>
      <w:r>
        <w:t>Gonur</w:t>
      </w:r>
      <w:proofErr w:type="spellEnd"/>
      <w:r>
        <w:t xml:space="preserve"> Depe and Shahr-</w:t>
      </w:r>
      <w:proofErr w:type="spellStart"/>
      <w:r>
        <w:t>i</w:t>
      </w:r>
      <w:proofErr w:type="spellEnd"/>
      <w:r>
        <w:t>-</w:t>
      </w:r>
      <w:proofErr w:type="spellStart"/>
      <w:r>
        <w:t>Sokhta</w:t>
      </w:r>
      <w:proofErr w:type="spellEnd"/>
      <w:r>
        <w:t xml:space="preserve"> — eleven individuals, 25% of the sampled population, carrying IVC ancestry at the geographic heart of what would become the Silk Road — is not a footnote to Bronze Age trade history. It is the mechanism that explains everything else: why the standards held without a center to enforce them, why the routes persisted through the collapse of the civilization that built them, why the BMAC outlasted the IVC, why Achaemenid road-builders followed IVC-era paths, why Zhang Qian found a network already waiting for him two thousand years after its architects were gone.</w:t>
      </w:r>
    </w:p>
    <w:p w14:paraId="6D753C6A" w14:textId="77777777" w:rsidR="00CA1C3F" w:rsidRDefault="00000000">
      <w:pPr>
        <w:spacing w:after="140" w:line="276" w:lineRule="auto"/>
        <w:jc w:val="both"/>
      </w:pPr>
      <w:r>
        <w:t xml:space="preserve">The Silk Road inherited the IVC's infrastructure. The IVC's infrastructure survived because the IVC had placed its people, not just its objects, at the nodes that mattered. That is the Stage IV claim the genome supports. That is what the woman from </w:t>
      </w:r>
      <w:proofErr w:type="spellStart"/>
      <w:r>
        <w:t>Rakhigarhi</w:t>
      </w:r>
      <w:proofErr w:type="spellEnd"/>
      <w:r>
        <w:t xml:space="preserve">, and her cousins at </w:t>
      </w:r>
      <w:proofErr w:type="spellStart"/>
      <w:r>
        <w:t>Gonur</w:t>
      </w:r>
      <w:proofErr w:type="spellEnd"/>
      <w:r>
        <w:t xml:space="preserve"> Depe, </w:t>
      </w:r>
      <w:proofErr w:type="gramStart"/>
      <w:r>
        <w:t>have to</w:t>
      </w:r>
      <w:proofErr w:type="gramEnd"/>
      <w:r>
        <w:t xml:space="preserve"> tell us.</w:t>
      </w:r>
    </w:p>
    <w:p w14:paraId="459B960F" w14:textId="77777777" w:rsidR="00CA1C3F" w:rsidRDefault="00000000">
      <w:r>
        <w:br w:type="page"/>
      </w:r>
    </w:p>
    <w:p w14:paraId="7CD89855" w14:textId="77777777" w:rsidR="00CA1C3F" w:rsidRDefault="00000000">
      <w:pPr>
        <w:pStyle w:val="Heading1"/>
        <w:pBdr>
          <w:bottom w:val="single" w:sz="6" w:space="4" w:color="000000"/>
        </w:pBdr>
      </w:pPr>
      <w:r>
        <w:lastRenderedPageBreak/>
        <w:t>References</w:t>
      </w:r>
    </w:p>
    <w:p w14:paraId="1C5901BF" w14:textId="77777777" w:rsidR="00CA1C3F" w:rsidRDefault="00000000">
      <w:pPr>
        <w:spacing w:after="100"/>
        <w:ind w:left="720" w:hanging="720"/>
        <w:jc w:val="both"/>
      </w:pPr>
      <w:r>
        <w:rPr>
          <w:sz w:val="20"/>
          <w:szCs w:val="20"/>
        </w:rPr>
        <w:t>Anthony, D.W. (2007). The Horse, the Wheel, and Language: How Bronze-Age Riders from the Eurasian Steppes Shaped the Modern World. Princeton University Press.</w:t>
      </w:r>
    </w:p>
    <w:p w14:paraId="1DA4C272" w14:textId="77777777" w:rsidR="00CA1C3F" w:rsidRDefault="00000000">
      <w:pPr>
        <w:spacing w:after="100"/>
        <w:ind w:left="720" w:hanging="720"/>
        <w:jc w:val="both"/>
      </w:pPr>
      <w:r>
        <w:rPr>
          <w:sz w:val="20"/>
          <w:szCs w:val="20"/>
        </w:rPr>
        <w:t xml:space="preserve">de la </w:t>
      </w:r>
      <w:proofErr w:type="spellStart"/>
      <w:r>
        <w:rPr>
          <w:sz w:val="20"/>
          <w:szCs w:val="20"/>
        </w:rPr>
        <w:t>Vaissière</w:t>
      </w:r>
      <w:proofErr w:type="spellEnd"/>
      <w:r>
        <w:rPr>
          <w:sz w:val="20"/>
          <w:szCs w:val="20"/>
        </w:rPr>
        <w:t>, E. (2005). Sogdian Traders: A History. Brill.</w:t>
      </w:r>
    </w:p>
    <w:p w14:paraId="54C462E2" w14:textId="77777777" w:rsidR="00CA1C3F" w:rsidRDefault="00000000">
      <w:pPr>
        <w:spacing w:after="100"/>
        <w:ind w:left="720" w:hanging="720"/>
        <w:jc w:val="both"/>
      </w:pPr>
      <w:r>
        <w:rPr>
          <w:sz w:val="20"/>
          <w:szCs w:val="20"/>
        </w:rPr>
        <w:t>Donald, M. (1991). Origins of the Modern Mind: Three Stages in the Evolution of Culture and Cognition. Harvard University Press.</w:t>
      </w:r>
    </w:p>
    <w:p w14:paraId="0D125F48" w14:textId="77777777" w:rsidR="00CA1C3F" w:rsidRDefault="00000000">
      <w:pPr>
        <w:spacing w:after="100"/>
        <w:ind w:left="720" w:hanging="720"/>
        <w:jc w:val="both"/>
      </w:pPr>
      <w:proofErr w:type="spellStart"/>
      <w:r>
        <w:rPr>
          <w:sz w:val="20"/>
          <w:szCs w:val="20"/>
        </w:rPr>
        <w:t>Frankopan</w:t>
      </w:r>
      <w:proofErr w:type="spellEnd"/>
      <w:r>
        <w:rPr>
          <w:sz w:val="20"/>
          <w:szCs w:val="20"/>
        </w:rPr>
        <w:t>, P. (2015). The Silk Roads: A New History. Bloomsbury Publishing.</w:t>
      </w:r>
    </w:p>
    <w:p w14:paraId="14DE0535" w14:textId="77777777" w:rsidR="00CA1C3F" w:rsidRDefault="00000000">
      <w:pPr>
        <w:spacing w:after="100"/>
        <w:ind w:left="720" w:hanging="720"/>
        <w:jc w:val="both"/>
      </w:pPr>
      <w:r>
        <w:rPr>
          <w:sz w:val="20"/>
          <w:szCs w:val="20"/>
        </w:rPr>
        <w:t>Fuller, D.Q. (2006). Agricultural Origins and Frontiers in South Asia: A Working Synthesis. Journal of World Prehistory, 20(1), 1–86. https://doi.org/10.1007/s10963-006-9006-8</w:t>
      </w:r>
    </w:p>
    <w:p w14:paraId="247A70A3" w14:textId="77777777" w:rsidR="00CA1C3F" w:rsidRDefault="00000000">
      <w:pPr>
        <w:spacing w:after="100"/>
        <w:ind w:left="720" w:hanging="720"/>
        <w:jc w:val="both"/>
      </w:pPr>
      <w:r>
        <w:rPr>
          <w:sz w:val="20"/>
          <w:szCs w:val="20"/>
        </w:rPr>
        <w:t>Gadd, C.J. (1932). Seals of Ancient Indian Style Found at Ur. Proceedings of the British Academy, 18, 191–210.</w:t>
      </w:r>
    </w:p>
    <w:p w14:paraId="083FE167" w14:textId="77777777" w:rsidR="00CA1C3F" w:rsidRDefault="00000000">
      <w:pPr>
        <w:spacing w:after="100"/>
        <w:ind w:left="720" w:hanging="720"/>
        <w:jc w:val="both"/>
      </w:pPr>
      <w:r w:rsidRPr="00210B80">
        <w:rPr>
          <w:sz w:val="20"/>
          <w:szCs w:val="20"/>
          <w:lang w:val="it-IT"/>
        </w:rPr>
        <w:t xml:space="preserve">Guarino-Vignon, P., et al. </w:t>
      </w:r>
      <w:r>
        <w:rPr>
          <w:sz w:val="20"/>
          <w:szCs w:val="20"/>
        </w:rPr>
        <w:t>(2022). Genetic continuity of Bronze Age ancestry in Iron Age Pannonia. Scientific Reports, 12. https://doi.org/10.1038/s41598-022-06104-0</w:t>
      </w:r>
    </w:p>
    <w:p w14:paraId="15B6EB23" w14:textId="77777777" w:rsidR="00CA1C3F" w:rsidRDefault="00000000">
      <w:pPr>
        <w:spacing w:after="100"/>
        <w:ind w:left="720" w:hanging="720"/>
        <w:jc w:val="both"/>
      </w:pPr>
      <w:r>
        <w:rPr>
          <w:sz w:val="20"/>
          <w:szCs w:val="20"/>
        </w:rPr>
        <w:t>Narasimhan, V.M., et al. (2019). The Genomic Formation of South and Central Asia. Science, 365(6457), eaat7487. https://doi.org/10.1126/science.aat7487</w:t>
      </w:r>
    </w:p>
    <w:p w14:paraId="25675277" w14:textId="77777777" w:rsidR="00CA1C3F" w:rsidRDefault="00000000">
      <w:pPr>
        <w:spacing w:after="100"/>
        <w:ind w:left="720" w:hanging="720"/>
        <w:jc w:val="both"/>
      </w:pPr>
      <w:r>
        <w:rPr>
          <w:sz w:val="20"/>
          <w:szCs w:val="20"/>
        </w:rPr>
        <w:t>Herrmann, G. (1968). Lapis Lazuli: The Early Phases of Its Trade. Iraq, 30(1), 21–57. https://doi.org/10.2307/4199836</w:t>
      </w:r>
    </w:p>
    <w:p w14:paraId="07D37447" w14:textId="77777777" w:rsidR="00CA1C3F" w:rsidRDefault="00000000">
      <w:pPr>
        <w:spacing w:after="100"/>
        <w:ind w:left="720" w:hanging="720"/>
        <w:jc w:val="both"/>
      </w:pPr>
      <w:r>
        <w:rPr>
          <w:sz w:val="20"/>
          <w:szCs w:val="20"/>
        </w:rPr>
        <w:t>Kenoyer, J.M. (1998). Ancient Cities of the Indus Valley Civilization. Oxford University Press.</w:t>
      </w:r>
    </w:p>
    <w:p w14:paraId="5620817D" w14:textId="77777777" w:rsidR="00CA1C3F" w:rsidRDefault="00000000">
      <w:pPr>
        <w:spacing w:after="100"/>
        <w:ind w:left="720" w:hanging="720"/>
        <w:jc w:val="both"/>
      </w:pPr>
      <w:r>
        <w:rPr>
          <w:sz w:val="20"/>
          <w:szCs w:val="20"/>
        </w:rPr>
        <w:t>Kenoyer, J.M. (2010). Craft Traditions of the Indus Valley Civilization and Their Legacy. In N. Bhattacharyya-</w:t>
      </w:r>
      <w:proofErr w:type="spellStart"/>
      <w:r>
        <w:rPr>
          <w:sz w:val="20"/>
          <w:szCs w:val="20"/>
        </w:rPr>
        <w:t>Haesner</w:t>
      </w:r>
      <w:proofErr w:type="spellEnd"/>
      <w:r>
        <w:rPr>
          <w:sz w:val="20"/>
          <w:szCs w:val="20"/>
        </w:rPr>
        <w:t xml:space="preserve"> (Ed.), India — A History in Objects. Prestel. pp. 58–75.</w:t>
      </w:r>
    </w:p>
    <w:p w14:paraId="38146D01" w14:textId="77777777" w:rsidR="00CA1C3F" w:rsidRDefault="00000000">
      <w:pPr>
        <w:spacing w:after="100"/>
        <w:ind w:left="720" w:hanging="720"/>
        <w:jc w:val="both"/>
      </w:pPr>
      <w:r>
        <w:rPr>
          <w:sz w:val="20"/>
          <w:szCs w:val="20"/>
        </w:rPr>
        <w:t>Kuzmina, E.E. (2008). The Prehistory of the Silk Road. University of Pennsylvania Press.</w:t>
      </w:r>
    </w:p>
    <w:p w14:paraId="02A69BFB" w14:textId="77777777" w:rsidR="00CA1C3F" w:rsidRDefault="00000000">
      <w:pPr>
        <w:spacing w:after="100"/>
        <w:ind w:left="720" w:hanging="720"/>
        <w:jc w:val="both"/>
      </w:pPr>
      <w:r>
        <w:rPr>
          <w:sz w:val="20"/>
          <w:szCs w:val="20"/>
        </w:rPr>
        <w:t>Lamberg-</w:t>
      </w:r>
      <w:proofErr w:type="spellStart"/>
      <w:r>
        <w:rPr>
          <w:sz w:val="20"/>
          <w:szCs w:val="20"/>
        </w:rPr>
        <w:t>Karlovsky</w:t>
      </w:r>
      <w:proofErr w:type="spellEnd"/>
      <w:r>
        <w:rPr>
          <w:sz w:val="20"/>
          <w:szCs w:val="20"/>
        </w:rPr>
        <w:t>, C.C. (2002). Archaeology and Language: The Indo-Iranians. Current Anthropology, 43(1), 63–88. https://doi.org/10.1086/324130</w:t>
      </w:r>
    </w:p>
    <w:p w14:paraId="4CBA8CC7" w14:textId="77777777" w:rsidR="00CA1C3F" w:rsidRDefault="00000000">
      <w:pPr>
        <w:spacing w:after="100"/>
        <w:ind w:left="720" w:hanging="720"/>
        <w:jc w:val="both"/>
      </w:pPr>
      <w:r>
        <w:rPr>
          <w:sz w:val="20"/>
          <w:szCs w:val="20"/>
        </w:rPr>
        <w:t>Larsen, M.T. (1987). Commercial Networks in the Ancient Near East. In M. Rowlands, M. Larsen, &amp; K. Kristiansen (Eds.), Centre and Periphery in the Ancient World. Cambridge University Press. pp. 47–56.</w:t>
      </w:r>
    </w:p>
    <w:p w14:paraId="2BB788A9" w14:textId="77777777" w:rsidR="00CA1C3F" w:rsidRDefault="00000000">
      <w:pPr>
        <w:spacing w:after="100"/>
        <w:ind w:left="720" w:hanging="720"/>
        <w:jc w:val="both"/>
      </w:pPr>
      <w:r>
        <w:rPr>
          <w:sz w:val="20"/>
          <w:szCs w:val="20"/>
        </w:rPr>
        <w:t>Lave, J., &amp; Wenger, E. (1991). Situated Learning: Legitimate Peripheral Participation. Cambridge University Press.</w:t>
      </w:r>
    </w:p>
    <w:p w14:paraId="3B02881F" w14:textId="77777777" w:rsidR="00CA1C3F" w:rsidRDefault="00000000">
      <w:pPr>
        <w:spacing w:after="100"/>
        <w:ind w:left="720" w:hanging="720"/>
        <w:jc w:val="both"/>
      </w:pPr>
      <w:r>
        <w:rPr>
          <w:sz w:val="20"/>
          <w:szCs w:val="20"/>
        </w:rPr>
        <w:t>Liu, X. (2010). The Silk Road in World History. Oxford University Press.</w:t>
      </w:r>
    </w:p>
    <w:p w14:paraId="6B2CE719" w14:textId="77777777" w:rsidR="00CA1C3F" w:rsidRDefault="00000000">
      <w:pPr>
        <w:spacing w:after="100"/>
        <w:ind w:left="720" w:hanging="720"/>
        <w:jc w:val="both"/>
      </w:pPr>
      <w:r>
        <w:rPr>
          <w:sz w:val="20"/>
          <w:szCs w:val="20"/>
        </w:rPr>
        <w:t>Moorjani, P., Thangaraj, K., Patterson, N., et al. (2013). Genetic Evidence for Recent Population Mixture in India. American Journal of Human Genetics, 93(3), 422–438. https://doi.org/10.1016/j.ajhg.2013.07.006</w:t>
      </w:r>
    </w:p>
    <w:p w14:paraId="34AAA21E" w14:textId="77777777" w:rsidR="00CA1C3F" w:rsidRDefault="00000000">
      <w:pPr>
        <w:spacing w:after="100"/>
        <w:ind w:left="720" w:hanging="720"/>
        <w:jc w:val="both"/>
      </w:pPr>
      <w:r>
        <w:rPr>
          <w:sz w:val="20"/>
          <w:szCs w:val="20"/>
        </w:rPr>
        <w:t>Narasimhan, V.M., et al. (2019). The Genomic Formation of South and Central Asia. Science, 365(6457), eaat7487. https://doi.org/10.1126/science.aat7487</w:t>
      </w:r>
    </w:p>
    <w:p w14:paraId="111A324B" w14:textId="77777777" w:rsidR="00CA1C3F" w:rsidRDefault="00000000">
      <w:pPr>
        <w:spacing w:after="100"/>
        <w:ind w:left="720" w:hanging="720"/>
        <w:jc w:val="both"/>
      </w:pPr>
      <w:r>
        <w:rPr>
          <w:sz w:val="20"/>
          <w:szCs w:val="20"/>
        </w:rPr>
        <w:t>Oppenheim, A.L. (1954). The Seafaring Merchants of Ur. Journal of the American Oriental Society, 74(1), 6–17. https://doi.org/10.2307/595813</w:t>
      </w:r>
    </w:p>
    <w:p w14:paraId="35080F1C" w14:textId="77777777" w:rsidR="00CA1C3F" w:rsidRDefault="00000000">
      <w:pPr>
        <w:spacing w:after="100"/>
        <w:ind w:left="720" w:hanging="720"/>
        <w:jc w:val="both"/>
      </w:pPr>
      <w:proofErr w:type="spellStart"/>
      <w:r>
        <w:rPr>
          <w:sz w:val="20"/>
          <w:szCs w:val="20"/>
        </w:rPr>
        <w:t>Parpola</w:t>
      </w:r>
      <w:proofErr w:type="spellEnd"/>
      <w:r>
        <w:rPr>
          <w:sz w:val="20"/>
          <w:szCs w:val="20"/>
        </w:rPr>
        <w:t>, A. (1994). Deciphering the Indus Script. Cambridge University Press.</w:t>
      </w:r>
    </w:p>
    <w:p w14:paraId="113870ED" w14:textId="77777777" w:rsidR="00CA1C3F" w:rsidRDefault="00000000">
      <w:pPr>
        <w:spacing w:after="100"/>
        <w:ind w:left="720" w:hanging="720"/>
        <w:jc w:val="both"/>
      </w:pPr>
      <w:proofErr w:type="spellStart"/>
      <w:r>
        <w:rPr>
          <w:sz w:val="20"/>
          <w:szCs w:val="20"/>
        </w:rPr>
        <w:t>Parpola</w:t>
      </w:r>
      <w:proofErr w:type="spellEnd"/>
      <w:r>
        <w:rPr>
          <w:sz w:val="20"/>
          <w:szCs w:val="20"/>
        </w:rPr>
        <w:t xml:space="preserve">, A., </w:t>
      </w:r>
      <w:proofErr w:type="spellStart"/>
      <w:r>
        <w:rPr>
          <w:sz w:val="20"/>
          <w:szCs w:val="20"/>
        </w:rPr>
        <w:t>Parpola</w:t>
      </w:r>
      <w:proofErr w:type="spellEnd"/>
      <w:r>
        <w:rPr>
          <w:sz w:val="20"/>
          <w:szCs w:val="20"/>
        </w:rPr>
        <w:t xml:space="preserve">, S., &amp; Brunswig, R.H. (1977). The </w:t>
      </w:r>
      <w:proofErr w:type="spellStart"/>
      <w:r>
        <w:rPr>
          <w:sz w:val="20"/>
          <w:szCs w:val="20"/>
        </w:rPr>
        <w:t>Meluḫḫa</w:t>
      </w:r>
      <w:proofErr w:type="spellEnd"/>
      <w:r>
        <w:rPr>
          <w:sz w:val="20"/>
          <w:szCs w:val="20"/>
        </w:rPr>
        <w:t>, Dilmun, and Makan Trade of the IVC. Journal of the Economic and Social History of the Orient, 20(2), 129–182.</w:t>
      </w:r>
    </w:p>
    <w:p w14:paraId="3D510013" w14:textId="77777777" w:rsidR="00CA1C3F" w:rsidRDefault="00000000">
      <w:pPr>
        <w:spacing w:after="100"/>
        <w:ind w:left="720" w:hanging="720"/>
        <w:jc w:val="both"/>
      </w:pPr>
      <w:r>
        <w:rPr>
          <w:sz w:val="20"/>
          <w:szCs w:val="20"/>
        </w:rPr>
        <w:t xml:space="preserve">Possehl, G.L. (2002). The Indus Civilization: A Contemporary Perspective. </w:t>
      </w:r>
      <w:proofErr w:type="spellStart"/>
      <w:r>
        <w:rPr>
          <w:sz w:val="20"/>
          <w:szCs w:val="20"/>
        </w:rPr>
        <w:t>AltaMira</w:t>
      </w:r>
      <w:proofErr w:type="spellEnd"/>
      <w:r>
        <w:rPr>
          <w:sz w:val="20"/>
          <w:szCs w:val="20"/>
        </w:rPr>
        <w:t xml:space="preserve"> Press.</w:t>
      </w:r>
    </w:p>
    <w:p w14:paraId="677CB9C8" w14:textId="77777777" w:rsidR="00CA1C3F" w:rsidRDefault="00000000">
      <w:pPr>
        <w:spacing w:after="100"/>
        <w:ind w:left="720" w:hanging="720"/>
        <w:jc w:val="both"/>
      </w:pPr>
      <w:r>
        <w:rPr>
          <w:sz w:val="20"/>
          <w:szCs w:val="20"/>
        </w:rPr>
        <w:t>Possehl, G.L. (2007). The Middle Asian Interaction Sphere. Expedition, 49(1), 40–48.</w:t>
      </w:r>
    </w:p>
    <w:p w14:paraId="36F0288A" w14:textId="77777777" w:rsidR="00CA1C3F" w:rsidRDefault="00000000">
      <w:pPr>
        <w:spacing w:after="100"/>
        <w:ind w:left="720" w:hanging="720"/>
        <w:jc w:val="both"/>
      </w:pPr>
      <w:r>
        <w:rPr>
          <w:sz w:val="20"/>
          <w:szCs w:val="20"/>
        </w:rPr>
        <w:t>Prange, S.R. (2011). A Trade of No Dishonor: Piracy, Commerce, and Community in the Western Indian Ocean. World History, 22(2), 225–257.</w:t>
      </w:r>
    </w:p>
    <w:p w14:paraId="36500BC7" w14:textId="77777777" w:rsidR="00CA1C3F" w:rsidRDefault="00000000">
      <w:pPr>
        <w:spacing w:after="100"/>
        <w:ind w:left="720" w:hanging="720"/>
        <w:jc w:val="both"/>
      </w:pPr>
      <w:r>
        <w:rPr>
          <w:sz w:val="20"/>
          <w:szCs w:val="20"/>
        </w:rPr>
        <w:t>Rao, S.R. (1979). Lothal: A Harappan Port Town. Archaeological Survey of India.</w:t>
      </w:r>
    </w:p>
    <w:p w14:paraId="37E09C5F" w14:textId="77777777" w:rsidR="00CA1C3F" w:rsidRDefault="00000000">
      <w:pPr>
        <w:spacing w:after="100"/>
        <w:ind w:left="720" w:hanging="720"/>
        <w:jc w:val="both"/>
      </w:pPr>
      <w:proofErr w:type="spellStart"/>
      <w:r>
        <w:rPr>
          <w:sz w:val="20"/>
          <w:szCs w:val="20"/>
        </w:rPr>
        <w:t>Sarianidi</w:t>
      </w:r>
      <w:proofErr w:type="spellEnd"/>
      <w:r>
        <w:rPr>
          <w:sz w:val="20"/>
          <w:szCs w:val="20"/>
        </w:rPr>
        <w:t xml:space="preserve">, V. (1994). Temples of Bronze Age </w:t>
      </w:r>
      <w:proofErr w:type="spellStart"/>
      <w:r>
        <w:rPr>
          <w:sz w:val="20"/>
          <w:szCs w:val="20"/>
        </w:rPr>
        <w:t>Margiana</w:t>
      </w:r>
      <w:proofErr w:type="spellEnd"/>
      <w:r>
        <w:rPr>
          <w:sz w:val="20"/>
          <w:szCs w:val="20"/>
        </w:rPr>
        <w:t>: Traditions of Ritual Architecture. Antiquity, 68(259), 388–397. https://doi.org/10.1017/S0003598X00046841</w:t>
      </w:r>
    </w:p>
    <w:p w14:paraId="3EDBC280" w14:textId="77777777" w:rsidR="00CA1C3F" w:rsidRDefault="00000000">
      <w:pPr>
        <w:spacing w:after="100"/>
        <w:ind w:left="720" w:hanging="720"/>
        <w:jc w:val="both"/>
      </w:pPr>
      <w:r>
        <w:rPr>
          <w:sz w:val="20"/>
          <w:szCs w:val="20"/>
        </w:rPr>
        <w:t>Sheriff, A. (1987). Slaves, Spices and Ivory in Zanzibar. James Currey.</w:t>
      </w:r>
    </w:p>
    <w:p w14:paraId="0FC1881D" w14:textId="77777777" w:rsidR="00CA1C3F" w:rsidRDefault="00000000">
      <w:pPr>
        <w:spacing w:after="100"/>
        <w:ind w:left="720" w:hanging="720"/>
        <w:jc w:val="both"/>
      </w:pPr>
      <w:r>
        <w:rPr>
          <w:sz w:val="20"/>
          <w:szCs w:val="20"/>
        </w:rPr>
        <w:lastRenderedPageBreak/>
        <w:t>Shinde, V., Narasimhan, V.M., Rohland, N., et al. (2019). An Ancient Harappan Genome Lacks Ancestry from Steppe Pastoralists or Iranian Farmers. Cell, 179(3), 729–735. https://doi.org/10.1016/j.cell.2019.08.048</w:t>
      </w:r>
    </w:p>
    <w:p w14:paraId="0E8F6B53" w14:textId="77777777" w:rsidR="00CA1C3F" w:rsidRDefault="00000000">
      <w:pPr>
        <w:spacing w:after="100"/>
        <w:ind w:left="720" w:hanging="720"/>
        <w:jc w:val="both"/>
      </w:pPr>
      <w:r>
        <w:rPr>
          <w:sz w:val="20"/>
          <w:szCs w:val="20"/>
        </w:rPr>
        <w:t>Skoglund, P., &amp; Jakobsson, M. (2011). Archaic human ancestry in East Asia. Proceedings of the National Academy of Sciences, 108(45), 18301–18306. https://doi.org/10.1073/pnas.1108181108</w:t>
      </w:r>
    </w:p>
    <w:p w14:paraId="2F14F7C4" w14:textId="77777777" w:rsidR="00CA1C3F" w:rsidRDefault="00000000">
      <w:pPr>
        <w:spacing w:after="100"/>
        <w:ind w:left="720" w:hanging="720"/>
        <w:jc w:val="both"/>
      </w:pPr>
      <w:r>
        <w:rPr>
          <w:sz w:val="20"/>
          <w:szCs w:val="20"/>
        </w:rPr>
        <w:t>Veenhof, K.R. (1995). Kanesh: An Assyrian Colony in Anatolia. In J.M. Sasson (Ed.), Civilizations of the Ancient Near East. Scribner. pp. 859–871.</w:t>
      </w:r>
    </w:p>
    <w:p w14:paraId="5271DEE9" w14:textId="77777777" w:rsidR="00CA1C3F" w:rsidRDefault="00000000">
      <w:pPr>
        <w:spacing w:after="100"/>
        <w:ind w:left="720" w:hanging="720"/>
        <w:jc w:val="both"/>
      </w:pPr>
      <w:r>
        <w:rPr>
          <w:sz w:val="20"/>
          <w:szCs w:val="20"/>
        </w:rPr>
        <w:t>Vondoom, A. (2025a). The Deep Symbolic Systems Model (DSSM): A Cognitive-Ritual Framework. OSF. https://doi.org/10.17605/OSF.IO/YW5GM</w:t>
      </w:r>
    </w:p>
    <w:p w14:paraId="75818023" w14:textId="77777777" w:rsidR="00CA1C3F" w:rsidRDefault="00000000">
      <w:pPr>
        <w:spacing w:after="100"/>
        <w:ind w:left="720" w:hanging="720"/>
        <w:jc w:val="both"/>
      </w:pPr>
      <w:r>
        <w:rPr>
          <w:sz w:val="20"/>
          <w:szCs w:val="20"/>
        </w:rPr>
        <w:t xml:space="preserve">Vondoom, A. (2026b). Cognitive Foundations of Early Indus Valley Civilization: Distributed Mercantile Symbolic Stabilization Along the Indus. </w:t>
      </w:r>
      <w:proofErr w:type="spellStart"/>
      <w:r>
        <w:rPr>
          <w:sz w:val="20"/>
          <w:szCs w:val="20"/>
        </w:rPr>
        <w:t>Zenodo</w:t>
      </w:r>
      <w:proofErr w:type="spellEnd"/>
      <w:r>
        <w:rPr>
          <w:sz w:val="20"/>
          <w:szCs w:val="20"/>
        </w:rPr>
        <w:t>. https://doi.org/10.5281/zenodo.18406654</w:t>
      </w:r>
    </w:p>
    <w:p w14:paraId="041DA359" w14:textId="20C238E4" w:rsidR="00CA1C3F" w:rsidRDefault="00000000">
      <w:pPr>
        <w:spacing w:after="100"/>
        <w:ind w:left="720" w:hanging="720"/>
        <w:jc w:val="both"/>
      </w:pPr>
      <w:r>
        <w:rPr>
          <w:sz w:val="20"/>
          <w:szCs w:val="20"/>
        </w:rPr>
        <w:t xml:space="preserve">Vondoom, A. (2026c). The Woman from </w:t>
      </w:r>
      <w:proofErr w:type="spellStart"/>
      <w:r>
        <w:rPr>
          <w:sz w:val="20"/>
          <w:szCs w:val="20"/>
        </w:rPr>
        <w:t>Rakhigarhi</w:t>
      </w:r>
      <w:proofErr w:type="spellEnd"/>
      <w:r>
        <w:rPr>
          <w:sz w:val="20"/>
          <w:szCs w:val="20"/>
        </w:rPr>
        <w:t xml:space="preserve">: Ancient Genome I6113, IVC Human Mobility, and the Genomic Foundations of Eurasian Trade. </w:t>
      </w:r>
    </w:p>
    <w:p w14:paraId="00103EB7" w14:textId="77777777" w:rsidR="00CA1C3F" w:rsidRDefault="00000000">
      <w:pPr>
        <w:spacing w:after="100"/>
        <w:ind w:left="720" w:hanging="720"/>
        <w:jc w:val="both"/>
      </w:pPr>
      <w:r>
        <w:rPr>
          <w:sz w:val="20"/>
          <w:szCs w:val="20"/>
        </w:rPr>
        <w:t>Wright, R.P. (2010). The Ancient Indus: Urbanism, Economy, and Society. Cambridge University Press.</w:t>
      </w:r>
    </w:p>
    <w:p w14:paraId="382DAD77" w14:textId="28EB0730" w:rsidR="00CA1C3F" w:rsidRDefault="00CA1C3F">
      <w:pPr>
        <w:pBdr>
          <w:top w:val="single" w:sz="4" w:space="6" w:color="000000"/>
        </w:pBdr>
        <w:spacing w:before="200"/>
        <w:jc w:val="center"/>
      </w:pPr>
    </w:p>
    <w:sectPr w:rsidR="00CA1C3F">
      <w:headerReference w:type="default" r:id="rId7"/>
      <w:pgSz w:w="12240" w:h="15840"/>
      <w:pgMar w:top="144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745C" w14:textId="77777777" w:rsidR="00D5388A" w:rsidRDefault="00D5388A">
      <w:r>
        <w:separator/>
      </w:r>
    </w:p>
  </w:endnote>
  <w:endnote w:type="continuationSeparator" w:id="0">
    <w:p w14:paraId="4FEB8469" w14:textId="77777777" w:rsidR="00D5388A" w:rsidRDefault="00D5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375A" w14:textId="77777777" w:rsidR="00D5388A" w:rsidRDefault="00D5388A">
      <w:r>
        <w:separator/>
      </w:r>
    </w:p>
  </w:footnote>
  <w:footnote w:type="continuationSeparator" w:id="0">
    <w:p w14:paraId="3A18F50E" w14:textId="77777777" w:rsidR="00D5388A" w:rsidRDefault="00D5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D96C" w14:textId="1FF7F06F" w:rsidR="00210B80" w:rsidRPr="00210B80" w:rsidRDefault="00000000">
    <w:pPr>
      <w:pBdr>
        <w:bottom w:val="single" w:sz="4" w:space="4" w:color="000000"/>
      </w:pBdr>
      <w:spacing w:after="160"/>
      <w:rPr>
        <w:rFonts w:ascii="Arial" w:eastAsia="Arial" w:hAnsi="Arial" w:cs="Arial"/>
        <w:i/>
        <w:iCs/>
        <w:color w:val="595959"/>
        <w:sz w:val="18"/>
        <w:szCs w:val="18"/>
      </w:rPr>
    </w:pPr>
    <w:r>
      <w:rPr>
        <w:rFonts w:ascii="Arial" w:eastAsia="Arial" w:hAnsi="Arial" w:cs="Arial"/>
        <w:i/>
        <w:iCs/>
        <w:color w:val="595959"/>
        <w:sz w:val="18"/>
        <w:szCs w:val="18"/>
      </w:rPr>
      <w:t xml:space="preserve">Before the Silk Road: The IVC and the Deep Origins of Eurasian Trade Infrastructure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266CA"/>
    <w:multiLevelType w:val="hybridMultilevel"/>
    <w:tmpl w:val="509CD194"/>
    <w:lvl w:ilvl="0" w:tplc="B300B428">
      <w:start w:val="1"/>
      <w:numFmt w:val="bullet"/>
      <w:lvlText w:val="●"/>
      <w:lvlJc w:val="left"/>
      <w:pPr>
        <w:ind w:left="720" w:hanging="360"/>
      </w:pPr>
    </w:lvl>
    <w:lvl w:ilvl="1" w:tplc="CEE6FC6E">
      <w:start w:val="1"/>
      <w:numFmt w:val="bullet"/>
      <w:lvlText w:val="○"/>
      <w:lvlJc w:val="left"/>
      <w:pPr>
        <w:ind w:left="1440" w:hanging="360"/>
      </w:pPr>
    </w:lvl>
    <w:lvl w:ilvl="2" w:tplc="CE7880BA">
      <w:start w:val="1"/>
      <w:numFmt w:val="bullet"/>
      <w:lvlText w:val="■"/>
      <w:lvlJc w:val="left"/>
      <w:pPr>
        <w:ind w:left="2160" w:hanging="360"/>
      </w:pPr>
    </w:lvl>
    <w:lvl w:ilvl="3" w:tplc="E9841E5A">
      <w:start w:val="1"/>
      <w:numFmt w:val="bullet"/>
      <w:lvlText w:val="●"/>
      <w:lvlJc w:val="left"/>
      <w:pPr>
        <w:ind w:left="2880" w:hanging="360"/>
      </w:pPr>
    </w:lvl>
    <w:lvl w:ilvl="4" w:tplc="EBD4E70C">
      <w:start w:val="1"/>
      <w:numFmt w:val="bullet"/>
      <w:lvlText w:val="○"/>
      <w:lvlJc w:val="left"/>
      <w:pPr>
        <w:ind w:left="3600" w:hanging="360"/>
      </w:pPr>
    </w:lvl>
    <w:lvl w:ilvl="5" w:tplc="78A4B82A">
      <w:start w:val="1"/>
      <w:numFmt w:val="bullet"/>
      <w:lvlText w:val="■"/>
      <w:lvlJc w:val="left"/>
      <w:pPr>
        <w:ind w:left="4320" w:hanging="360"/>
      </w:pPr>
    </w:lvl>
    <w:lvl w:ilvl="6" w:tplc="AAC031FA">
      <w:start w:val="1"/>
      <w:numFmt w:val="bullet"/>
      <w:lvlText w:val="●"/>
      <w:lvlJc w:val="left"/>
      <w:pPr>
        <w:ind w:left="5040" w:hanging="360"/>
      </w:pPr>
    </w:lvl>
    <w:lvl w:ilvl="7" w:tplc="B01A7AC0">
      <w:start w:val="1"/>
      <w:numFmt w:val="bullet"/>
      <w:lvlText w:val="●"/>
      <w:lvlJc w:val="left"/>
      <w:pPr>
        <w:ind w:left="5760" w:hanging="360"/>
      </w:pPr>
    </w:lvl>
    <w:lvl w:ilvl="8" w:tplc="AA945C4C">
      <w:start w:val="1"/>
      <w:numFmt w:val="bullet"/>
      <w:lvlText w:val="●"/>
      <w:lvlJc w:val="left"/>
      <w:pPr>
        <w:ind w:left="6480" w:hanging="360"/>
      </w:pPr>
    </w:lvl>
  </w:abstractNum>
  <w:num w:numId="1" w16cid:durableId="14568681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3F"/>
    <w:rsid w:val="00210B80"/>
    <w:rsid w:val="008768EF"/>
    <w:rsid w:val="00B84404"/>
    <w:rsid w:val="00CA1C3F"/>
    <w:rsid w:val="00D5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280EB6"/>
  <w15:docId w15:val="{61701F61-E85B-F742-8851-22DAB11D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rFonts w:ascii="Arial" w:eastAsia="Arial" w:hAnsi="Arial" w:cs="Arial"/>
      <w:b/>
      <w:bCs/>
      <w:sz w:val="26"/>
      <w:szCs w:val="26"/>
    </w:rPr>
  </w:style>
  <w:style w:type="paragraph" w:styleId="Heading2">
    <w:name w:val="heading 2"/>
    <w:uiPriority w:val="9"/>
    <w:unhideWhenUsed/>
    <w:qFormat/>
    <w:pPr>
      <w:spacing w:before="280" w:after="120"/>
      <w:outlineLvl w:val="1"/>
    </w:pPr>
    <w:rPr>
      <w:rFonts w:ascii="Arial" w:eastAsia="Arial" w:hAnsi="Arial" w:cs="Arial"/>
      <w:b/>
      <w:bCs/>
      <w:i/>
      <w:iCs/>
      <w:sz w:val="23"/>
      <w:szCs w:val="23"/>
    </w:rPr>
  </w:style>
  <w:style w:type="paragraph" w:styleId="Heading3">
    <w:name w:val="heading 3"/>
    <w:uiPriority w:val="9"/>
    <w:semiHidden/>
    <w:unhideWhenUsed/>
    <w:qFormat/>
    <w:pPr>
      <w:spacing w:before="200" w:after="80"/>
      <w:outlineLvl w:val="2"/>
    </w:pPr>
    <w:rPr>
      <w:rFonts w:ascii="Arial" w:eastAsia="Arial" w:hAnsi="Arial" w:cs="Arial"/>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10B80"/>
    <w:pPr>
      <w:tabs>
        <w:tab w:val="center" w:pos="4680"/>
        <w:tab w:val="right" w:pos="9360"/>
      </w:tabs>
    </w:pPr>
  </w:style>
  <w:style w:type="character" w:customStyle="1" w:styleId="HeaderChar">
    <w:name w:val="Header Char"/>
    <w:basedOn w:val="DefaultParagraphFont"/>
    <w:link w:val="Header"/>
    <w:uiPriority w:val="99"/>
    <w:rsid w:val="00210B80"/>
  </w:style>
  <w:style w:type="paragraph" w:styleId="Footer">
    <w:name w:val="footer"/>
    <w:basedOn w:val="Normal"/>
    <w:link w:val="FooterChar"/>
    <w:uiPriority w:val="99"/>
    <w:unhideWhenUsed/>
    <w:rsid w:val="00210B80"/>
    <w:pPr>
      <w:tabs>
        <w:tab w:val="center" w:pos="4680"/>
        <w:tab w:val="right" w:pos="9360"/>
      </w:tabs>
    </w:pPr>
  </w:style>
  <w:style w:type="character" w:customStyle="1" w:styleId="FooterChar">
    <w:name w:val="Footer Char"/>
    <w:basedOn w:val="DefaultParagraphFont"/>
    <w:link w:val="Footer"/>
    <w:uiPriority w:val="99"/>
    <w:rsid w:val="00210B80"/>
  </w:style>
  <w:style w:type="character" w:styleId="UnresolvedMention">
    <w:name w:val="Unresolved Mention"/>
    <w:basedOn w:val="DefaultParagraphFont"/>
    <w:uiPriority w:val="99"/>
    <w:semiHidden/>
    <w:unhideWhenUsed/>
    <w:rsid w:val="0087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5313</Words>
  <Characters>32468</Characters>
  <Application>Microsoft Office Word</Application>
  <DocSecurity>0</DocSecurity>
  <Lines>579</Lines>
  <Paragraphs>251</Paragraphs>
  <ScaleCrop>false</ScaleCrop>
  <Company/>
  <LinksUpToDate>false</LinksUpToDate>
  <CharactersWithSpaces>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dcterms:created xsi:type="dcterms:W3CDTF">2026-05-24T20:39:00Z</dcterms:created>
  <dcterms:modified xsi:type="dcterms:W3CDTF">2026-05-24T20:49:00Z</dcterms:modified>
</cp:coreProperties>
</file>