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74D9" w14:textId="77777777" w:rsidR="005435E2" w:rsidRDefault="00000000">
      <w:pPr>
        <w:spacing w:after="180"/>
        <w:jc w:val="center"/>
      </w:pPr>
      <w:r>
        <w:rPr>
          <w:rFonts w:ascii="Arial" w:eastAsia="Arial" w:hAnsi="Arial" w:cs="Arial"/>
          <w:b/>
          <w:bCs/>
          <w:sz w:val="40"/>
          <w:szCs w:val="40"/>
        </w:rPr>
        <w:t xml:space="preserve">The Woman from </w:t>
      </w:r>
      <w:proofErr w:type="spellStart"/>
      <w:r>
        <w:rPr>
          <w:rFonts w:ascii="Arial" w:eastAsia="Arial" w:hAnsi="Arial" w:cs="Arial"/>
          <w:b/>
          <w:bCs/>
          <w:sz w:val="40"/>
          <w:szCs w:val="40"/>
        </w:rPr>
        <w:t>Rakhigarhi</w:t>
      </w:r>
      <w:proofErr w:type="spellEnd"/>
      <w:r>
        <w:rPr>
          <w:rFonts w:ascii="Arial" w:eastAsia="Arial" w:hAnsi="Arial" w:cs="Arial"/>
          <w:b/>
          <w:bCs/>
          <w:sz w:val="40"/>
          <w:szCs w:val="40"/>
        </w:rPr>
        <w:t>:</w:t>
      </w:r>
    </w:p>
    <w:p w14:paraId="756D8AE9" w14:textId="77777777" w:rsidR="005435E2" w:rsidRDefault="00000000">
      <w:pPr>
        <w:spacing w:after="120"/>
        <w:jc w:val="center"/>
      </w:pPr>
      <w:r>
        <w:rPr>
          <w:rFonts w:ascii="Arial" w:eastAsia="Arial" w:hAnsi="Arial" w:cs="Arial"/>
          <w:b/>
          <w:bCs/>
          <w:sz w:val="28"/>
          <w:szCs w:val="28"/>
        </w:rPr>
        <w:t>Ancient Genome I6113, IVC Human Mobility, and the Genomic Foundations of Eurasian Trade</w:t>
      </w:r>
    </w:p>
    <w:p w14:paraId="067703EF" w14:textId="77777777" w:rsidR="005435E2" w:rsidRDefault="00000000">
      <w:pPr>
        <w:spacing w:after="80"/>
        <w:jc w:val="center"/>
        <w:rPr>
          <w:rFonts w:ascii="Arial" w:eastAsia="Arial" w:hAnsi="Arial" w:cs="Arial"/>
          <w:i/>
          <w:iCs/>
          <w:color w:val="595959"/>
          <w:sz w:val="23"/>
          <w:szCs w:val="23"/>
        </w:rPr>
      </w:pPr>
      <w:r>
        <w:rPr>
          <w:rFonts w:ascii="Arial" w:eastAsia="Arial" w:hAnsi="Arial" w:cs="Arial"/>
          <w:i/>
          <w:iCs/>
          <w:color w:val="595959"/>
          <w:sz w:val="23"/>
          <w:szCs w:val="23"/>
        </w:rPr>
        <w:t>A Deep Symbolic Systems Model (DSSM) Analysis</w:t>
      </w:r>
    </w:p>
    <w:p w14:paraId="16C7B0A1" w14:textId="77777777" w:rsidR="00B77A84" w:rsidRDefault="00B77A84">
      <w:pPr>
        <w:spacing w:after="80"/>
        <w:jc w:val="center"/>
        <w:rPr>
          <w:rFonts w:ascii="Arial" w:eastAsia="Arial" w:hAnsi="Arial" w:cs="Arial"/>
          <w:i/>
          <w:iCs/>
          <w:color w:val="595959"/>
          <w:sz w:val="23"/>
          <w:szCs w:val="23"/>
        </w:rPr>
      </w:pPr>
    </w:p>
    <w:p w14:paraId="12E7BB01" w14:textId="77777777" w:rsidR="00B77A84" w:rsidRDefault="00B77A84">
      <w:pPr>
        <w:spacing w:after="80"/>
        <w:jc w:val="center"/>
        <w:rPr>
          <w:rFonts w:ascii="Arial" w:eastAsia="Arial" w:hAnsi="Arial" w:cs="Arial"/>
          <w:i/>
          <w:iCs/>
          <w:color w:val="595959"/>
          <w:sz w:val="23"/>
          <w:szCs w:val="23"/>
        </w:rPr>
      </w:pPr>
    </w:p>
    <w:p w14:paraId="48C9B4E2" w14:textId="77777777" w:rsidR="00B77A84" w:rsidRDefault="00B77A84">
      <w:pPr>
        <w:spacing w:after="80"/>
        <w:jc w:val="center"/>
        <w:rPr>
          <w:rFonts w:ascii="Arial" w:eastAsia="Arial" w:hAnsi="Arial" w:cs="Arial"/>
          <w:i/>
          <w:iCs/>
          <w:color w:val="595959"/>
          <w:sz w:val="23"/>
          <w:szCs w:val="23"/>
        </w:rPr>
      </w:pPr>
    </w:p>
    <w:p w14:paraId="44179AEF" w14:textId="77777777" w:rsidR="00B77A84" w:rsidRDefault="00B77A84">
      <w:pPr>
        <w:spacing w:after="80"/>
        <w:jc w:val="center"/>
        <w:rPr>
          <w:rFonts w:ascii="Arial" w:eastAsia="Arial" w:hAnsi="Arial" w:cs="Arial"/>
          <w:i/>
          <w:iCs/>
          <w:color w:val="595959"/>
          <w:sz w:val="23"/>
          <w:szCs w:val="23"/>
        </w:rPr>
      </w:pPr>
    </w:p>
    <w:p w14:paraId="04D94BC7" w14:textId="77777777" w:rsidR="00B77A84" w:rsidRDefault="00B77A84">
      <w:pPr>
        <w:spacing w:after="80"/>
        <w:jc w:val="center"/>
        <w:rPr>
          <w:rFonts w:ascii="Arial" w:eastAsia="Arial" w:hAnsi="Arial" w:cs="Arial"/>
          <w:i/>
          <w:iCs/>
          <w:color w:val="595959"/>
          <w:sz w:val="23"/>
          <w:szCs w:val="23"/>
        </w:rPr>
      </w:pPr>
    </w:p>
    <w:p w14:paraId="7A8BFD45" w14:textId="77777777" w:rsidR="00B77A84" w:rsidRDefault="00B77A84">
      <w:pPr>
        <w:spacing w:after="80"/>
        <w:jc w:val="center"/>
        <w:rPr>
          <w:rFonts w:ascii="Arial" w:eastAsia="Arial" w:hAnsi="Arial" w:cs="Arial"/>
          <w:i/>
          <w:iCs/>
          <w:color w:val="595959"/>
          <w:sz w:val="23"/>
          <w:szCs w:val="23"/>
        </w:rPr>
      </w:pPr>
    </w:p>
    <w:p w14:paraId="3AA7D16C" w14:textId="77777777" w:rsidR="00B77A84" w:rsidRDefault="00B77A84">
      <w:pPr>
        <w:spacing w:after="80"/>
        <w:jc w:val="center"/>
        <w:rPr>
          <w:rFonts w:ascii="Arial" w:eastAsia="Arial" w:hAnsi="Arial" w:cs="Arial"/>
          <w:i/>
          <w:iCs/>
          <w:color w:val="595959"/>
          <w:sz w:val="23"/>
          <w:szCs w:val="23"/>
        </w:rPr>
      </w:pPr>
    </w:p>
    <w:p w14:paraId="256F6F2C" w14:textId="77777777" w:rsidR="00B77A84" w:rsidRDefault="00B77A84">
      <w:pPr>
        <w:spacing w:after="80"/>
        <w:jc w:val="center"/>
        <w:rPr>
          <w:rFonts w:ascii="Arial" w:eastAsia="Arial" w:hAnsi="Arial" w:cs="Arial"/>
          <w:i/>
          <w:iCs/>
          <w:color w:val="595959"/>
          <w:sz w:val="23"/>
          <w:szCs w:val="23"/>
        </w:rPr>
      </w:pPr>
    </w:p>
    <w:p w14:paraId="4B62E7A1" w14:textId="77777777" w:rsidR="00B77A84" w:rsidRDefault="00B77A84">
      <w:pPr>
        <w:spacing w:after="80"/>
        <w:jc w:val="center"/>
        <w:rPr>
          <w:rFonts w:ascii="Arial" w:eastAsia="Arial" w:hAnsi="Arial" w:cs="Arial"/>
          <w:i/>
          <w:iCs/>
          <w:color w:val="595959"/>
          <w:sz w:val="23"/>
          <w:szCs w:val="23"/>
        </w:rPr>
      </w:pPr>
    </w:p>
    <w:p w14:paraId="04A5645F" w14:textId="77777777" w:rsidR="00B77A84" w:rsidRDefault="00B77A84">
      <w:pPr>
        <w:spacing w:after="80"/>
        <w:jc w:val="center"/>
        <w:rPr>
          <w:rFonts w:ascii="Arial" w:eastAsia="Arial" w:hAnsi="Arial" w:cs="Arial"/>
          <w:i/>
          <w:iCs/>
          <w:color w:val="595959"/>
          <w:sz w:val="23"/>
          <w:szCs w:val="23"/>
        </w:rPr>
      </w:pPr>
    </w:p>
    <w:p w14:paraId="4E61C6E3" w14:textId="77777777" w:rsidR="00B77A84" w:rsidRDefault="00B77A84">
      <w:pPr>
        <w:spacing w:after="80"/>
        <w:jc w:val="center"/>
        <w:rPr>
          <w:rFonts w:ascii="Arial" w:eastAsia="Arial" w:hAnsi="Arial" w:cs="Arial"/>
          <w:i/>
          <w:iCs/>
          <w:color w:val="595959"/>
          <w:sz w:val="23"/>
          <w:szCs w:val="23"/>
        </w:rPr>
      </w:pPr>
    </w:p>
    <w:p w14:paraId="632E07B5" w14:textId="77777777" w:rsidR="00B77A84" w:rsidRDefault="00B77A84">
      <w:pPr>
        <w:spacing w:after="80"/>
        <w:jc w:val="center"/>
        <w:rPr>
          <w:rFonts w:ascii="Arial" w:eastAsia="Arial" w:hAnsi="Arial" w:cs="Arial"/>
          <w:i/>
          <w:iCs/>
          <w:color w:val="595959"/>
          <w:sz w:val="23"/>
          <w:szCs w:val="23"/>
        </w:rPr>
      </w:pPr>
    </w:p>
    <w:p w14:paraId="7B2FA9EA" w14:textId="77777777" w:rsidR="00B77A84" w:rsidRDefault="00B77A84">
      <w:pPr>
        <w:spacing w:after="80"/>
        <w:jc w:val="center"/>
        <w:rPr>
          <w:rFonts w:ascii="Arial" w:eastAsia="Arial" w:hAnsi="Arial" w:cs="Arial"/>
          <w:i/>
          <w:iCs/>
          <w:color w:val="595959"/>
          <w:sz w:val="23"/>
          <w:szCs w:val="23"/>
        </w:rPr>
      </w:pPr>
    </w:p>
    <w:p w14:paraId="1A7EA72E" w14:textId="538D557F" w:rsidR="00B77A84" w:rsidRDefault="00C70979">
      <w:pPr>
        <w:spacing w:after="80"/>
        <w:jc w:val="center"/>
        <w:rPr>
          <w:rFonts w:ascii="Arial" w:eastAsia="Arial" w:hAnsi="Arial" w:cs="Arial"/>
          <w:i/>
          <w:iCs/>
          <w:color w:val="595959"/>
          <w:sz w:val="23"/>
          <w:szCs w:val="23"/>
        </w:rPr>
      </w:pPr>
      <w:r>
        <w:rPr>
          <w:rFonts w:ascii="Arial" w:eastAsia="Arial" w:hAnsi="Arial" w:cs="Arial"/>
          <w:i/>
          <w:iCs/>
          <w:color w:val="595959"/>
          <w:sz w:val="23"/>
          <w:szCs w:val="23"/>
        </w:rPr>
        <w:t xml:space="preserve">2026 </w:t>
      </w:r>
      <w:proofErr w:type="spellStart"/>
      <w:r>
        <w:rPr>
          <w:rFonts w:ascii="Arial" w:eastAsia="Arial" w:hAnsi="Arial" w:cs="Arial"/>
          <w:i/>
          <w:iCs/>
          <w:color w:val="595959"/>
          <w:sz w:val="23"/>
          <w:szCs w:val="23"/>
        </w:rPr>
        <w:t>Zenodo</w:t>
      </w:r>
      <w:proofErr w:type="spellEnd"/>
      <w:r>
        <w:rPr>
          <w:rFonts w:ascii="Arial" w:eastAsia="Arial" w:hAnsi="Arial" w:cs="Arial"/>
          <w:i/>
          <w:iCs/>
          <w:color w:val="595959"/>
          <w:sz w:val="23"/>
          <w:szCs w:val="23"/>
        </w:rPr>
        <w:t xml:space="preserve"> </w:t>
      </w:r>
      <w:proofErr w:type="gramStart"/>
      <w:r>
        <w:rPr>
          <w:rFonts w:ascii="Arial" w:eastAsia="Arial" w:hAnsi="Arial" w:cs="Arial"/>
          <w:i/>
          <w:iCs/>
          <w:color w:val="595959"/>
          <w:sz w:val="23"/>
          <w:szCs w:val="23"/>
        </w:rPr>
        <w:t>( CERN</w:t>
      </w:r>
      <w:proofErr w:type="gramEnd"/>
      <w:r>
        <w:rPr>
          <w:rFonts w:ascii="Arial" w:eastAsia="Arial" w:hAnsi="Arial" w:cs="Arial"/>
          <w:i/>
          <w:iCs/>
          <w:color w:val="595959"/>
          <w:sz w:val="23"/>
          <w:szCs w:val="23"/>
        </w:rPr>
        <w:t xml:space="preserve"> ) Publication</w:t>
      </w:r>
    </w:p>
    <w:p w14:paraId="0FB1ADCE" w14:textId="5EB865CC" w:rsidR="00C70979" w:rsidRDefault="00C70979">
      <w:pPr>
        <w:spacing w:after="80"/>
        <w:jc w:val="center"/>
        <w:rPr>
          <w:rFonts w:ascii="Arial" w:eastAsia="Arial" w:hAnsi="Arial" w:cs="Arial"/>
          <w:i/>
          <w:iCs/>
          <w:color w:val="595959"/>
          <w:sz w:val="23"/>
          <w:szCs w:val="23"/>
        </w:rPr>
      </w:pPr>
      <w:r>
        <w:rPr>
          <w:rFonts w:ascii="Arial" w:eastAsia="Arial" w:hAnsi="Arial" w:cs="Arial"/>
          <w:i/>
          <w:iCs/>
          <w:color w:val="595959"/>
          <w:sz w:val="23"/>
          <w:szCs w:val="23"/>
        </w:rPr>
        <w:fldChar w:fldCharType="begin"/>
      </w:r>
      <w:r>
        <w:rPr>
          <w:rFonts w:ascii="Arial" w:eastAsia="Arial" w:hAnsi="Arial" w:cs="Arial"/>
          <w:i/>
          <w:iCs/>
          <w:color w:val="595959"/>
          <w:sz w:val="23"/>
          <w:szCs w:val="23"/>
        </w:rPr>
        <w:instrText>HYPERLINK "</w:instrText>
      </w:r>
      <w:r w:rsidRPr="00C70979">
        <w:rPr>
          <w:rFonts w:ascii="Arial" w:eastAsia="Arial" w:hAnsi="Arial" w:cs="Arial"/>
          <w:i/>
          <w:iCs/>
          <w:color w:val="595959"/>
          <w:sz w:val="23"/>
          <w:szCs w:val="23"/>
        </w:rPr>
        <w:instrText>https://doi.org/10.5281/zenodo.20369712</w:instrText>
      </w:r>
      <w:r>
        <w:rPr>
          <w:rFonts w:ascii="Arial" w:eastAsia="Arial" w:hAnsi="Arial" w:cs="Arial"/>
          <w:i/>
          <w:iCs/>
          <w:color w:val="595959"/>
          <w:sz w:val="23"/>
          <w:szCs w:val="23"/>
        </w:rPr>
        <w:instrText>"</w:instrText>
      </w:r>
      <w:r>
        <w:rPr>
          <w:rFonts w:ascii="Arial" w:eastAsia="Arial" w:hAnsi="Arial" w:cs="Arial"/>
          <w:i/>
          <w:iCs/>
          <w:color w:val="595959"/>
          <w:sz w:val="23"/>
          <w:szCs w:val="23"/>
        </w:rPr>
        <w:fldChar w:fldCharType="separate"/>
      </w:r>
      <w:r w:rsidRPr="00B230AA">
        <w:rPr>
          <w:rStyle w:val="Hyperlink"/>
          <w:rFonts w:ascii="Arial" w:eastAsia="Arial" w:hAnsi="Arial" w:cs="Arial"/>
          <w:i/>
          <w:iCs/>
          <w:sz w:val="23"/>
          <w:szCs w:val="23"/>
        </w:rPr>
        <w:t>https://doi.org/10.5281/zenodo.20369712</w:t>
      </w:r>
      <w:r>
        <w:rPr>
          <w:rFonts w:ascii="Arial" w:eastAsia="Arial" w:hAnsi="Arial" w:cs="Arial"/>
          <w:i/>
          <w:iCs/>
          <w:color w:val="595959"/>
          <w:sz w:val="23"/>
          <w:szCs w:val="23"/>
        </w:rPr>
        <w:fldChar w:fldCharType="end"/>
      </w:r>
      <w:r>
        <w:rPr>
          <w:rFonts w:ascii="Arial" w:eastAsia="Arial" w:hAnsi="Arial" w:cs="Arial"/>
          <w:i/>
          <w:iCs/>
          <w:color w:val="595959"/>
          <w:sz w:val="23"/>
          <w:szCs w:val="23"/>
        </w:rPr>
        <w:t xml:space="preserve"> </w:t>
      </w:r>
    </w:p>
    <w:p w14:paraId="44EDF289" w14:textId="77777777" w:rsidR="00B77A84" w:rsidRDefault="00B77A84">
      <w:pPr>
        <w:spacing w:after="80"/>
        <w:jc w:val="center"/>
        <w:rPr>
          <w:rFonts w:ascii="Arial" w:eastAsia="Arial" w:hAnsi="Arial" w:cs="Arial"/>
          <w:i/>
          <w:iCs/>
          <w:color w:val="595959"/>
          <w:sz w:val="23"/>
          <w:szCs w:val="23"/>
        </w:rPr>
      </w:pPr>
    </w:p>
    <w:p w14:paraId="43D3E996" w14:textId="77777777" w:rsidR="00B77A84" w:rsidRDefault="00B77A84">
      <w:pPr>
        <w:spacing w:after="80"/>
        <w:jc w:val="center"/>
        <w:rPr>
          <w:rFonts w:ascii="Arial" w:eastAsia="Arial" w:hAnsi="Arial" w:cs="Arial"/>
          <w:i/>
          <w:iCs/>
          <w:color w:val="595959"/>
          <w:sz w:val="23"/>
          <w:szCs w:val="23"/>
        </w:rPr>
      </w:pPr>
    </w:p>
    <w:p w14:paraId="3E2D61D0" w14:textId="77777777" w:rsidR="00B77A84" w:rsidRDefault="00B77A84">
      <w:pPr>
        <w:spacing w:after="80"/>
        <w:jc w:val="center"/>
        <w:rPr>
          <w:rFonts w:ascii="Arial" w:eastAsia="Arial" w:hAnsi="Arial" w:cs="Arial"/>
          <w:i/>
          <w:iCs/>
          <w:color w:val="595959"/>
          <w:sz w:val="23"/>
          <w:szCs w:val="23"/>
        </w:rPr>
      </w:pPr>
    </w:p>
    <w:p w14:paraId="34CE32D0" w14:textId="77777777" w:rsidR="00B77A84" w:rsidRDefault="00B77A84">
      <w:pPr>
        <w:spacing w:after="80"/>
        <w:jc w:val="center"/>
        <w:rPr>
          <w:rFonts w:ascii="Arial" w:eastAsia="Arial" w:hAnsi="Arial" w:cs="Arial"/>
          <w:i/>
          <w:iCs/>
          <w:color w:val="595959"/>
          <w:sz w:val="23"/>
          <w:szCs w:val="23"/>
        </w:rPr>
      </w:pPr>
    </w:p>
    <w:p w14:paraId="024E0C98" w14:textId="77777777" w:rsidR="00B77A84" w:rsidRDefault="00B77A84">
      <w:pPr>
        <w:spacing w:after="80"/>
        <w:jc w:val="center"/>
        <w:rPr>
          <w:rFonts w:ascii="Arial" w:eastAsia="Arial" w:hAnsi="Arial" w:cs="Arial"/>
          <w:i/>
          <w:iCs/>
          <w:color w:val="595959"/>
          <w:sz w:val="23"/>
          <w:szCs w:val="23"/>
        </w:rPr>
      </w:pPr>
    </w:p>
    <w:p w14:paraId="1BE5CC61" w14:textId="77777777" w:rsidR="00B77A84" w:rsidRDefault="00B77A84">
      <w:pPr>
        <w:spacing w:after="80"/>
        <w:jc w:val="center"/>
        <w:rPr>
          <w:rFonts w:ascii="Arial" w:eastAsia="Arial" w:hAnsi="Arial" w:cs="Arial"/>
          <w:i/>
          <w:iCs/>
          <w:color w:val="595959"/>
          <w:sz w:val="23"/>
          <w:szCs w:val="23"/>
        </w:rPr>
      </w:pPr>
    </w:p>
    <w:p w14:paraId="4176C042" w14:textId="77777777" w:rsidR="00B77A84" w:rsidRDefault="00B77A84">
      <w:pPr>
        <w:spacing w:after="80"/>
        <w:jc w:val="center"/>
        <w:rPr>
          <w:rFonts w:ascii="Arial" w:eastAsia="Arial" w:hAnsi="Arial" w:cs="Arial"/>
          <w:i/>
          <w:iCs/>
          <w:color w:val="595959"/>
          <w:sz w:val="23"/>
          <w:szCs w:val="23"/>
        </w:rPr>
      </w:pPr>
    </w:p>
    <w:p w14:paraId="2206E8CB" w14:textId="77777777" w:rsidR="00B77A84" w:rsidRDefault="00B77A84">
      <w:pPr>
        <w:spacing w:after="80"/>
        <w:jc w:val="center"/>
        <w:rPr>
          <w:rFonts w:ascii="Arial" w:eastAsia="Arial" w:hAnsi="Arial" w:cs="Arial"/>
          <w:i/>
          <w:iCs/>
          <w:color w:val="595959"/>
          <w:sz w:val="23"/>
          <w:szCs w:val="23"/>
        </w:rPr>
      </w:pPr>
    </w:p>
    <w:p w14:paraId="4B63AC7B" w14:textId="77777777" w:rsidR="00B77A84" w:rsidRDefault="00B77A84">
      <w:pPr>
        <w:spacing w:after="80"/>
        <w:jc w:val="center"/>
        <w:rPr>
          <w:rFonts w:ascii="Arial" w:eastAsia="Arial" w:hAnsi="Arial" w:cs="Arial"/>
          <w:i/>
          <w:iCs/>
          <w:color w:val="595959"/>
          <w:sz w:val="23"/>
          <w:szCs w:val="23"/>
        </w:rPr>
      </w:pPr>
    </w:p>
    <w:p w14:paraId="3360F1E4" w14:textId="77777777" w:rsidR="00B77A84" w:rsidRDefault="00B77A84">
      <w:pPr>
        <w:spacing w:after="80"/>
        <w:jc w:val="center"/>
        <w:rPr>
          <w:rFonts w:ascii="Arial" w:eastAsia="Arial" w:hAnsi="Arial" w:cs="Arial"/>
          <w:i/>
          <w:iCs/>
          <w:color w:val="595959"/>
          <w:sz w:val="23"/>
          <w:szCs w:val="23"/>
        </w:rPr>
      </w:pPr>
    </w:p>
    <w:p w14:paraId="2B36BD51" w14:textId="77777777" w:rsidR="00B77A84" w:rsidRDefault="00B77A84">
      <w:pPr>
        <w:spacing w:after="80"/>
        <w:jc w:val="center"/>
      </w:pPr>
    </w:p>
    <w:p w14:paraId="1EDEA1E5" w14:textId="77777777" w:rsidR="005435E2" w:rsidRDefault="005435E2">
      <w:pPr>
        <w:spacing w:after="240"/>
      </w:pPr>
    </w:p>
    <w:p w14:paraId="5DF59F43" w14:textId="77777777" w:rsidR="005435E2" w:rsidRDefault="00000000">
      <w:pPr>
        <w:pBdr>
          <w:top w:val="single" w:sz="4" w:space="4" w:color="000000"/>
          <w:bottom w:val="single" w:sz="4" w:space="4" w:color="000000"/>
        </w:pBdr>
        <w:spacing w:after="60"/>
        <w:jc w:val="center"/>
      </w:pPr>
      <w:r>
        <w:rPr>
          <w:rFonts w:ascii="Arial" w:eastAsia="Arial" w:hAnsi="Arial" w:cs="Arial"/>
          <w:b/>
          <w:bCs/>
          <w:sz w:val="24"/>
          <w:szCs w:val="24"/>
        </w:rPr>
        <w:t>Anthony Vondoom</w:t>
      </w:r>
    </w:p>
    <w:p w14:paraId="32EBBBB6" w14:textId="77777777" w:rsidR="005435E2" w:rsidRDefault="00000000">
      <w:pPr>
        <w:spacing w:before="60" w:after="40"/>
        <w:jc w:val="center"/>
      </w:pPr>
      <w:r>
        <w:rPr>
          <w:rFonts w:ascii="Arial" w:eastAsia="Arial" w:hAnsi="Arial" w:cs="Arial"/>
          <w:color w:val="595959"/>
          <w:sz w:val="18"/>
          <w:szCs w:val="18"/>
        </w:rPr>
        <w:t xml:space="preserve">Independent </w:t>
      </w:r>
      <w:proofErr w:type="gramStart"/>
      <w:r>
        <w:rPr>
          <w:rFonts w:ascii="Arial" w:eastAsia="Arial" w:hAnsi="Arial" w:cs="Arial"/>
          <w:color w:val="595959"/>
          <w:sz w:val="18"/>
          <w:szCs w:val="18"/>
        </w:rPr>
        <w:t>Researcher  |</w:t>
      </w:r>
      <w:proofErr w:type="gramEnd"/>
      <w:r>
        <w:rPr>
          <w:rFonts w:ascii="Arial" w:eastAsia="Arial" w:hAnsi="Arial" w:cs="Arial"/>
          <w:color w:val="595959"/>
          <w:sz w:val="18"/>
          <w:szCs w:val="18"/>
        </w:rPr>
        <w:t xml:space="preserve">  ORCID: 0009-0003-4953-</w:t>
      </w:r>
      <w:proofErr w:type="gramStart"/>
      <w:r>
        <w:rPr>
          <w:rFonts w:ascii="Arial" w:eastAsia="Arial" w:hAnsi="Arial" w:cs="Arial"/>
          <w:color w:val="595959"/>
          <w:sz w:val="18"/>
          <w:szCs w:val="18"/>
        </w:rPr>
        <w:t>1427  |</w:t>
      </w:r>
      <w:proofErr w:type="gramEnd"/>
      <w:r>
        <w:rPr>
          <w:rFonts w:ascii="Arial" w:eastAsia="Arial" w:hAnsi="Arial" w:cs="Arial"/>
          <w:color w:val="595959"/>
          <w:sz w:val="18"/>
          <w:szCs w:val="18"/>
        </w:rPr>
        <w:t xml:space="preserve">  anthony.vondoom@outlook.com</w:t>
      </w:r>
    </w:p>
    <w:p w14:paraId="188CFDF3" w14:textId="615AEF8C" w:rsidR="005435E2" w:rsidRDefault="00000000">
      <w:pPr>
        <w:spacing w:after="40"/>
        <w:jc w:val="center"/>
      </w:pPr>
      <w:r>
        <w:rPr>
          <w:rFonts w:ascii="Arial" w:eastAsia="Arial" w:hAnsi="Arial" w:cs="Arial"/>
          <w:i/>
          <w:iCs/>
          <w:color w:val="595959"/>
          <w:sz w:val="18"/>
          <w:szCs w:val="18"/>
        </w:rPr>
        <w:t>Deep Symbolic Systems Model (</w:t>
      </w:r>
      <w:proofErr w:type="gramStart"/>
      <w:r>
        <w:rPr>
          <w:rFonts w:ascii="Arial" w:eastAsia="Arial" w:hAnsi="Arial" w:cs="Arial"/>
          <w:i/>
          <w:iCs/>
          <w:color w:val="595959"/>
          <w:sz w:val="18"/>
          <w:szCs w:val="18"/>
        </w:rPr>
        <w:t>DSSM</w:t>
      </w:r>
      <w:r w:rsidR="00B77A84">
        <w:rPr>
          <w:rFonts w:ascii="Arial" w:eastAsia="Arial" w:hAnsi="Arial" w:cs="Arial"/>
          <w:i/>
          <w:iCs/>
          <w:color w:val="595959"/>
          <w:sz w:val="18"/>
          <w:szCs w:val="18"/>
        </w:rPr>
        <w:t>)</w:t>
      </w:r>
      <w:r>
        <w:rPr>
          <w:rFonts w:ascii="Arial" w:eastAsia="Arial" w:hAnsi="Arial" w:cs="Arial"/>
          <w:i/>
          <w:iCs/>
          <w:color w:val="595959"/>
          <w:sz w:val="18"/>
          <w:szCs w:val="18"/>
        </w:rPr>
        <w:t xml:space="preserve">  |</w:t>
      </w:r>
      <w:proofErr w:type="gramEnd"/>
      <w:r>
        <w:rPr>
          <w:rFonts w:ascii="Arial" w:eastAsia="Arial" w:hAnsi="Arial" w:cs="Arial"/>
          <w:i/>
          <w:iCs/>
          <w:color w:val="595959"/>
          <w:sz w:val="18"/>
          <w:szCs w:val="18"/>
        </w:rPr>
        <w:t xml:space="preserve">  </w:t>
      </w:r>
      <w:proofErr w:type="gramStart"/>
      <w:r>
        <w:rPr>
          <w:rFonts w:ascii="Arial" w:eastAsia="Arial" w:hAnsi="Arial" w:cs="Arial"/>
          <w:i/>
          <w:iCs/>
          <w:color w:val="595959"/>
          <w:sz w:val="18"/>
          <w:szCs w:val="18"/>
        </w:rPr>
        <w:t>2026  |</w:t>
      </w:r>
      <w:proofErr w:type="gramEnd"/>
      <w:r>
        <w:rPr>
          <w:rFonts w:ascii="Arial" w:eastAsia="Arial" w:hAnsi="Arial" w:cs="Arial"/>
          <w:i/>
          <w:iCs/>
          <w:color w:val="595959"/>
          <w:sz w:val="18"/>
          <w:szCs w:val="18"/>
        </w:rPr>
        <w:t xml:space="preserve">  CC BY 4.0</w:t>
      </w:r>
    </w:p>
    <w:p w14:paraId="73F71C08" w14:textId="77777777" w:rsidR="005435E2" w:rsidRDefault="00000000">
      <w:pPr>
        <w:spacing w:after="280"/>
        <w:jc w:val="center"/>
      </w:pPr>
      <w:r>
        <w:rPr>
          <w:i/>
          <w:iCs/>
          <w:color w:val="595959"/>
          <w:sz w:val="18"/>
          <w:szCs w:val="18"/>
        </w:rPr>
        <w:t>AI Disclosure: The author used Claude (Anthropic) to assist with drafting, editing, and improving clarity of certain sections. The author takes full intellectual responsibility for all theoretical claims, frameworks, and conclusions presented herein.</w:t>
      </w:r>
    </w:p>
    <w:p w14:paraId="69FB470E" w14:textId="77777777" w:rsidR="005435E2" w:rsidRDefault="00000000">
      <w:pPr>
        <w:pStyle w:val="Heading1"/>
        <w:pBdr>
          <w:bottom w:val="single" w:sz="6" w:space="4" w:color="000000"/>
        </w:pBdr>
      </w:pPr>
      <w:r>
        <w:lastRenderedPageBreak/>
        <w:t>Abstract</w:t>
      </w:r>
    </w:p>
    <w:p w14:paraId="67E1D05B" w14:textId="77777777" w:rsidR="005435E2" w:rsidRDefault="00000000">
      <w:pPr>
        <w:spacing w:after="140" w:line="276" w:lineRule="auto"/>
        <w:jc w:val="both"/>
      </w:pPr>
      <w:r>
        <w:t xml:space="preserve">In 2019, a team led by Vasant Shinde (Deccan College, Pune) and David Reich (Harvard University) published the first successfully sequenced ancient genome from the Indus Valley Civilization (IVC). The individual — designated </w:t>
      </w:r>
      <w:r>
        <w:rPr>
          <w:b/>
          <w:bCs/>
        </w:rPr>
        <w:t>I6113</w:t>
      </w:r>
      <w:r>
        <w:t xml:space="preserve">, a woman approximately 35 years old, buried at the </w:t>
      </w:r>
      <w:proofErr w:type="spellStart"/>
      <w:r>
        <w:t>Rakhigarhi</w:t>
      </w:r>
      <w:proofErr w:type="spellEnd"/>
      <w:r>
        <w:t xml:space="preserve"> cemetery (Mound RGR-7, Haryana, India) around 2500 BCE — required 61 skeletal samples, years of extraction attempts, and over 100 sequencing runs before yielding viable ancient DNA (Shinde et al., 2019). The result, published in </w:t>
      </w:r>
      <w:r>
        <w:rPr>
          <w:i/>
          <w:iCs/>
        </w:rPr>
        <w:t>Cell</w:t>
      </w:r>
      <w:r>
        <w:t xml:space="preserve">, constitutes one of the most consequential ancient genomics findings of the twenty-first century. This paper presents a structured DSSM analysis of what the </w:t>
      </w:r>
      <w:proofErr w:type="spellStart"/>
      <w:r>
        <w:t>Rakhigarhi</w:t>
      </w:r>
      <w:proofErr w:type="spellEnd"/>
      <w:r>
        <w:t xml:space="preserve"> genome proves, what it rules out, and what it implies for understanding IVC as a network civilization rather than an isolated urban culture.</w:t>
      </w:r>
    </w:p>
    <w:p w14:paraId="5D031EF4" w14:textId="77777777" w:rsidR="005435E2" w:rsidRDefault="00000000">
      <w:pPr>
        <w:spacing w:after="140" w:line="276" w:lineRule="auto"/>
        <w:jc w:val="both"/>
      </w:pPr>
      <w:r>
        <w:t xml:space="preserve">Three findings are analytically decisive. First, I6113's ancestry is best modeled as a mixture of ancient Iranian-related populations and Ancient Ancestral South Indians (AASI) — with the Iranian-related lineage diverging from Iranian plateau populations over 12,000 years ago, ruling out any large-scale westward migration into IVC (Shinde et al., 2019; Narasimhan et al., 2019). Second, I6113 carries </w:t>
      </w:r>
      <w:r>
        <w:rPr>
          <w:b/>
          <w:bCs/>
        </w:rPr>
        <w:t>zero</w:t>
      </w:r>
      <w:r>
        <w:t xml:space="preserve"> steppe pastoralist ancestry and </w:t>
      </w:r>
      <w:r>
        <w:rPr>
          <w:b/>
          <w:bCs/>
        </w:rPr>
        <w:t>zero</w:t>
      </w:r>
      <w:r>
        <w:t xml:space="preserve"> Anatolian farmer ancestry — establishing that the IVC was an indigenously developed civilization not constituted by external demographic replacement (Shinde et al., 2019; Reich, 2018). Third: eleven individuals at non-IVC sites in Turkmenistan (</w:t>
      </w:r>
      <w:proofErr w:type="spellStart"/>
      <w:r>
        <w:t>Gonur</w:t>
      </w:r>
      <w:proofErr w:type="spellEnd"/>
      <w:r>
        <w:t xml:space="preserve"> Depe) and Iran (Shahr-</w:t>
      </w:r>
      <w:proofErr w:type="spellStart"/>
      <w:r>
        <w:t>i</w:t>
      </w:r>
      <w:proofErr w:type="spellEnd"/>
      <w:r>
        <w:t>-</w:t>
      </w:r>
      <w:proofErr w:type="spellStart"/>
      <w:r>
        <w:t>Sokhta</w:t>
      </w:r>
      <w:proofErr w:type="spellEnd"/>
      <w:r>
        <w:t>) carry IVC-cline ancestry identical to I6113 — with three independent lines of evidence confirming outward movement from South Asia (Narasimhan et al., 2019). Under the Deep Symbolic Systems Model, these findings transform the interpretation of IVC from a bounded urban civilization into a Stage IV distributed symbolic system with a documented human diaspora operating across the Middle Asian Interaction Sphere (Possehl, 2007; Vondoom, 2026b). The paper further argues that the approximately 25% IVC-cline frequency at these sites constitutes a population signal — evidence of resident communities rather than transient traders — and that this distributed human carrier network is the mechanism through which IVC metrological standards were maintained across thousands of kilometers without detectable central enforcement, and through which the symbolic system survived the collapse of the civilization that created it.</w:t>
      </w:r>
    </w:p>
    <w:p w14:paraId="5BC7660F" w14:textId="77777777" w:rsidR="005435E2" w:rsidRDefault="00000000">
      <w:pPr>
        <w:spacing w:before="100" w:after="200"/>
      </w:pPr>
      <w:r>
        <w:rPr>
          <w:b/>
          <w:bCs/>
        </w:rPr>
        <w:t xml:space="preserve">Keywords: </w:t>
      </w:r>
      <w:proofErr w:type="spellStart"/>
      <w:r>
        <w:rPr>
          <w:i/>
          <w:iCs/>
        </w:rPr>
        <w:t>Rakhigarhi</w:t>
      </w:r>
      <w:proofErr w:type="spellEnd"/>
      <w:r>
        <w:rPr>
          <w:i/>
          <w:iCs/>
        </w:rPr>
        <w:t xml:space="preserve">, I6113, ancient DNA, IVC, Harappan, AASI, ancient Iranian ancestry, steppe pastoralists, </w:t>
      </w:r>
      <w:proofErr w:type="spellStart"/>
      <w:r>
        <w:rPr>
          <w:i/>
          <w:iCs/>
        </w:rPr>
        <w:t>Gonur</w:t>
      </w:r>
      <w:proofErr w:type="spellEnd"/>
      <w:r>
        <w:rPr>
          <w:i/>
          <w:iCs/>
        </w:rPr>
        <w:t xml:space="preserve"> Depe, Shahr-</w:t>
      </w:r>
      <w:proofErr w:type="spellStart"/>
      <w:r>
        <w:rPr>
          <w:i/>
          <w:iCs/>
        </w:rPr>
        <w:t>i</w:t>
      </w:r>
      <w:proofErr w:type="spellEnd"/>
      <w:r>
        <w:rPr>
          <w:i/>
          <w:iCs/>
        </w:rPr>
        <w:t>-</w:t>
      </w:r>
      <w:proofErr w:type="spellStart"/>
      <w:r>
        <w:rPr>
          <w:i/>
          <w:iCs/>
        </w:rPr>
        <w:t>Sokhta</w:t>
      </w:r>
      <w:proofErr w:type="spellEnd"/>
      <w:r>
        <w:rPr>
          <w:i/>
          <w:iCs/>
        </w:rPr>
        <w:t>, BMAC, Middle Asian Interaction Sphere, DSSM, trade network, human mobility, ancient genomics, South Asian prehistory</w:t>
      </w:r>
    </w:p>
    <w:p w14:paraId="0BA32B1D" w14:textId="77777777" w:rsidR="005435E2" w:rsidRDefault="00000000">
      <w:pPr>
        <w:pStyle w:val="Heading1"/>
        <w:pBdr>
          <w:bottom w:val="single" w:sz="6" w:space="4" w:color="000000"/>
        </w:pBdr>
      </w:pPr>
      <w:r>
        <w:t>1. The Technical Achievement: Why This Genome Matters</w:t>
      </w:r>
    </w:p>
    <w:p w14:paraId="0DB9ACF6" w14:textId="77777777" w:rsidR="005435E2" w:rsidRDefault="00000000">
      <w:pPr>
        <w:spacing w:after="140" w:line="276" w:lineRule="auto"/>
        <w:jc w:val="both"/>
      </w:pPr>
      <w:r>
        <w:t xml:space="preserve">Ancient DNA extraction from tropical and subtropical sites is among the most technically demanding tasks in modern genomics. DNA degrades rapidly in warm, humid environments — the conditions that characterize most of South Asia. Of the world's major ancient civilizations, the IVC presented the greatest genomic challenge precisely because its heartland spans a region where organic preservation is systematically poor (Reich, 2018; Green et al., 2010). Collagen preservation at the </w:t>
      </w:r>
      <w:proofErr w:type="spellStart"/>
      <w:r>
        <w:t>Rakhigarhi</w:t>
      </w:r>
      <w:proofErr w:type="spellEnd"/>
      <w:r>
        <w:t xml:space="preserve"> cemetery was so degraded that Accelerator Mass Spectrometry (AMS) radiocarbon dating proved impossible — multiple attempts on I6113 specifically returned carbon-to-nitrogen ratios outside the viable range (Shinde et al., 2019). This failure of direct dating is itself diagnostic of the preservation environment and makes the genomic extraction </w:t>
      </w:r>
      <w:proofErr w:type="gramStart"/>
      <w:r>
        <w:t>all the more</w:t>
      </w:r>
      <w:proofErr w:type="gramEnd"/>
      <w:r>
        <w:t xml:space="preserve"> remarkable.</w:t>
      </w:r>
    </w:p>
    <w:p w14:paraId="272D2067" w14:textId="77777777" w:rsidR="005435E2" w:rsidRDefault="00000000">
      <w:pPr>
        <w:spacing w:after="140" w:line="276" w:lineRule="auto"/>
        <w:jc w:val="both"/>
      </w:pPr>
      <w:r>
        <w:t xml:space="preserve">The burial at </w:t>
      </w:r>
      <w:proofErr w:type="spellStart"/>
      <w:r>
        <w:t>Rakhigarhi</w:t>
      </w:r>
      <w:proofErr w:type="spellEnd"/>
      <w:r>
        <w:t xml:space="preserve"> was dated instead by archaeological context. The site contains evidence of human occupation only during the Harappan period, constrained by ceramic assemblages, settlement stratigraphy, and </w:t>
      </w:r>
      <w:r>
        <w:lastRenderedPageBreak/>
        <w:t>associated material culture (Shinde et al., 2019; Kenoyer, 1998; Possehl, 2002). The cemetery — Mound RGR-7, located approximately one kilometer from the main habitation area in accordance with standard Harappan burial practice — yielded sixty-one skeletons. Fifty-nine produced no viable genetic material. The sixtieth, I6113, was identified as a woman approximately thirty-five years of age, buried with ceramic vessels, agate and semi-precious stone beads, and bangles of copper, shell, and terracotta — the material signature of an affluent Harappan burial (Shinde et al., 2019; Kenoyer, 1998; Wright, 2010).</w:t>
      </w:r>
    </w:p>
    <w:p w14:paraId="0940CA64" w14:textId="77777777" w:rsidR="005435E2" w:rsidRDefault="00000000">
      <w:pPr>
        <w:spacing w:after="140" w:line="276" w:lineRule="auto"/>
        <w:jc w:val="both"/>
      </w:pPr>
      <w:r>
        <w:t xml:space="preserve">The extraction required over one hundred sequencing attempts and collaboration between laboratories in India (CCMB Hyderabad, Birbal Sahni Institute of </w:t>
      </w:r>
      <w:proofErr w:type="spellStart"/>
      <w:r>
        <w:t>Palaeosciences</w:t>
      </w:r>
      <w:proofErr w:type="spellEnd"/>
      <w:r>
        <w:t xml:space="preserve"> Lucknow), the United States (David Reich's laboratory at Harvard), and Korea, applying advanced techniques for separating genuine ancient DNA signal from modern contaminant noise — a pervasive problem in tropical samples (Dabney et al., 2013; Skoglund et al., 2014; Narasimhan et al., 2019). Authenticity filters included standard </w:t>
      </w:r>
      <w:proofErr w:type="spellStart"/>
      <w:r>
        <w:t>mapDamage</w:t>
      </w:r>
      <w:proofErr w:type="spellEnd"/>
      <w:r>
        <w:t xml:space="preserve"> analysis confirming characteristic cytosine-to-thymine substitution patterns at read termini (Briggs et al., 2007; Jónsson et al., 2013). The result was sequenced to sufficient genome-wide coverage for </w:t>
      </w:r>
      <w:proofErr w:type="spellStart"/>
      <w:r>
        <w:t>qpAdm</w:t>
      </w:r>
      <w:proofErr w:type="spellEnd"/>
      <w:r>
        <w:t xml:space="preserve"> and D-</w:t>
      </w:r>
      <w:proofErr w:type="spellStart"/>
      <w:r>
        <w:t>statistic</w:t>
      </w:r>
      <w:proofErr w:type="spellEnd"/>
      <w:r>
        <w:t xml:space="preserve"> analysis.</w:t>
      </w:r>
    </w:p>
    <w:p w14:paraId="15A10FEF" w14:textId="77777777" w:rsidR="005435E2" w:rsidRDefault="00000000">
      <w:pPr>
        <w:spacing w:after="140" w:line="276" w:lineRule="auto"/>
        <w:jc w:val="both"/>
      </w:pPr>
      <w:r>
        <w:t>The technical difficulty is analytically relevant, not merely contextual. The rarity of the result — one viable genome from sixty-one samples, from the largest IVC site in India — means that every finding derived from I6113 carries substantial evidentiary weight. Its representativeness is supported by its close match to the eleven outlier individuals identified in the concurrent Science paper (Narasimhan et al., 2019) — a match across geographically dispersed sites that would be statistically implausible if I6113 were an outlier within the IVC itself.</w:t>
      </w:r>
    </w:p>
    <w:p w14:paraId="5EED00BD" w14:textId="77777777" w:rsidR="005435E2" w:rsidRDefault="00000000">
      <w:pPr>
        <w:pStyle w:val="Heading1"/>
        <w:pBdr>
          <w:bottom w:val="single" w:sz="6" w:space="4" w:color="000000"/>
        </w:pBdr>
      </w:pPr>
      <w:r>
        <w:t>2. What the Genome Says: The Two Ancestry Components</w:t>
      </w:r>
    </w:p>
    <w:p w14:paraId="45424659" w14:textId="77777777" w:rsidR="005435E2" w:rsidRDefault="00000000">
      <w:pPr>
        <w:pStyle w:val="Heading2"/>
      </w:pPr>
      <w:r>
        <w:t>2.1 The Ancestral Profile of I6113</w:t>
      </w:r>
    </w:p>
    <w:p w14:paraId="1A91AF8F" w14:textId="77777777" w:rsidR="005435E2" w:rsidRDefault="00000000">
      <w:pPr>
        <w:spacing w:after="140" w:line="276" w:lineRule="auto"/>
        <w:jc w:val="both"/>
      </w:pPr>
      <w:r>
        <w:t xml:space="preserve">The genome of I6113 is best modeled as a mixture of two ancestral components, derived through </w:t>
      </w:r>
      <w:proofErr w:type="spellStart"/>
      <w:r>
        <w:t>qpAdm</w:t>
      </w:r>
      <w:proofErr w:type="spellEnd"/>
      <w:r>
        <w:t xml:space="preserve"> analysis using a reference panel of ancient populations from across Eurasia (Shinde et al., 2019; Haak et al., 2015; Lazaridis et al., 2016). The first and largest is ancestry related to ancient Iranians — specifically, a lineage connected to early Iranian farmers, herders, and hunter-gatherers before those populations diverged from each other. The second component is ancestry related to Ancient Ancestral South Indians (AASI) — a population group related to present-day Andamanese islanders and other South and Southeast Asian hunter-gatherer populations, representing the deep indigenous substrate of South Asian prehistory (Moorjani et al., 2013; Basu et al., 2016; Lazaridis et al., 2016).</w:t>
      </w:r>
    </w:p>
    <w:p w14:paraId="6208B1A7" w14:textId="77777777" w:rsidR="005435E2" w:rsidRDefault="00000000">
      <w:pPr>
        <w:spacing w:after="140" w:line="276" w:lineRule="auto"/>
        <w:jc w:val="both"/>
      </w:pPr>
      <w:r>
        <w:t xml:space="preserve">Table 1 below presents the full genomic ancestry profile of I6113 with confidence assessments. This combination — substantial ancient Iranian-related ancestry plus significant AASI ancestry — is a profile that does not match any known western population, any steppe population, or any East Asian population. It is a distinctively South Asian genomic signature. Critically, as Reich stated at publication, ancestry like that in the IVC individuals is the primary ancestry source in modern South Asia today (Reich, quoted in </w:t>
      </w:r>
      <w:proofErr w:type="spellStart"/>
      <w:r>
        <w:t>EurekAlert</w:t>
      </w:r>
      <w:proofErr w:type="spellEnd"/>
      <w:r>
        <w:t xml:space="preserve">, 2019; Narasimhan et al., 2019). The </w:t>
      </w:r>
      <w:proofErr w:type="spellStart"/>
      <w:r>
        <w:t>Rakhigarhi</w:t>
      </w:r>
      <w:proofErr w:type="spellEnd"/>
      <w:r>
        <w:t xml:space="preserve"> genome is not a genetic dead end. It is the ancestral profile from which </w:t>
      </w:r>
      <w:proofErr w:type="gramStart"/>
      <w:r>
        <w:t>the majority of</w:t>
      </w:r>
      <w:proofErr w:type="gramEnd"/>
      <w:r>
        <w:t xml:space="preserve"> contemporary South Asian genetic heritage descends.</w:t>
      </w:r>
    </w:p>
    <w:p w14:paraId="0294300F" w14:textId="77777777" w:rsidR="005435E2" w:rsidRDefault="005435E2">
      <w:pPr>
        <w:spacing w:after="160"/>
      </w:pPr>
    </w:p>
    <w:p w14:paraId="63DB807E" w14:textId="77777777" w:rsidR="00B77A84" w:rsidRDefault="00B77A84">
      <w:pPr>
        <w:spacing w:after="160"/>
      </w:pPr>
    </w:p>
    <w:p w14:paraId="24C293FB" w14:textId="77777777" w:rsidR="00B77A84" w:rsidRDefault="00B77A84">
      <w:pPr>
        <w:spacing w:after="160"/>
      </w:pPr>
    </w:p>
    <w:p w14:paraId="0A046181" w14:textId="77777777" w:rsidR="005435E2" w:rsidRDefault="00000000">
      <w:pPr>
        <w:spacing w:before="60" w:after="200"/>
        <w:jc w:val="center"/>
      </w:pPr>
      <w:r>
        <w:rPr>
          <w:rFonts w:ascii="Arial" w:eastAsia="Arial" w:hAnsi="Arial" w:cs="Arial"/>
          <w:i/>
          <w:iCs/>
          <w:color w:val="595959"/>
          <w:sz w:val="18"/>
          <w:szCs w:val="18"/>
        </w:rPr>
        <w:lastRenderedPageBreak/>
        <w:t>Table 1. Genomic Ancestry Components of Individual I6113 (</w:t>
      </w:r>
      <w:proofErr w:type="spellStart"/>
      <w:r>
        <w:rPr>
          <w:rFonts w:ascii="Arial" w:eastAsia="Arial" w:hAnsi="Arial" w:cs="Arial"/>
          <w:i/>
          <w:iCs/>
          <w:color w:val="595959"/>
          <w:sz w:val="18"/>
          <w:szCs w:val="18"/>
        </w:rPr>
        <w:t>Rakhigarhi</w:t>
      </w:r>
      <w:proofErr w:type="spellEnd"/>
      <w:r>
        <w:rPr>
          <w:rFonts w:ascii="Arial" w:eastAsia="Arial" w:hAnsi="Arial" w:cs="Arial"/>
          <w:i/>
          <w:iCs/>
          <w:color w:val="595959"/>
          <w:sz w:val="18"/>
          <w:szCs w:val="18"/>
        </w:rPr>
        <w:t xml:space="preserve">, c. 2500 BCE). Based on </w:t>
      </w:r>
      <w:proofErr w:type="spellStart"/>
      <w:r>
        <w:rPr>
          <w:rFonts w:ascii="Arial" w:eastAsia="Arial" w:hAnsi="Arial" w:cs="Arial"/>
          <w:i/>
          <w:iCs/>
          <w:color w:val="595959"/>
          <w:sz w:val="18"/>
          <w:szCs w:val="18"/>
        </w:rPr>
        <w:t>qpAdm</w:t>
      </w:r>
      <w:proofErr w:type="spellEnd"/>
      <w:r>
        <w:rPr>
          <w:rFonts w:ascii="Arial" w:eastAsia="Arial" w:hAnsi="Arial" w:cs="Arial"/>
          <w:i/>
          <w:iCs/>
          <w:color w:val="595959"/>
          <w:sz w:val="18"/>
          <w:szCs w:val="18"/>
        </w:rPr>
        <w:t xml:space="preserve"> modelling in Shinde et al. (2019) and Narasimhan et al. (2019). HG = hunter-gatherer; AASI = Ancient Ancestral South Indians.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600"/>
        <w:gridCol w:w="2200"/>
        <w:gridCol w:w="2360"/>
      </w:tblGrid>
      <w:tr w:rsidR="005435E2" w14:paraId="6150DBB5" w14:textId="77777777">
        <w:tblPrEx>
          <w:tblCellMar>
            <w:top w:w="0" w:type="dxa"/>
            <w:bottom w:w="0" w:type="dxa"/>
          </w:tblCellMar>
        </w:tblPrEx>
        <w:trPr>
          <w:tblHeader/>
        </w:trPr>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51D523A" w14:textId="77777777" w:rsidR="005435E2" w:rsidRDefault="00000000">
            <w:pPr>
              <w:jc w:val="center"/>
            </w:pPr>
            <w:r>
              <w:rPr>
                <w:rFonts w:ascii="Arial" w:eastAsia="Arial" w:hAnsi="Arial" w:cs="Arial"/>
                <w:b/>
                <w:bCs/>
                <w:sz w:val="19"/>
                <w:szCs w:val="19"/>
              </w:rPr>
              <w:t>Ancestry Component</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0E86D07" w14:textId="77777777" w:rsidR="005435E2" w:rsidRDefault="00000000">
            <w:pPr>
              <w:jc w:val="center"/>
            </w:pPr>
            <w:r>
              <w:rPr>
                <w:rFonts w:ascii="Arial" w:eastAsia="Arial" w:hAnsi="Arial" w:cs="Arial"/>
                <w:b/>
                <w:bCs/>
                <w:sz w:val="19"/>
                <w:szCs w:val="19"/>
              </w:rPr>
              <w:t>Reference Population</w:t>
            </w:r>
          </w:p>
        </w:tc>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FAB7AA9" w14:textId="77777777" w:rsidR="005435E2" w:rsidRDefault="00000000">
            <w:pPr>
              <w:jc w:val="center"/>
            </w:pPr>
            <w:r>
              <w:rPr>
                <w:rFonts w:ascii="Arial" w:eastAsia="Arial" w:hAnsi="Arial" w:cs="Arial"/>
                <w:b/>
                <w:bCs/>
                <w:sz w:val="19"/>
                <w:szCs w:val="19"/>
              </w:rPr>
              <w:t>Approximate %</w:t>
            </w:r>
          </w:p>
        </w:tc>
        <w:tc>
          <w:tcPr>
            <w:tcW w:w="23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08D8C6C" w14:textId="77777777" w:rsidR="005435E2" w:rsidRDefault="00000000">
            <w:pPr>
              <w:jc w:val="center"/>
            </w:pPr>
            <w:r>
              <w:rPr>
                <w:rFonts w:ascii="Arial" w:eastAsia="Arial" w:hAnsi="Arial" w:cs="Arial"/>
                <w:b/>
                <w:bCs/>
                <w:sz w:val="19"/>
                <w:szCs w:val="19"/>
              </w:rPr>
              <w:t>Confidence</w:t>
            </w:r>
          </w:p>
        </w:tc>
      </w:tr>
      <w:tr w:rsidR="005435E2" w14:paraId="0975504B"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6098BBD" w14:textId="77777777" w:rsidR="005435E2" w:rsidRDefault="00000000">
            <w:r>
              <w:rPr>
                <w:sz w:val="19"/>
                <w:szCs w:val="19"/>
              </w:rPr>
              <w:t>Ancient Iranian-related</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742BB75" w14:textId="77777777" w:rsidR="005435E2" w:rsidRDefault="00000000">
            <w:r>
              <w:rPr>
                <w:sz w:val="19"/>
                <w:szCs w:val="19"/>
              </w:rPr>
              <w:t>Early Iranian farmers / herders / HGs (pre-split)</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1E63A1" w14:textId="77777777" w:rsidR="005435E2" w:rsidRDefault="00000000">
            <w:pPr>
              <w:jc w:val="center"/>
            </w:pPr>
            <w:r>
              <w:rPr>
                <w:sz w:val="19"/>
                <w:szCs w:val="19"/>
              </w:rPr>
              <w:t>~58% (</w:t>
            </w:r>
            <w:proofErr w:type="spellStart"/>
            <w:r>
              <w:rPr>
                <w:sz w:val="19"/>
                <w:szCs w:val="19"/>
              </w:rPr>
              <w:t>qpAdm</w:t>
            </w:r>
            <w:proofErr w:type="spellEnd"/>
            <w:r>
              <w:rPr>
                <w:sz w:val="19"/>
                <w:szCs w:val="19"/>
              </w:rPr>
              <w:t>)</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6E0CF16" w14:textId="77777777" w:rsidR="005435E2" w:rsidRDefault="00000000">
            <w:pPr>
              <w:jc w:val="center"/>
            </w:pPr>
            <w:r>
              <w:rPr>
                <w:b/>
                <w:bCs/>
                <w:sz w:val="19"/>
                <w:szCs w:val="19"/>
              </w:rPr>
              <w:t>High</w:t>
            </w:r>
          </w:p>
        </w:tc>
      </w:tr>
      <w:tr w:rsidR="005435E2" w14:paraId="72BE3CC0"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49603CA" w14:textId="77777777" w:rsidR="005435E2" w:rsidRDefault="00000000">
            <w:r>
              <w:rPr>
                <w:sz w:val="19"/>
                <w:szCs w:val="19"/>
              </w:rPr>
              <w:t>AASI</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A1C6594" w14:textId="77777777" w:rsidR="005435E2" w:rsidRDefault="00000000">
            <w:r>
              <w:rPr>
                <w:sz w:val="19"/>
                <w:szCs w:val="19"/>
              </w:rPr>
              <w:t>Ancient Ancestral South Indians (Andamanese-related HG)</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E71A8B8" w14:textId="77777777" w:rsidR="005435E2" w:rsidRDefault="00000000">
            <w:pPr>
              <w:jc w:val="center"/>
            </w:pPr>
            <w:r>
              <w:rPr>
                <w:sz w:val="19"/>
                <w:szCs w:val="19"/>
              </w:rPr>
              <w:t>~42% (</w:t>
            </w:r>
            <w:proofErr w:type="spellStart"/>
            <w:r>
              <w:rPr>
                <w:sz w:val="19"/>
                <w:szCs w:val="19"/>
              </w:rPr>
              <w:t>qpAdm</w:t>
            </w:r>
            <w:proofErr w:type="spellEnd"/>
            <w:r>
              <w:rPr>
                <w:sz w:val="19"/>
                <w:szCs w:val="19"/>
              </w:rPr>
              <w:t>)</w:t>
            </w:r>
          </w:p>
        </w:tc>
        <w:tc>
          <w:tcPr>
            <w:tcW w:w="23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9627F66" w14:textId="77777777" w:rsidR="005435E2" w:rsidRDefault="00000000">
            <w:pPr>
              <w:jc w:val="center"/>
            </w:pPr>
            <w:r>
              <w:rPr>
                <w:b/>
                <w:bCs/>
                <w:sz w:val="19"/>
                <w:szCs w:val="19"/>
              </w:rPr>
              <w:t>High</w:t>
            </w:r>
          </w:p>
        </w:tc>
      </w:tr>
      <w:tr w:rsidR="005435E2" w14:paraId="78C0F37F"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72D83A5" w14:textId="77777777" w:rsidR="005435E2" w:rsidRDefault="00000000">
            <w:r>
              <w:rPr>
                <w:sz w:val="19"/>
                <w:szCs w:val="19"/>
              </w:rPr>
              <w:t>Steppe pastoralist</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8200803" w14:textId="77777777" w:rsidR="005435E2" w:rsidRDefault="00000000">
            <w:r>
              <w:rPr>
                <w:sz w:val="19"/>
                <w:szCs w:val="19"/>
              </w:rPr>
              <w:t>Yamnaya / Bronze Age Steppe</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FE04855" w14:textId="77777777" w:rsidR="005435E2" w:rsidRDefault="00000000">
            <w:pPr>
              <w:jc w:val="center"/>
            </w:pPr>
            <w:r>
              <w:rPr>
                <w:b/>
                <w:bCs/>
                <w:sz w:val="19"/>
                <w:szCs w:val="19"/>
              </w:rPr>
              <w:t>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A43DEA3" w14:textId="77777777" w:rsidR="005435E2" w:rsidRDefault="00000000">
            <w:pPr>
              <w:jc w:val="center"/>
            </w:pPr>
            <w:r>
              <w:rPr>
                <w:b/>
                <w:bCs/>
                <w:sz w:val="19"/>
                <w:szCs w:val="19"/>
              </w:rPr>
              <w:t>High</w:t>
            </w:r>
          </w:p>
        </w:tc>
      </w:tr>
      <w:tr w:rsidR="005435E2" w14:paraId="55EC2CEB"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D4A38A3" w14:textId="77777777" w:rsidR="005435E2" w:rsidRDefault="00000000">
            <w:r>
              <w:rPr>
                <w:sz w:val="19"/>
                <w:szCs w:val="19"/>
              </w:rPr>
              <w:t>Anatolian farmer</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36B9577" w14:textId="77777777" w:rsidR="005435E2" w:rsidRDefault="00000000">
            <w:r>
              <w:rPr>
                <w:sz w:val="19"/>
                <w:szCs w:val="19"/>
              </w:rPr>
              <w:t>Anatolian Neolithic Farmers</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151BE51" w14:textId="77777777" w:rsidR="005435E2" w:rsidRDefault="00000000">
            <w:pPr>
              <w:jc w:val="center"/>
            </w:pPr>
            <w:r>
              <w:rPr>
                <w:b/>
                <w:bCs/>
                <w:sz w:val="19"/>
                <w:szCs w:val="19"/>
              </w:rPr>
              <w:t>0%</w:t>
            </w:r>
          </w:p>
        </w:tc>
        <w:tc>
          <w:tcPr>
            <w:tcW w:w="23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7FED2DD" w14:textId="77777777" w:rsidR="005435E2" w:rsidRDefault="00000000">
            <w:pPr>
              <w:jc w:val="center"/>
            </w:pPr>
            <w:r>
              <w:rPr>
                <w:b/>
                <w:bCs/>
                <w:sz w:val="19"/>
                <w:szCs w:val="19"/>
              </w:rPr>
              <w:t>High</w:t>
            </w:r>
          </w:p>
        </w:tc>
      </w:tr>
      <w:tr w:rsidR="005435E2" w14:paraId="7258B61B"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0841BE5" w14:textId="77777777" w:rsidR="005435E2" w:rsidRDefault="00000000">
            <w:r>
              <w:rPr>
                <w:sz w:val="19"/>
                <w:szCs w:val="19"/>
              </w:rPr>
              <w:t>East Asian</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72F08F1" w14:textId="77777777" w:rsidR="005435E2" w:rsidRDefault="00000000">
            <w:r>
              <w:rPr>
                <w:sz w:val="19"/>
                <w:szCs w:val="19"/>
              </w:rPr>
              <w:t>N/A</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276DCD7" w14:textId="77777777" w:rsidR="005435E2" w:rsidRDefault="00000000">
            <w:pPr>
              <w:jc w:val="center"/>
            </w:pPr>
            <w:r>
              <w:rPr>
                <w:b/>
                <w:bCs/>
                <w:sz w:val="19"/>
                <w:szCs w:val="19"/>
              </w:rPr>
              <w:t>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5031565" w14:textId="77777777" w:rsidR="005435E2" w:rsidRDefault="00000000">
            <w:pPr>
              <w:jc w:val="center"/>
            </w:pPr>
            <w:r>
              <w:rPr>
                <w:b/>
                <w:bCs/>
                <w:sz w:val="19"/>
                <w:szCs w:val="19"/>
              </w:rPr>
              <w:t>High</w:t>
            </w:r>
          </w:p>
        </w:tc>
      </w:tr>
    </w:tbl>
    <w:p w14:paraId="504F11A9" w14:textId="77777777" w:rsidR="005435E2" w:rsidRDefault="005435E2">
      <w:pPr>
        <w:spacing w:after="160"/>
      </w:pPr>
    </w:p>
    <w:p w14:paraId="046550CC" w14:textId="77777777" w:rsidR="005435E2" w:rsidRDefault="00000000">
      <w:pPr>
        <w:pStyle w:val="Heading2"/>
      </w:pPr>
      <w:r>
        <w:t>2.2 The Iranian-Related Component: What It Is Not</w:t>
      </w:r>
    </w:p>
    <w:p w14:paraId="3DD951C4" w14:textId="77777777" w:rsidR="005435E2" w:rsidRDefault="00000000">
      <w:pPr>
        <w:spacing w:after="140" w:line="276" w:lineRule="auto"/>
        <w:jc w:val="both"/>
      </w:pPr>
      <w:r>
        <w:t>The presence of ancient Iranian-related ancestry in I6113 requires careful interpretation, because it is frequently misread as evidence of westward migration into the IVC from Iran. The genomic data directly contradict this reading (Shinde et al., 2019; Narasimhan et al., 2019; Lazaridis et al., 2016). The Cell paper is explicit: the Iranian-related ancestry in the IVC derives from a lineage leading to early Iranian farmers, herders, and hunter-gatherers before their ancestors separated, contradicting the hypothesis that the shared ancestry between early Iranians and South Asians reflects a large-scale spread of western Iranian farmers east. Instead, sampled ancient genomes from the Iranian plateau and IVC descend from different groups of hunter-gatherers who began farming without being connected (Shinde et al., 2019).</w:t>
      </w:r>
    </w:p>
    <w:p w14:paraId="552293C2" w14:textId="77777777" w:rsidR="005435E2" w:rsidRDefault="00000000">
      <w:pPr>
        <w:spacing w:after="140" w:line="276" w:lineRule="auto"/>
        <w:jc w:val="both"/>
      </w:pPr>
      <w:r>
        <w:t>The IVC and ancient Iranian populations share a common ancestor — but that divergence occurred more than 12,000 years ago, before either population had developed agriculture (Shinde et al., 2019; Haak et al., 2015). They are genomic cousins, not parent and child. No large-scale migration from Iran into the IVC is required or supported by the data. This finding has a significant implication for understanding IVC origins: the conventional model, in which farming spread into South Asia via westward migration from the Iranian plateau and the Fertile Crescent, is genomically falsified for the IVC. Farming in South Asia arose from local foragers rather than from large-scale migration from the west (Shinde et al., 2019; Fuller, 2006). The divergence timeline is presented in Table 2 (see Section 3.1).</w:t>
      </w:r>
    </w:p>
    <w:p w14:paraId="2A8B653A" w14:textId="77777777" w:rsidR="005435E2" w:rsidRDefault="00000000">
      <w:pPr>
        <w:pStyle w:val="Heading2"/>
      </w:pPr>
      <w:r>
        <w:t>2.3 The AASI Component and Deep South Asian Continuity</w:t>
      </w:r>
    </w:p>
    <w:p w14:paraId="40B71D30" w14:textId="77777777" w:rsidR="005435E2" w:rsidRDefault="00000000">
      <w:pPr>
        <w:spacing w:after="140" w:line="276" w:lineRule="auto"/>
        <w:jc w:val="both"/>
      </w:pPr>
      <w:r>
        <w:t xml:space="preserve">The AASI component in I6113 represents some of the deepest human ancestry in the world. Related populations are estimated to have diverged from other Out-of-Africa lineages over 40,000–60,000 years ago, consistent with an early dispersal into South and Southeast Asia (Basu et al., 2016; Moorjani et al., 2013; Reich, 2018). The persistence of this ancestry as a major component of the IVC genome confirms the deep continuity of South Asian populations and the absence of any massive demographic replacement from outside during the period leading up to and including the Mature Harappan phase. This is consistent with the archaeological evidence for gradual, in-situ development of IVC urban culture from earlier Chalcolithic traditions at sites including Mehrgarh and </w:t>
      </w:r>
      <w:proofErr w:type="spellStart"/>
      <w:r>
        <w:t>Nausharo</w:t>
      </w:r>
      <w:proofErr w:type="spellEnd"/>
      <w:r>
        <w:t xml:space="preserve"> (</w:t>
      </w:r>
      <w:proofErr w:type="spellStart"/>
      <w:r>
        <w:t>Jarrige</w:t>
      </w:r>
      <w:proofErr w:type="spellEnd"/>
      <w:r>
        <w:t>, 1994; Kenoyer, 1998; Vondoom, 2026a).</w:t>
      </w:r>
    </w:p>
    <w:p w14:paraId="4BE7A057" w14:textId="77777777" w:rsidR="005435E2" w:rsidRDefault="00000000">
      <w:pPr>
        <w:pStyle w:val="Heading1"/>
        <w:pBdr>
          <w:bottom w:val="single" w:sz="6" w:space="4" w:color="000000"/>
        </w:pBdr>
      </w:pPr>
      <w:r>
        <w:t>3. What the Genome Rules Out: The Absent Ancestries</w:t>
      </w:r>
    </w:p>
    <w:p w14:paraId="0FFF04A6" w14:textId="77777777" w:rsidR="005435E2" w:rsidRDefault="00000000">
      <w:pPr>
        <w:spacing w:after="140" w:line="276" w:lineRule="auto"/>
        <w:jc w:val="both"/>
      </w:pPr>
      <w:r>
        <w:lastRenderedPageBreak/>
        <w:t xml:space="preserve">The absence of steppe pastoralist ancestry in I6113 is as analytically significant as what is present. Steppe ancestry — associated with the Yamnaya and related Bronze Age pastoral populations of the Pontic-Caspian steppe, and carrying the Y-chromosome haplogroup R1a1 — is completely absent from the </w:t>
      </w:r>
      <w:proofErr w:type="spellStart"/>
      <w:r>
        <w:t>Rakhigarhi</w:t>
      </w:r>
      <w:proofErr w:type="spellEnd"/>
      <w:r>
        <w:t xml:space="preserve"> genome (Shinde et al., 2019; Narasimhan et al., 2019; Anthony, 2007). This is the ancestry that is ubiquitous in modern North Indians, present in upper-caste South Asian populations at high </w:t>
      </w:r>
      <w:proofErr w:type="gramStart"/>
      <w:r>
        <w:t>frequencies, and</w:t>
      </w:r>
      <w:proofErr w:type="gramEnd"/>
      <w:r>
        <w:t xml:space="preserve"> associated in the archaeological and linguistic literature with the Indo-European language family and the Vedic tradition (Mallory, 1989; Anthony, 2007; Kristiansen et al., 2017).</w:t>
      </w:r>
    </w:p>
    <w:p w14:paraId="4561FC04" w14:textId="77777777" w:rsidR="005435E2" w:rsidRDefault="00000000">
      <w:pPr>
        <w:spacing w:after="140" w:line="276" w:lineRule="auto"/>
        <w:jc w:val="both"/>
      </w:pPr>
      <w:r>
        <w:t xml:space="preserve">Its absence from I6113 is not ambiguous. The IVC was at its height — its Mature Harappan phase — at the time of this woman's burial around 2500 BCE. The steppe migration into South Asia, which is genomically documented in later populations, took place after IVC decline — approximately 600 to 1,000 years after I6113's burial, as the urban phase collapsed and the demographic composition of the subcontinent reorganized (Narasimhan et al., 2019; </w:t>
      </w:r>
      <w:proofErr w:type="spellStart"/>
      <w:r>
        <w:t>Parpola</w:t>
      </w:r>
      <w:proofErr w:type="spellEnd"/>
      <w:r>
        <w:t>, 2015; Witzel, 2000). The IVC did not receive steppe migrants. It was built, flourished, and declined before they arrived. This finding constitutes genomic falsification of any model that assigns the IVC's origin or distinctive features to steppe-derived populations.</w:t>
      </w:r>
    </w:p>
    <w:p w14:paraId="5B0E09A2" w14:textId="77777777" w:rsidR="005435E2" w:rsidRDefault="00000000">
      <w:pPr>
        <w:spacing w:after="140" w:line="276" w:lineRule="auto"/>
        <w:jc w:val="both"/>
      </w:pPr>
      <w:r>
        <w:t xml:space="preserve">Anatolian farmer ancestry is similarly absent. The population that carried farming from the Near East westward into Europe — and whose descendants are identifiable in the genomic record of Neolithic European cultures including the </w:t>
      </w:r>
      <w:proofErr w:type="spellStart"/>
      <w:r>
        <w:t>Vinča</w:t>
      </w:r>
      <w:proofErr w:type="spellEnd"/>
      <w:r>
        <w:t xml:space="preserve"> culture (Haak et al., 2015; Mathieson et al., 2015; Olalde et al., 2019) — left no detectable trace in I6113. This finding closes a specific question for the symbolic convergence argument: the </w:t>
      </w:r>
      <w:proofErr w:type="spellStart"/>
      <w:r>
        <w:t>Vinča</w:t>
      </w:r>
      <w:proofErr w:type="spellEnd"/>
      <w:r>
        <w:t xml:space="preserve"> culture, which displays remarkable formal parallels to IVC seal iconography (Vondoom, 2026c; Maran &amp; </w:t>
      </w:r>
      <w:proofErr w:type="spellStart"/>
      <w:r>
        <w:t>Stockhammer</w:t>
      </w:r>
      <w:proofErr w:type="spellEnd"/>
      <w:r>
        <w:t xml:space="preserve">, 2012), was genetically constituted by Anatolian-derived farmers. Whatever symbolic convergences exist between </w:t>
      </w:r>
      <w:proofErr w:type="spellStart"/>
      <w:r>
        <w:t>Vinča</w:t>
      </w:r>
      <w:proofErr w:type="spellEnd"/>
      <w:r>
        <w:t xml:space="preserve"> and IVC material culture cannot be attributed to population contact or shared genetic heritage. Under DSSM, they reflect independent cognitive solutions to shared symbolic stabilization pressures or transmission through intermediate populations without demographic replacement (Vondoom, 2026c).</w:t>
      </w:r>
    </w:p>
    <w:p w14:paraId="44946012" w14:textId="77777777" w:rsidR="005435E2" w:rsidRDefault="00000000">
      <w:pPr>
        <w:pStyle w:val="Heading2"/>
      </w:pPr>
      <w:r>
        <w:t>3.1 Divergence Chronology</w:t>
      </w:r>
    </w:p>
    <w:p w14:paraId="0B3672AD" w14:textId="77777777" w:rsidR="005435E2" w:rsidRDefault="00000000">
      <w:pPr>
        <w:spacing w:after="140" w:line="276" w:lineRule="auto"/>
        <w:jc w:val="both"/>
      </w:pPr>
      <w:r>
        <w:t>Table 2 summarizes the key genomic divergence events relevant to interpreting the IVC ancestry profile. Understanding the timing of these splits is essential for correctly reading the relationships between the populations involved.</w:t>
      </w:r>
    </w:p>
    <w:p w14:paraId="42DA0C0C" w14:textId="77777777" w:rsidR="005435E2" w:rsidRDefault="005435E2">
      <w:pPr>
        <w:spacing w:after="160"/>
      </w:pPr>
    </w:p>
    <w:p w14:paraId="420D00DA" w14:textId="77777777" w:rsidR="005435E2" w:rsidRDefault="00000000">
      <w:pPr>
        <w:spacing w:before="60" w:after="200"/>
        <w:jc w:val="center"/>
      </w:pPr>
      <w:r>
        <w:rPr>
          <w:rFonts w:ascii="Arial" w:eastAsia="Arial" w:hAnsi="Arial" w:cs="Arial"/>
          <w:i/>
          <w:iCs/>
          <w:color w:val="595959"/>
          <w:sz w:val="18"/>
          <w:szCs w:val="18"/>
        </w:rPr>
        <w:t>Table 2. Genomic Divergence Timeline: Key Population Splits Relevant to IVC Ancestry. YBP = years before present. Sources: Shinde et al. (2019); Narasimhan et al. (2019); Haak et al. (2015); Olalde et al. (2019); Basu et al. (2016).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160"/>
        <w:gridCol w:w="2000"/>
        <w:gridCol w:w="2000"/>
      </w:tblGrid>
      <w:tr w:rsidR="005435E2" w14:paraId="6B7DBDE7" w14:textId="77777777">
        <w:tblPrEx>
          <w:tblCellMar>
            <w:top w:w="0" w:type="dxa"/>
            <w:bottom w:w="0" w:type="dxa"/>
          </w:tblCellMar>
        </w:tblPrEx>
        <w:trPr>
          <w:tblHeader/>
        </w:trPr>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7E67288" w14:textId="77777777" w:rsidR="005435E2" w:rsidRDefault="00000000">
            <w:pPr>
              <w:jc w:val="center"/>
            </w:pPr>
            <w:r>
              <w:rPr>
                <w:rFonts w:ascii="Arial" w:eastAsia="Arial" w:hAnsi="Arial" w:cs="Arial"/>
                <w:b/>
                <w:bCs/>
                <w:sz w:val="19"/>
                <w:szCs w:val="19"/>
              </w:rPr>
              <w:t>Population Split</w:t>
            </w:r>
          </w:p>
        </w:tc>
        <w:tc>
          <w:tcPr>
            <w:tcW w:w="31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EC47BE3" w14:textId="77777777" w:rsidR="005435E2" w:rsidRDefault="00000000">
            <w:pPr>
              <w:jc w:val="center"/>
            </w:pPr>
            <w:r>
              <w:rPr>
                <w:rFonts w:ascii="Arial" w:eastAsia="Arial" w:hAnsi="Arial" w:cs="Arial"/>
                <w:b/>
                <w:bCs/>
                <w:sz w:val="19"/>
                <w:szCs w:val="19"/>
              </w:rPr>
              <w:t>Populations Involved</w:t>
            </w:r>
          </w:p>
        </w:tc>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2D17AF2" w14:textId="77777777" w:rsidR="005435E2" w:rsidRDefault="00000000">
            <w:pPr>
              <w:jc w:val="center"/>
            </w:pPr>
            <w:r>
              <w:rPr>
                <w:rFonts w:ascii="Arial" w:eastAsia="Arial" w:hAnsi="Arial" w:cs="Arial"/>
                <w:b/>
                <w:bCs/>
                <w:sz w:val="19"/>
                <w:szCs w:val="19"/>
              </w:rPr>
              <w:t>Approx. Date (YBP)</w:t>
            </w:r>
          </w:p>
        </w:tc>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79667AB0" w14:textId="77777777" w:rsidR="005435E2" w:rsidRDefault="00000000">
            <w:pPr>
              <w:jc w:val="center"/>
            </w:pPr>
            <w:r>
              <w:rPr>
                <w:rFonts w:ascii="Arial" w:eastAsia="Arial" w:hAnsi="Arial" w:cs="Arial"/>
                <w:b/>
                <w:bCs/>
                <w:sz w:val="19"/>
                <w:szCs w:val="19"/>
              </w:rPr>
              <w:t>Source</w:t>
            </w:r>
          </w:p>
        </w:tc>
      </w:tr>
      <w:tr w:rsidR="005435E2" w14:paraId="5207A8D9"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1EB2C72" w14:textId="77777777" w:rsidR="005435E2" w:rsidRDefault="00000000">
            <w:r>
              <w:rPr>
                <w:sz w:val="19"/>
                <w:szCs w:val="19"/>
              </w:rPr>
              <w:t>IVC / Iranian Plateau divergence</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14F00C" w14:textId="77777777" w:rsidR="005435E2" w:rsidRDefault="00000000">
            <w:r>
              <w:rPr>
                <w:sz w:val="19"/>
                <w:szCs w:val="19"/>
              </w:rPr>
              <w:t>Ancestral IVC vs. early Iranian farmers</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C49E603" w14:textId="77777777" w:rsidR="005435E2" w:rsidRDefault="00000000">
            <w:pPr>
              <w:jc w:val="center"/>
            </w:pPr>
            <w:r>
              <w:rPr>
                <w:b/>
                <w:bCs/>
                <w:sz w:val="19"/>
                <w:szCs w:val="19"/>
              </w:rPr>
              <w:t>&gt;12,000</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A09B8EA" w14:textId="77777777" w:rsidR="005435E2" w:rsidRDefault="00000000">
            <w:r>
              <w:rPr>
                <w:sz w:val="19"/>
                <w:szCs w:val="19"/>
              </w:rPr>
              <w:t>Shinde et al., 2019</w:t>
            </w:r>
          </w:p>
        </w:tc>
      </w:tr>
      <w:tr w:rsidR="005435E2" w14:paraId="6784035D"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AE55D62" w14:textId="77777777" w:rsidR="005435E2" w:rsidRDefault="00000000">
            <w:r>
              <w:rPr>
                <w:sz w:val="19"/>
                <w:szCs w:val="19"/>
              </w:rPr>
              <w:t>AASI / mainland South Asian</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C3C3632" w14:textId="77777777" w:rsidR="005435E2" w:rsidRDefault="00000000">
            <w:r>
              <w:rPr>
                <w:sz w:val="19"/>
                <w:szCs w:val="19"/>
              </w:rPr>
              <w:t>Andamanese-related HG vs. IVC substrate</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CF7DB7A" w14:textId="77777777" w:rsidR="005435E2" w:rsidRDefault="00000000">
            <w:pPr>
              <w:jc w:val="center"/>
            </w:pPr>
            <w:r>
              <w:rPr>
                <w:b/>
                <w:bCs/>
                <w:sz w:val="19"/>
                <w:szCs w:val="19"/>
              </w:rPr>
              <w:t>&gt;40,000</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BABC3D1" w14:textId="77777777" w:rsidR="005435E2" w:rsidRDefault="00000000">
            <w:r>
              <w:rPr>
                <w:sz w:val="19"/>
                <w:szCs w:val="19"/>
              </w:rPr>
              <w:t>Narasimhan et al., 2019</w:t>
            </w:r>
          </w:p>
        </w:tc>
      </w:tr>
      <w:tr w:rsidR="005435E2" w14:paraId="0D048BB6"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E81E9D7" w14:textId="77777777" w:rsidR="005435E2" w:rsidRDefault="00000000">
            <w:r>
              <w:rPr>
                <w:sz w:val="19"/>
                <w:szCs w:val="19"/>
              </w:rPr>
              <w:t>Steppe (Yamnaya) arrival in S. Asia</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8F4BBE3" w14:textId="77777777" w:rsidR="005435E2" w:rsidRDefault="00000000">
            <w:r>
              <w:rPr>
                <w:sz w:val="19"/>
                <w:szCs w:val="19"/>
              </w:rPr>
              <w:t>Steppe pastoralists → post-IVC populations</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FD8EB0E" w14:textId="77777777" w:rsidR="005435E2" w:rsidRDefault="00000000">
            <w:pPr>
              <w:jc w:val="center"/>
            </w:pPr>
            <w:r>
              <w:rPr>
                <w:b/>
                <w:bCs/>
                <w:sz w:val="19"/>
                <w:szCs w:val="19"/>
              </w:rPr>
              <w:t>~3,900–3,400</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FBE27AB" w14:textId="77777777" w:rsidR="005435E2" w:rsidRDefault="00000000">
            <w:r>
              <w:rPr>
                <w:sz w:val="19"/>
                <w:szCs w:val="19"/>
              </w:rPr>
              <w:t>Narasimhan et al., 2019</w:t>
            </w:r>
          </w:p>
        </w:tc>
      </w:tr>
      <w:tr w:rsidR="005435E2" w:rsidRPr="00B77A84" w14:paraId="1DD5B993"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2708EA0" w14:textId="77777777" w:rsidR="005435E2" w:rsidRDefault="00000000">
            <w:r>
              <w:rPr>
                <w:sz w:val="19"/>
                <w:szCs w:val="19"/>
              </w:rPr>
              <w:t>Anatolian farmer expansion</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31C4ADF" w14:textId="77777777" w:rsidR="005435E2" w:rsidRDefault="00000000">
            <w:r>
              <w:rPr>
                <w:sz w:val="19"/>
                <w:szCs w:val="19"/>
              </w:rPr>
              <w:t xml:space="preserve">Anatolian Neolithic → European Neolithic (incl. </w:t>
            </w:r>
            <w:proofErr w:type="spellStart"/>
            <w:r>
              <w:rPr>
                <w:sz w:val="19"/>
                <w:szCs w:val="19"/>
              </w:rPr>
              <w:t>Vinča</w:t>
            </w:r>
            <w:proofErr w:type="spellEnd"/>
            <w:r>
              <w:rPr>
                <w:sz w:val="19"/>
                <w:szCs w:val="19"/>
              </w:rPr>
              <w:t>)</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F711013" w14:textId="77777777" w:rsidR="005435E2" w:rsidRDefault="00000000">
            <w:pPr>
              <w:jc w:val="center"/>
            </w:pPr>
            <w:r>
              <w:rPr>
                <w:b/>
                <w:bCs/>
                <w:sz w:val="19"/>
                <w:szCs w:val="19"/>
              </w:rPr>
              <w:t>~8,000–6,000</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F828930" w14:textId="77777777" w:rsidR="005435E2" w:rsidRPr="00B77A84" w:rsidRDefault="00000000">
            <w:pPr>
              <w:rPr>
                <w:lang w:val="it-IT"/>
              </w:rPr>
            </w:pPr>
            <w:r w:rsidRPr="00B77A84">
              <w:rPr>
                <w:sz w:val="19"/>
                <w:szCs w:val="19"/>
                <w:lang w:val="it-IT"/>
              </w:rPr>
              <w:t>Haak et al., 2015; Olalde et al., 2019</w:t>
            </w:r>
          </w:p>
        </w:tc>
      </w:tr>
    </w:tbl>
    <w:p w14:paraId="2B3D0CA7" w14:textId="77777777" w:rsidR="005435E2" w:rsidRPr="00B77A84" w:rsidRDefault="005435E2">
      <w:pPr>
        <w:spacing w:after="160"/>
        <w:rPr>
          <w:lang w:val="it-IT"/>
        </w:rPr>
      </w:pPr>
    </w:p>
    <w:p w14:paraId="601B2ABF" w14:textId="77777777" w:rsidR="005435E2" w:rsidRDefault="00000000">
      <w:pPr>
        <w:pStyle w:val="Heading1"/>
        <w:pBdr>
          <w:bottom w:val="single" w:sz="6" w:space="4" w:color="000000"/>
        </w:pBdr>
      </w:pPr>
      <w:r>
        <w:lastRenderedPageBreak/>
        <w:t>4. The Eleven Outliers: Genomic Proof of Human Mobility</w:t>
      </w:r>
    </w:p>
    <w:p w14:paraId="0D43D78D" w14:textId="77777777" w:rsidR="005435E2" w:rsidRDefault="00000000">
      <w:pPr>
        <w:pStyle w:val="Heading2"/>
      </w:pPr>
      <w:r>
        <w:t>4.1 The Concurrent Science Paper</w:t>
      </w:r>
    </w:p>
    <w:p w14:paraId="7EB100DA" w14:textId="77777777" w:rsidR="005435E2" w:rsidRDefault="00000000">
      <w:pPr>
        <w:spacing w:after="140" w:line="276" w:lineRule="auto"/>
        <w:jc w:val="both"/>
      </w:pPr>
      <w:r>
        <w:t xml:space="preserve">Published simultaneously with the Cell paper, Narasimhan et al. (2019) in </w:t>
      </w:r>
      <w:r>
        <w:rPr>
          <w:i/>
          <w:iCs/>
        </w:rPr>
        <w:t>Science</w:t>
      </w:r>
      <w:r>
        <w:t xml:space="preserve"> reported genome-wide data from 523 ancient individuals across South and Central Asia — the largest such dataset assembled to that point. Within this dataset, eleven individuals emerged as genetic outliers: their ancestry profile did not match the local populations at the sites where they were buried. Instead, it matched I6113 (Narasimhan et al., 2019). These eleven individuals — designated the Indus Periphery Cline — were found at two sites in the geographic corridor that later became the central Silk Road (Possehl, 2007; </w:t>
      </w:r>
      <w:proofErr w:type="spellStart"/>
      <w:r>
        <w:t>Frankopan</w:t>
      </w:r>
      <w:proofErr w:type="spellEnd"/>
      <w:r>
        <w:t>, 2015). Table 3 presents the outlier data with site-level context and material corroboration.</w:t>
      </w:r>
    </w:p>
    <w:p w14:paraId="677ABA15" w14:textId="77777777" w:rsidR="005435E2" w:rsidRDefault="005435E2">
      <w:pPr>
        <w:spacing w:after="160"/>
      </w:pPr>
    </w:p>
    <w:p w14:paraId="6A41A074" w14:textId="77777777" w:rsidR="005435E2" w:rsidRDefault="00000000">
      <w:pPr>
        <w:spacing w:before="60" w:after="200"/>
        <w:jc w:val="center"/>
      </w:pPr>
      <w:r>
        <w:rPr>
          <w:rFonts w:ascii="Arial" w:eastAsia="Arial" w:hAnsi="Arial" w:cs="Arial"/>
          <w:i/>
          <w:iCs/>
          <w:color w:val="595959"/>
          <w:sz w:val="18"/>
          <w:szCs w:val="18"/>
        </w:rPr>
        <w:t>Table 3. IVC-Cline Outlier Individuals at Non-IVC Sites (Narasimhan et al., 2019). BMAC = Bactria–</w:t>
      </w:r>
      <w:proofErr w:type="spellStart"/>
      <w:r>
        <w:rPr>
          <w:rFonts w:ascii="Arial" w:eastAsia="Arial" w:hAnsi="Arial" w:cs="Arial"/>
          <w:i/>
          <w:iCs/>
          <w:color w:val="595959"/>
          <w:sz w:val="18"/>
          <w:szCs w:val="18"/>
        </w:rPr>
        <w:t>Margiana</w:t>
      </w:r>
      <w:proofErr w:type="spellEnd"/>
      <w:r>
        <w:rPr>
          <w:rFonts w:ascii="Arial" w:eastAsia="Arial" w:hAnsi="Arial" w:cs="Arial"/>
          <w:i/>
          <w:iCs/>
          <w:color w:val="595959"/>
          <w:sz w:val="18"/>
          <w:szCs w:val="18"/>
        </w:rPr>
        <w:t xml:space="preserve"> Archaeological Complex. Material corroboration cross-references independent archaeological findings from each site.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000"/>
        <w:gridCol w:w="1560"/>
        <w:gridCol w:w="1600"/>
        <w:gridCol w:w="2600"/>
      </w:tblGrid>
      <w:tr w:rsidR="005435E2" w14:paraId="31462C0F" w14:textId="77777777">
        <w:tblPrEx>
          <w:tblCellMar>
            <w:top w:w="0" w:type="dxa"/>
            <w:bottom w:w="0" w:type="dxa"/>
          </w:tblCellMar>
        </w:tblPrEx>
        <w:trPr>
          <w:tblHeader/>
        </w:trPr>
        <w:tc>
          <w:tcPr>
            <w:tcW w:w="16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72B56066" w14:textId="77777777" w:rsidR="005435E2" w:rsidRDefault="00000000">
            <w:pPr>
              <w:jc w:val="center"/>
            </w:pPr>
            <w:r>
              <w:rPr>
                <w:rFonts w:ascii="Arial" w:eastAsia="Arial" w:hAnsi="Arial" w:cs="Arial"/>
                <w:b/>
                <w:bCs/>
                <w:sz w:val="19"/>
                <w:szCs w:val="19"/>
              </w:rPr>
              <w:t>Site</w:t>
            </w:r>
          </w:p>
        </w:tc>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340163A" w14:textId="77777777" w:rsidR="005435E2" w:rsidRDefault="00000000">
            <w:pPr>
              <w:jc w:val="center"/>
            </w:pPr>
            <w:r>
              <w:rPr>
                <w:rFonts w:ascii="Arial" w:eastAsia="Arial" w:hAnsi="Arial" w:cs="Arial"/>
                <w:b/>
                <w:bCs/>
                <w:sz w:val="19"/>
                <w:szCs w:val="19"/>
              </w:rPr>
              <w:t>Location</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CA17B93" w14:textId="77777777" w:rsidR="005435E2" w:rsidRDefault="00000000">
            <w:pPr>
              <w:jc w:val="center"/>
            </w:pPr>
            <w:r>
              <w:rPr>
                <w:rFonts w:ascii="Arial" w:eastAsia="Arial" w:hAnsi="Arial" w:cs="Arial"/>
                <w:b/>
                <w:bCs/>
                <w:sz w:val="19"/>
                <w:szCs w:val="19"/>
              </w:rPr>
              <w:t>Date (BCE)</w:t>
            </w:r>
          </w:p>
        </w:tc>
        <w:tc>
          <w:tcPr>
            <w:tcW w:w="16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1A0E7B57" w14:textId="77777777" w:rsidR="005435E2" w:rsidRDefault="00000000">
            <w:pPr>
              <w:jc w:val="center"/>
            </w:pPr>
            <w:r>
              <w:rPr>
                <w:rFonts w:ascii="Arial" w:eastAsia="Arial" w:hAnsi="Arial" w:cs="Arial"/>
                <w:b/>
                <w:bCs/>
                <w:sz w:val="19"/>
                <w:szCs w:val="19"/>
              </w:rPr>
              <w:t>Outliers / Total</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89E7047" w14:textId="77777777" w:rsidR="005435E2" w:rsidRDefault="00000000">
            <w:pPr>
              <w:jc w:val="center"/>
            </w:pPr>
            <w:r>
              <w:rPr>
                <w:rFonts w:ascii="Arial" w:eastAsia="Arial" w:hAnsi="Arial" w:cs="Arial"/>
                <w:b/>
                <w:bCs/>
                <w:sz w:val="19"/>
                <w:szCs w:val="19"/>
              </w:rPr>
              <w:t>Material Corroboration</w:t>
            </w:r>
          </w:p>
        </w:tc>
      </w:tr>
      <w:tr w:rsidR="005435E2" w14:paraId="237DC3B7" w14:textId="77777777">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C15143D" w14:textId="77777777" w:rsidR="005435E2" w:rsidRDefault="00000000">
            <w:proofErr w:type="spellStart"/>
            <w:r>
              <w:rPr>
                <w:sz w:val="19"/>
                <w:szCs w:val="19"/>
              </w:rPr>
              <w:t>Gonur</w:t>
            </w:r>
            <w:proofErr w:type="spellEnd"/>
            <w:r>
              <w:rPr>
                <w:sz w:val="19"/>
                <w:szCs w:val="19"/>
              </w:rPr>
              <w:t xml:space="preserve"> Depe</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FB64B5D" w14:textId="77777777" w:rsidR="005435E2" w:rsidRDefault="00000000">
            <w:r>
              <w:rPr>
                <w:sz w:val="19"/>
                <w:szCs w:val="19"/>
              </w:rPr>
              <w:t>Turkmenistan (BMAC)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F761B82" w14:textId="77777777" w:rsidR="005435E2" w:rsidRDefault="00000000">
            <w:pPr>
              <w:jc w:val="center"/>
            </w:pPr>
            <w:r>
              <w:rPr>
                <w:sz w:val="19"/>
                <w:szCs w:val="19"/>
              </w:rPr>
              <w:t>2300–1700</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10A1348" w14:textId="77777777" w:rsidR="005435E2" w:rsidRDefault="00000000">
            <w:pPr>
              <w:jc w:val="center"/>
            </w:pPr>
            <w:r>
              <w:rPr>
                <w:b/>
                <w:bCs/>
                <w:sz w:val="19"/>
                <w:szCs w:val="19"/>
              </w:rPr>
              <w:t>3 / ~16</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A928ED1" w14:textId="77777777" w:rsidR="005435E2" w:rsidRDefault="00000000">
            <w:r>
              <w:rPr>
                <w:sz w:val="19"/>
                <w:szCs w:val="19"/>
              </w:rPr>
              <w:t>Indus-type beads; carnelian; compartmented vessels</w:t>
            </w:r>
          </w:p>
        </w:tc>
      </w:tr>
      <w:tr w:rsidR="005435E2" w14:paraId="2B79C3DE" w14:textId="77777777">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ACA0A84" w14:textId="77777777" w:rsidR="005435E2" w:rsidRDefault="00000000">
            <w:r>
              <w:rPr>
                <w:sz w:val="19"/>
                <w:szCs w:val="19"/>
              </w:rPr>
              <w:t>Shahr-</w:t>
            </w:r>
            <w:proofErr w:type="spellStart"/>
            <w:r>
              <w:rPr>
                <w:sz w:val="19"/>
                <w:szCs w:val="19"/>
              </w:rPr>
              <w:t>i</w:t>
            </w:r>
            <w:proofErr w:type="spellEnd"/>
            <w:r>
              <w:rPr>
                <w:sz w:val="19"/>
                <w:szCs w:val="19"/>
              </w:rPr>
              <w:t>-</w:t>
            </w:r>
            <w:proofErr w:type="spellStart"/>
            <w:r>
              <w:rPr>
                <w:sz w:val="19"/>
                <w:szCs w:val="19"/>
              </w:rPr>
              <w:t>Sokhta</w:t>
            </w:r>
            <w:proofErr w:type="spellEnd"/>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40224EC" w14:textId="77777777" w:rsidR="005435E2" w:rsidRDefault="00000000">
            <w:r>
              <w:rPr>
                <w:sz w:val="19"/>
                <w:szCs w:val="19"/>
              </w:rPr>
              <w:t>Eastern Iran</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14F49B4" w14:textId="77777777" w:rsidR="005435E2" w:rsidRDefault="00000000">
            <w:pPr>
              <w:jc w:val="center"/>
            </w:pPr>
            <w:r>
              <w:rPr>
                <w:sz w:val="19"/>
                <w:szCs w:val="19"/>
              </w:rPr>
              <w:t>3300–2000</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9CB3B4E" w14:textId="77777777" w:rsidR="005435E2" w:rsidRDefault="00000000">
            <w:pPr>
              <w:jc w:val="center"/>
            </w:pPr>
            <w:r>
              <w:rPr>
                <w:b/>
                <w:bCs/>
                <w:sz w:val="19"/>
                <w:szCs w:val="19"/>
              </w:rPr>
              <w:t>8 / ~28</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4AF1306" w14:textId="77777777" w:rsidR="005435E2" w:rsidRDefault="00000000">
            <w:r>
              <w:rPr>
                <w:sz w:val="19"/>
                <w:szCs w:val="19"/>
              </w:rPr>
              <w:t>3 of 8 with direct Baluchistan material affiliations</w:t>
            </w:r>
          </w:p>
        </w:tc>
      </w:tr>
      <w:tr w:rsidR="005435E2" w14:paraId="1E366334" w14:textId="77777777">
        <w:tblPrEx>
          <w:tblCellMar>
            <w:top w:w="0" w:type="dxa"/>
            <w:bottom w:w="0" w:type="dxa"/>
          </w:tblCellMar>
        </w:tblPrEx>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5BEAB2" w14:textId="77777777" w:rsidR="005435E2" w:rsidRDefault="00000000">
            <w:r>
              <w:rPr>
                <w:sz w:val="19"/>
                <w:szCs w:val="19"/>
              </w:rPr>
              <w:t>Total</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647A0B4" w14:textId="77777777" w:rsidR="005435E2" w:rsidRDefault="00000000">
            <w:r>
              <w:rPr>
                <w:sz w:val="19"/>
                <w:szCs w:val="19"/>
              </w:rPr>
              <w:t>South/Central Asia corridor</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4ED04C4" w14:textId="77777777" w:rsidR="005435E2" w:rsidRDefault="00000000">
            <w:pPr>
              <w:jc w:val="center"/>
            </w:pPr>
            <w:r>
              <w:rPr>
                <w:sz w:val="19"/>
                <w:szCs w:val="19"/>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3DC91D7" w14:textId="77777777" w:rsidR="005435E2" w:rsidRDefault="00000000">
            <w:pPr>
              <w:jc w:val="center"/>
            </w:pPr>
            <w:r>
              <w:rPr>
                <w:b/>
                <w:bCs/>
                <w:sz w:val="19"/>
                <w:szCs w:val="19"/>
              </w:rPr>
              <w:t>11 / ~44</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FD3DF9E" w14:textId="77777777" w:rsidR="005435E2" w:rsidRDefault="00000000">
            <w:r>
              <w:rPr>
                <w:sz w:val="19"/>
                <w:szCs w:val="19"/>
              </w:rPr>
              <w:t>Three independent evidential lines (freq., material, AASI signature)</w:t>
            </w:r>
          </w:p>
        </w:tc>
      </w:tr>
    </w:tbl>
    <w:p w14:paraId="27887B36" w14:textId="77777777" w:rsidR="005435E2" w:rsidRDefault="005435E2">
      <w:pPr>
        <w:spacing w:after="160"/>
      </w:pPr>
    </w:p>
    <w:p w14:paraId="39EB9EBC" w14:textId="77777777" w:rsidR="005435E2" w:rsidRDefault="00000000">
      <w:pPr>
        <w:spacing w:after="140" w:line="276" w:lineRule="auto"/>
        <w:jc w:val="both"/>
      </w:pPr>
      <w:proofErr w:type="spellStart"/>
      <w:r>
        <w:t>Gonur</w:t>
      </w:r>
      <w:proofErr w:type="spellEnd"/>
      <w:r>
        <w:t xml:space="preserve"> Depe, located in southern Turkmenistan, is one of the primary sites of the Bactria–</w:t>
      </w:r>
      <w:proofErr w:type="spellStart"/>
      <w:r>
        <w:t>Margiana</w:t>
      </w:r>
      <w:proofErr w:type="spellEnd"/>
      <w:r>
        <w:t xml:space="preserve"> Archaeological Complex (BMAC) — a Bronze Age complex with documented artifact connections to both the IVC and Mesopotamia (</w:t>
      </w:r>
      <w:proofErr w:type="spellStart"/>
      <w:r>
        <w:t>Sarianidi</w:t>
      </w:r>
      <w:proofErr w:type="spellEnd"/>
      <w:r>
        <w:t>, 1994; Lamberg-</w:t>
      </w:r>
      <w:proofErr w:type="spellStart"/>
      <w:r>
        <w:t>Karlovsky</w:t>
      </w:r>
      <w:proofErr w:type="spellEnd"/>
      <w:r>
        <w:t>, 2002; Frankfort, 1996). Three IVC-cline individuals were found here among approximately sixteen with good genomic coverage. Shahr-</w:t>
      </w:r>
      <w:proofErr w:type="spellStart"/>
      <w:r>
        <w:t>i</w:t>
      </w:r>
      <w:proofErr w:type="spellEnd"/>
      <w:r>
        <w:t>-</w:t>
      </w:r>
      <w:proofErr w:type="spellStart"/>
      <w:r>
        <w:t>Sokhta</w:t>
      </w:r>
      <w:proofErr w:type="spellEnd"/>
      <w:r>
        <w:t>, a major Bronze Age urban center in eastern Iran with documented trade connections across the region dated to approximately 3300–2000 BCE (Salvatori &amp; Tosi, 2005), yielded eight IVC-cline individuals from approximately twenty-eight with good coverage.</w:t>
      </w:r>
    </w:p>
    <w:p w14:paraId="1F355D27" w14:textId="77777777" w:rsidR="005435E2" w:rsidRDefault="00000000">
      <w:pPr>
        <w:pStyle w:val="Heading2"/>
      </w:pPr>
      <w:r>
        <w:t>4.2 Three Independent Lines of Evidence for Outward Movement</w:t>
      </w:r>
    </w:p>
    <w:p w14:paraId="5D436640" w14:textId="77777777" w:rsidR="005435E2" w:rsidRDefault="00000000">
      <w:pPr>
        <w:spacing w:after="140" w:line="276" w:lineRule="auto"/>
        <w:jc w:val="both"/>
      </w:pPr>
      <w:r>
        <w:t>The direction of population movement — from South Asia outward, not inward — is established by three independent lines of evidence in Narasimhan et al. (2019), all converging on the same conclusion. The paper explicitly notes that convergence of independent evidence makes the directional inference robust.</w:t>
      </w:r>
    </w:p>
    <w:p w14:paraId="7DB69138" w14:textId="77777777" w:rsidR="005435E2" w:rsidRDefault="00000000">
      <w:pPr>
        <w:spacing w:after="140" w:line="276" w:lineRule="auto"/>
        <w:jc w:val="both"/>
      </w:pPr>
      <w:r>
        <w:t xml:space="preserve">First: statistical frequency. Of the 44 individuals with good-quality genomic data from </w:t>
      </w:r>
      <w:proofErr w:type="spellStart"/>
      <w:r>
        <w:t>Gonur</w:t>
      </w:r>
      <w:proofErr w:type="spellEnd"/>
      <w:r>
        <w:t xml:space="preserve"> Depe and Shahr-</w:t>
      </w:r>
      <w:proofErr w:type="spellStart"/>
      <w:r>
        <w:t>i</w:t>
      </w:r>
      <w:proofErr w:type="spellEnd"/>
      <w:r>
        <w:t>-</w:t>
      </w:r>
      <w:proofErr w:type="spellStart"/>
      <w:r>
        <w:t>Sokhta</w:t>
      </w:r>
      <w:proofErr w:type="spellEnd"/>
      <w:r>
        <w:t xml:space="preserve"> combined, only 11 — approximately 25 percent — carry the IVC-cline ancestry profile (Narasimhan et al., 2019). The frequency distribution is consistent with an IVC-origin population present as a minority at Central Asian trade sites, not with a Central Asian population present as a minority at an IVC site. The direction of rarity is opposite to what a Central Asian origin model would predict.</w:t>
      </w:r>
    </w:p>
    <w:p w14:paraId="5FEE07BB" w14:textId="77777777" w:rsidR="005435E2" w:rsidRDefault="00000000">
      <w:pPr>
        <w:spacing w:after="140" w:line="276" w:lineRule="auto"/>
        <w:jc w:val="both"/>
      </w:pPr>
      <w:r>
        <w:t>Second: material culture corroboration. Of the three individuals at Shahr-</w:t>
      </w:r>
      <w:proofErr w:type="spellStart"/>
      <w:r>
        <w:t>i</w:t>
      </w:r>
      <w:proofErr w:type="spellEnd"/>
      <w:r>
        <w:t>-</w:t>
      </w:r>
      <w:proofErr w:type="spellStart"/>
      <w:r>
        <w:t>Sokhta</w:t>
      </w:r>
      <w:proofErr w:type="spellEnd"/>
      <w:r>
        <w:t xml:space="preserve"> who have material culture linkages to Baluchistan in South Asia — objects affiliated with IVC craft traditions buried with them (Salvatori </w:t>
      </w:r>
      <w:r>
        <w:lastRenderedPageBreak/>
        <w:t>&amp; Tosi, 2005; Lamberg-</w:t>
      </w:r>
      <w:proofErr w:type="spellStart"/>
      <w:r>
        <w:t>Karlovsky</w:t>
      </w:r>
      <w:proofErr w:type="spellEnd"/>
      <w:r>
        <w:t>, 2002) — all three are IVC-cline outliers. The genetic outlier status and the material culture affiliation coincide in the same individuals. This is not a statistical artifact. These people were buried with South Asian objects because they came from South Asia.</w:t>
      </w:r>
    </w:p>
    <w:p w14:paraId="49AB6A79" w14:textId="77777777" w:rsidR="005435E2" w:rsidRDefault="00000000">
      <w:pPr>
        <w:spacing w:after="140" w:line="276" w:lineRule="auto"/>
        <w:jc w:val="both"/>
      </w:pPr>
      <w:r>
        <w:t>Third: the AASI signature. Both I6113 and the IVC-cline outliers carry admixture from populations related to present-day South Asian tribal groups — a genomic component deeply related to Andamanese hunter-gatherers and absent in Copper Age Turkmenistan and Uzbekistan populations, and absent in the non-outlier individuals at Shahr-</w:t>
      </w:r>
      <w:proofErr w:type="spellStart"/>
      <w:r>
        <w:t>i</w:t>
      </w:r>
      <w:proofErr w:type="spellEnd"/>
      <w:r>
        <w:t>-</w:t>
      </w:r>
      <w:proofErr w:type="spellStart"/>
      <w:r>
        <w:t>Sokhta</w:t>
      </w:r>
      <w:proofErr w:type="spellEnd"/>
      <w:r>
        <w:t xml:space="preserve"> (Narasimhan et al., 2019; Basu et al., 2016; Moorjani et al., 2013). This AASI component could only have entered the outliers' ancestry through South Asian contact. The modeling does not require reverse gene flow from Central Asia into South Asia to explain the data.</w:t>
      </w:r>
    </w:p>
    <w:p w14:paraId="5020801E" w14:textId="77777777" w:rsidR="005435E2" w:rsidRDefault="00000000">
      <w:pPr>
        <w:spacing w:after="140" w:line="276" w:lineRule="auto"/>
        <w:jc w:val="both"/>
      </w:pPr>
      <w:r>
        <w:t>The conclusion is unambiguous. As Narasimhan stated, these individuals were possibly even first-generation migrants from South Asia (Narasimhan, quoted in Smithsonian Magazine, 2019). IVC people were living at BMAC sites by 2500 BCE. The trade network was not an exchange of objects between distant cultures. It was operated by people who relocated — carrying their ancestry, their craft knowledge, their burial practices, and their symbolic infrastructure with them (Vondoom, 2026b; Possehl, 2007).</w:t>
      </w:r>
    </w:p>
    <w:p w14:paraId="09DFE8C7" w14:textId="77777777" w:rsidR="005435E2" w:rsidRDefault="00000000">
      <w:pPr>
        <w:pStyle w:val="Heading1"/>
        <w:pBdr>
          <w:bottom w:val="single" w:sz="6" w:space="4" w:color="000000"/>
        </w:pBdr>
      </w:pPr>
      <w:r>
        <w:t>5. DSSM Interpretation: People as Symbolic Infrastructure</w:t>
      </w:r>
    </w:p>
    <w:p w14:paraId="6DF1C0A7" w14:textId="77777777" w:rsidR="005435E2" w:rsidRDefault="00000000">
      <w:pPr>
        <w:spacing w:after="140" w:line="276" w:lineRule="auto"/>
        <w:jc w:val="both"/>
      </w:pPr>
      <w:r>
        <w:t>Standard archaeological trade network analysis focuses on artifact distribution: where objects were found, what they were made of, and what their presence implies about contact between distant cultures (</w:t>
      </w:r>
      <w:proofErr w:type="spellStart"/>
      <w:r>
        <w:t>Frankopan</w:t>
      </w:r>
      <w:proofErr w:type="spellEnd"/>
      <w:r>
        <w:t>, 2015; Lamberg-</w:t>
      </w:r>
      <w:proofErr w:type="spellStart"/>
      <w:r>
        <w:t>Karlovsky</w:t>
      </w:r>
      <w:proofErr w:type="spellEnd"/>
      <w:r>
        <w:t xml:space="preserve">, 2002). The </w:t>
      </w:r>
      <w:proofErr w:type="spellStart"/>
      <w:r>
        <w:t>Rakhigarhi</w:t>
      </w:r>
      <w:proofErr w:type="spellEnd"/>
      <w:r>
        <w:t xml:space="preserve"> genomic evidence operates at a different level of proof. It establishes not that IVC objects reached Central Asian sites — that has been known from material culture analysis for decades (Possehl, 2002; </w:t>
      </w:r>
      <w:proofErr w:type="spellStart"/>
      <w:r>
        <w:t>Parpola</w:t>
      </w:r>
      <w:proofErr w:type="spellEnd"/>
      <w:r>
        <w:t>, 1994) — but that IVC people were present at those sites. This distinction is analytically critical under DSSM.</w:t>
      </w:r>
    </w:p>
    <w:p w14:paraId="6E78C6DE" w14:textId="77777777" w:rsidR="005435E2" w:rsidRDefault="00000000">
      <w:pPr>
        <w:spacing w:after="140" w:line="276" w:lineRule="auto"/>
        <w:jc w:val="both"/>
      </w:pPr>
      <w:r>
        <w:t xml:space="preserve">The IVC's trade network functioned not because objects moved but because a shared symbolic infrastructure made exchange possible across linguistic, cultural, and geographic boundaries (Vondoom, 2026b; Kenoyer, 1998). That infrastructure — the standardized weight system with variance under one percent across thousands of kilometers; the seal corpus encoding merchant identity and institutional affiliation; the metrological conventions that made an IVC carnelian bead legible as a unit of value simultaneously in Ur, </w:t>
      </w:r>
      <w:proofErr w:type="spellStart"/>
      <w:r>
        <w:t>Gonur</w:t>
      </w:r>
      <w:proofErr w:type="spellEnd"/>
      <w:r>
        <w:t xml:space="preserve"> Depe, and Mohenjo-daro (Possehl, 2002; Wright, 2010; Kenoyer, 1998) — was not self-maintaining. It required people who had internalized it through years of repeated practice to carry it into new contexts, enforce its standards, and transmit it across generations.</w:t>
      </w:r>
    </w:p>
    <w:p w14:paraId="2A722AC3" w14:textId="77777777" w:rsidR="005435E2" w:rsidRDefault="00000000">
      <w:pPr>
        <w:spacing w:after="140" w:line="276" w:lineRule="auto"/>
        <w:jc w:val="both"/>
      </w:pPr>
      <w:r>
        <w:t>Table 4 presents the IVC evidence mapped against the four DSSM stages, demonstrating how the genomic data corroborate and extend the archaeological evidence for each stage of symbolic development.</w:t>
      </w:r>
    </w:p>
    <w:p w14:paraId="78DF34E8" w14:textId="77777777" w:rsidR="005435E2" w:rsidRDefault="005435E2">
      <w:pPr>
        <w:spacing w:after="160"/>
      </w:pPr>
    </w:p>
    <w:p w14:paraId="24B65EC6" w14:textId="77777777" w:rsidR="00B77A84" w:rsidRDefault="00B77A84">
      <w:pPr>
        <w:spacing w:before="60" w:after="200"/>
        <w:jc w:val="center"/>
        <w:rPr>
          <w:rFonts w:ascii="Arial" w:eastAsia="Arial" w:hAnsi="Arial" w:cs="Arial"/>
          <w:i/>
          <w:iCs/>
          <w:color w:val="595959"/>
          <w:sz w:val="18"/>
          <w:szCs w:val="18"/>
        </w:rPr>
      </w:pPr>
    </w:p>
    <w:p w14:paraId="6171FBED" w14:textId="77777777" w:rsidR="00B77A84" w:rsidRDefault="00B77A84">
      <w:pPr>
        <w:spacing w:before="60" w:after="200"/>
        <w:jc w:val="center"/>
        <w:rPr>
          <w:rFonts w:ascii="Arial" w:eastAsia="Arial" w:hAnsi="Arial" w:cs="Arial"/>
          <w:i/>
          <w:iCs/>
          <w:color w:val="595959"/>
          <w:sz w:val="18"/>
          <w:szCs w:val="18"/>
        </w:rPr>
      </w:pPr>
    </w:p>
    <w:p w14:paraId="0F11FBF1" w14:textId="77777777" w:rsidR="00B77A84" w:rsidRDefault="00B77A84">
      <w:pPr>
        <w:spacing w:before="60" w:after="200"/>
        <w:jc w:val="center"/>
        <w:rPr>
          <w:rFonts w:ascii="Arial" w:eastAsia="Arial" w:hAnsi="Arial" w:cs="Arial"/>
          <w:i/>
          <w:iCs/>
          <w:color w:val="595959"/>
          <w:sz w:val="18"/>
          <w:szCs w:val="18"/>
        </w:rPr>
      </w:pPr>
    </w:p>
    <w:p w14:paraId="1CA42E0D" w14:textId="77777777" w:rsidR="00B77A84" w:rsidRDefault="00B77A84">
      <w:pPr>
        <w:spacing w:before="60" w:after="200"/>
        <w:jc w:val="center"/>
        <w:rPr>
          <w:rFonts w:ascii="Arial" w:eastAsia="Arial" w:hAnsi="Arial" w:cs="Arial"/>
          <w:i/>
          <w:iCs/>
          <w:color w:val="595959"/>
          <w:sz w:val="18"/>
          <w:szCs w:val="18"/>
        </w:rPr>
      </w:pPr>
    </w:p>
    <w:p w14:paraId="2421DD16" w14:textId="77777777" w:rsidR="00B77A84" w:rsidRDefault="00B77A84">
      <w:pPr>
        <w:spacing w:before="60" w:after="200"/>
        <w:jc w:val="center"/>
        <w:rPr>
          <w:rFonts w:ascii="Arial" w:eastAsia="Arial" w:hAnsi="Arial" w:cs="Arial"/>
          <w:i/>
          <w:iCs/>
          <w:color w:val="595959"/>
          <w:sz w:val="18"/>
          <w:szCs w:val="18"/>
        </w:rPr>
      </w:pPr>
    </w:p>
    <w:p w14:paraId="25FD9FB8" w14:textId="618771B3" w:rsidR="005435E2" w:rsidRDefault="00000000">
      <w:pPr>
        <w:spacing w:before="60" w:after="200"/>
        <w:jc w:val="center"/>
      </w:pPr>
      <w:r>
        <w:rPr>
          <w:rFonts w:ascii="Arial" w:eastAsia="Arial" w:hAnsi="Arial" w:cs="Arial"/>
          <w:i/>
          <w:iCs/>
          <w:color w:val="595959"/>
          <w:sz w:val="18"/>
          <w:szCs w:val="18"/>
        </w:rPr>
        <w:lastRenderedPageBreak/>
        <w:t xml:space="preserve">Table 4. DSSM Stage Classification of the IVC with Genomic Corroboration. Stage criteria from Vondoom (2025a). Archaeological evidence from Kenoyer (1998), Possehl (2002), Wright (2010), and </w:t>
      </w:r>
      <w:proofErr w:type="spellStart"/>
      <w:r>
        <w:rPr>
          <w:rFonts w:ascii="Arial" w:eastAsia="Arial" w:hAnsi="Arial" w:cs="Arial"/>
          <w:i/>
          <w:iCs/>
          <w:color w:val="595959"/>
          <w:sz w:val="18"/>
          <w:szCs w:val="18"/>
        </w:rPr>
        <w:t>Parpola</w:t>
      </w:r>
      <w:proofErr w:type="spellEnd"/>
      <w:r>
        <w:rPr>
          <w:rFonts w:ascii="Arial" w:eastAsia="Arial" w:hAnsi="Arial" w:cs="Arial"/>
          <w:i/>
          <w:iCs/>
          <w:color w:val="595959"/>
          <w:sz w:val="18"/>
          <w:szCs w:val="18"/>
        </w:rPr>
        <w:t xml:space="preserve"> (1994).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2200"/>
        <w:gridCol w:w="3120"/>
        <w:gridCol w:w="2600"/>
      </w:tblGrid>
      <w:tr w:rsidR="005435E2" w14:paraId="3A776BC0" w14:textId="77777777">
        <w:tblPrEx>
          <w:tblCellMar>
            <w:top w:w="0" w:type="dxa"/>
            <w:bottom w:w="0" w:type="dxa"/>
          </w:tblCellMar>
        </w:tblPrEx>
        <w:trPr>
          <w:tblHeader/>
        </w:trPr>
        <w:tc>
          <w:tcPr>
            <w:tcW w:w="14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DE51DDA" w14:textId="77777777" w:rsidR="005435E2" w:rsidRDefault="00000000">
            <w:pPr>
              <w:jc w:val="center"/>
            </w:pPr>
            <w:r>
              <w:rPr>
                <w:rFonts w:ascii="Arial" w:eastAsia="Arial" w:hAnsi="Arial" w:cs="Arial"/>
                <w:b/>
                <w:bCs/>
                <w:sz w:val="19"/>
                <w:szCs w:val="19"/>
              </w:rPr>
              <w:t>DSSM Stage</w:t>
            </w:r>
          </w:p>
        </w:tc>
        <w:tc>
          <w:tcPr>
            <w:tcW w:w="22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9B6FD07" w14:textId="77777777" w:rsidR="005435E2" w:rsidRDefault="00000000">
            <w:pPr>
              <w:jc w:val="center"/>
            </w:pPr>
            <w:r>
              <w:rPr>
                <w:rFonts w:ascii="Arial" w:eastAsia="Arial" w:hAnsi="Arial" w:cs="Arial"/>
                <w:b/>
                <w:bCs/>
                <w:sz w:val="19"/>
                <w:szCs w:val="19"/>
              </w:rPr>
              <w:t>Criterion</w:t>
            </w:r>
          </w:p>
        </w:tc>
        <w:tc>
          <w:tcPr>
            <w:tcW w:w="312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C15BE4C" w14:textId="77777777" w:rsidR="005435E2" w:rsidRDefault="00000000">
            <w:pPr>
              <w:jc w:val="center"/>
            </w:pPr>
            <w:r>
              <w:rPr>
                <w:rFonts w:ascii="Arial" w:eastAsia="Arial" w:hAnsi="Arial" w:cs="Arial"/>
                <w:b/>
                <w:bCs/>
                <w:sz w:val="19"/>
                <w:szCs w:val="19"/>
              </w:rPr>
              <w:t>IVC Evidence</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193251C3" w14:textId="77777777" w:rsidR="005435E2" w:rsidRDefault="00000000">
            <w:pPr>
              <w:jc w:val="center"/>
            </w:pPr>
            <w:r>
              <w:rPr>
                <w:rFonts w:ascii="Arial" w:eastAsia="Arial" w:hAnsi="Arial" w:cs="Arial"/>
                <w:b/>
                <w:bCs/>
                <w:sz w:val="19"/>
                <w:szCs w:val="19"/>
              </w:rPr>
              <w:t>Genomic Corroboration</w:t>
            </w:r>
          </w:p>
        </w:tc>
      </w:tr>
      <w:tr w:rsidR="005435E2" w14:paraId="7BC36BF9" w14:textId="77777777">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26D6A49" w14:textId="77777777" w:rsidR="005435E2" w:rsidRDefault="00000000">
            <w:pPr>
              <w:jc w:val="center"/>
            </w:pPr>
            <w:r>
              <w:rPr>
                <w:b/>
                <w:bCs/>
                <w:sz w:val="19"/>
                <w:szCs w:val="19"/>
              </w:rPr>
              <w:t>Stage I</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A933B94" w14:textId="77777777" w:rsidR="005435E2" w:rsidRDefault="00000000">
            <w:r>
              <w:rPr>
                <w:sz w:val="19"/>
                <w:szCs w:val="19"/>
              </w:rPr>
              <w:t>Embodied Symbolic Familiarity</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D615410" w14:textId="77777777" w:rsidR="005435E2" w:rsidRDefault="00000000">
            <w:r>
              <w:rPr>
                <w:sz w:val="19"/>
                <w:szCs w:val="19"/>
              </w:rPr>
              <w:t>Shared ceramic typologies across 1.5 million km²; uniform terracotta figurines</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9E2C59A" w14:textId="77777777" w:rsidR="005435E2" w:rsidRDefault="00000000">
            <w:r>
              <w:rPr>
                <w:sz w:val="19"/>
                <w:szCs w:val="19"/>
              </w:rPr>
              <w:t>Common ancestry of IVC individuals across sites (Shinde et al., 2019)</w:t>
            </w:r>
          </w:p>
        </w:tc>
      </w:tr>
      <w:tr w:rsidR="005435E2" w14:paraId="3F1AA7C6" w14:textId="77777777">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3123728" w14:textId="77777777" w:rsidR="005435E2" w:rsidRDefault="00000000">
            <w:pPr>
              <w:jc w:val="center"/>
            </w:pPr>
            <w:r>
              <w:rPr>
                <w:b/>
                <w:bCs/>
                <w:sz w:val="19"/>
                <w:szCs w:val="19"/>
              </w:rPr>
              <w:t>Stage II</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CDAAB36" w14:textId="77777777" w:rsidR="005435E2" w:rsidRDefault="00000000">
            <w:r>
              <w:rPr>
                <w:sz w:val="19"/>
                <w:szCs w:val="19"/>
              </w:rPr>
              <w:t>Ritualized Repetition</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BE6FA81" w14:textId="77777777" w:rsidR="005435E2" w:rsidRDefault="00000000">
            <w:r>
              <w:rPr>
                <w:sz w:val="19"/>
                <w:szCs w:val="19"/>
              </w:rPr>
              <w:t>Standardized burial orientation; consistent mortuary assemblages; fire altars at multiple sites (Kenoyer, 1998)</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724F011" w14:textId="77777777" w:rsidR="005435E2" w:rsidRDefault="00000000">
            <w:r>
              <w:rPr>
                <w:sz w:val="19"/>
                <w:szCs w:val="19"/>
              </w:rPr>
              <w:t>Consistent genomic profiles suggest continuous endogamous community transmission</w:t>
            </w:r>
          </w:p>
        </w:tc>
      </w:tr>
      <w:tr w:rsidR="005435E2" w14:paraId="5087B789" w14:textId="77777777">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CA32A79" w14:textId="77777777" w:rsidR="005435E2" w:rsidRDefault="00000000">
            <w:pPr>
              <w:jc w:val="center"/>
            </w:pPr>
            <w:r>
              <w:rPr>
                <w:b/>
                <w:bCs/>
                <w:sz w:val="19"/>
                <w:szCs w:val="19"/>
              </w:rPr>
              <w:t>Stage III</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AA1521B" w14:textId="77777777" w:rsidR="005435E2" w:rsidRDefault="00000000">
            <w:r>
              <w:rPr>
                <w:sz w:val="19"/>
                <w:szCs w:val="19"/>
              </w:rPr>
              <w:t>Material Amplification &amp; Externalization</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9D789BC" w14:textId="77777777" w:rsidR="005435E2" w:rsidRDefault="00000000">
            <w:r>
              <w:rPr>
                <w:sz w:val="19"/>
                <w:szCs w:val="19"/>
              </w:rPr>
              <w:t xml:space="preserve">Seals with identical motifs (c. 2,600 published); standardized weights; script corpus &gt;400 signs (Possehl, 2002; </w:t>
            </w:r>
            <w:proofErr w:type="spellStart"/>
            <w:r>
              <w:rPr>
                <w:sz w:val="19"/>
                <w:szCs w:val="19"/>
              </w:rPr>
              <w:t>Parpola</w:t>
            </w:r>
            <w:proofErr w:type="spellEnd"/>
            <w:r>
              <w:rPr>
                <w:sz w:val="19"/>
                <w:szCs w:val="19"/>
              </w:rPr>
              <w:t>, 1994)</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CCBC66B" w14:textId="77777777" w:rsidR="005435E2" w:rsidRDefault="00000000">
            <w:r>
              <w:rPr>
                <w:sz w:val="19"/>
                <w:szCs w:val="19"/>
              </w:rPr>
              <w:t>Genomic continuity across urban centers confirms no replacement during Mature Harappan</w:t>
            </w:r>
          </w:p>
        </w:tc>
      </w:tr>
      <w:tr w:rsidR="005435E2" w14:paraId="3591D126" w14:textId="77777777">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198D33F" w14:textId="77777777" w:rsidR="005435E2" w:rsidRDefault="00000000">
            <w:pPr>
              <w:jc w:val="center"/>
            </w:pPr>
            <w:r>
              <w:rPr>
                <w:b/>
                <w:bCs/>
                <w:sz w:val="19"/>
                <w:szCs w:val="19"/>
              </w:rPr>
              <w:t>Stage IV</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EECCE82" w14:textId="77777777" w:rsidR="005435E2" w:rsidRDefault="00000000">
            <w:r>
              <w:rPr>
                <w:sz w:val="19"/>
                <w:szCs w:val="19"/>
              </w:rPr>
              <w:t>Cognitive Offloading &amp; Institutional Emergence</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DBB3B07" w14:textId="77777777" w:rsidR="005435E2" w:rsidRDefault="00000000">
            <w:r>
              <w:rPr>
                <w:sz w:val="19"/>
                <w:szCs w:val="19"/>
              </w:rPr>
              <w:t>IVC merchants at BMAC sites; metrological standards replicated 3,000 km from heartland; bead export workshops at Chanhu-</w:t>
            </w:r>
            <w:proofErr w:type="spellStart"/>
            <w:r>
              <w:rPr>
                <w:sz w:val="19"/>
                <w:szCs w:val="19"/>
              </w:rPr>
              <w:t>daro</w:t>
            </w:r>
            <w:proofErr w:type="spellEnd"/>
            <w:r>
              <w:rPr>
                <w:sz w:val="19"/>
                <w:szCs w:val="19"/>
              </w:rPr>
              <w:t xml:space="preserve"> (Wright, 2010)</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2D44CC4" w14:textId="77777777" w:rsidR="005435E2" w:rsidRDefault="00000000">
            <w:r>
              <w:rPr>
                <w:sz w:val="19"/>
                <w:szCs w:val="19"/>
              </w:rPr>
              <w:t xml:space="preserve">11 IVC-cline outliers at </w:t>
            </w:r>
            <w:proofErr w:type="spellStart"/>
            <w:r>
              <w:rPr>
                <w:sz w:val="19"/>
                <w:szCs w:val="19"/>
              </w:rPr>
              <w:t>Gonur</w:t>
            </w:r>
            <w:proofErr w:type="spellEnd"/>
            <w:r>
              <w:rPr>
                <w:sz w:val="19"/>
                <w:szCs w:val="19"/>
              </w:rPr>
              <w:t xml:space="preserve"> Depe and Shahr-</w:t>
            </w:r>
            <w:proofErr w:type="spellStart"/>
            <w:r>
              <w:rPr>
                <w:sz w:val="19"/>
                <w:szCs w:val="19"/>
              </w:rPr>
              <w:t>i</w:t>
            </w:r>
            <w:proofErr w:type="spellEnd"/>
            <w:r>
              <w:rPr>
                <w:sz w:val="19"/>
                <w:szCs w:val="19"/>
              </w:rPr>
              <w:t>-</w:t>
            </w:r>
            <w:proofErr w:type="spellStart"/>
            <w:r>
              <w:rPr>
                <w:sz w:val="19"/>
                <w:szCs w:val="19"/>
              </w:rPr>
              <w:t>Sokhta</w:t>
            </w:r>
            <w:proofErr w:type="spellEnd"/>
            <w:r>
              <w:rPr>
                <w:sz w:val="19"/>
                <w:szCs w:val="19"/>
              </w:rPr>
              <w:t xml:space="preserve"> (Narasimhan et al., 2019)</w:t>
            </w:r>
          </w:p>
        </w:tc>
      </w:tr>
    </w:tbl>
    <w:p w14:paraId="36115F65" w14:textId="77777777" w:rsidR="005435E2" w:rsidRDefault="005435E2">
      <w:pPr>
        <w:spacing w:after="160"/>
      </w:pPr>
    </w:p>
    <w:p w14:paraId="53856F32" w14:textId="77777777" w:rsidR="005435E2" w:rsidRDefault="00000000">
      <w:pPr>
        <w:spacing w:after="140" w:line="276" w:lineRule="auto"/>
        <w:jc w:val="both"/>
      </w:pPr>
      <w:r>
        <w:t xml:space="preserve">The eleven individuals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are, under DSSM, the human face of that infrastructure. They are not adventurers or refugees. They are the distributed nodes of a Stage IV symbolic system — the people whose physical presence at network hubs maintained the error-correcting function that kept the system coherent across vast distances (Vondoom, 2026b). Their burial with South Asian material culture objects is not incidental. It is evidence that they maintained their symbolic identity — their institutional affiliation — even while living outside IVC territory. The objects are the material trace of the cognitive infrastructure they carried.</w:t>
      </w:r>
    </w:p>
    <w:p w14:paraId="4107B245" w14:textId="77777777" w:rsidR="005435E2" w:rsidRDefault="00000000">
      <w:pPr>
        <w:spacing w:after="140" w:line="276" w:lineRule="auto"/>
        <w:jc w:val="both"/>
      </w:pPr>
      <w:r>
        <w:t>This pattern has precise historical analogues. The Sogdian merchant colonies of the historical Silk Road — documented from the third to eighth centuries CE (</w:t>
      </w:r>
      <w:proofErr w:type="spellStart"/>
      <w:r>
        <w:t>Frankopan</w:t>
      </w:r>
      <w:proofErr w:type="spellEnd"/>
      <w:r>
        <w:t xml:space="preserve">, 2015; de la </w:t>
      </w:r>
      <w:proofErr w:type="spellStart"/>
      <w:r>
        <w:t>Vaissière</w:t>
      </w:r>
      <w:proofErr w:type="spellEnd"/>
      <w:r>
        <w:t>, 2005) — operated identically: small communities of traders from a distant origin culture, living at network nodes, maintaining their own material practices and institutional affiliations while facilitating exchange between cultures they bridged. The genomic evidence from 2500 BCE reveals that this model of sustained mercantile diaspora was already operational two thousand years before the Sogdians, along the same geographic corridors.</w:t>
      </w:r>
    </w:p>
    <w:p w14:paraId="5F4EEA7D" w14:textId="77777777" w:rsidR="005435E2" w:rsidRDefault="00000000">
      <w:pPr>
        <w:pStyle w:val="Heading2"/>
      </w:pPr>
      <w:r>
        <w:t>5.1 Resident Agents, Not Passing Traders: What the 25% Frequency Proves</w:t>
      </w:r>
    </w:p>
    <w:p w14:paraId="7186AD0D" w14:textId="77777777" w:rsidR="005435E2" w:rsidRDefault="00000000">
      <w:pPr>
        <w:spacing w:after="140" w:line="276" w:lineRule="auto"/>
        <w:jc w:val="both"/>
      </w:pPr>
      <w:r>
        <w:t xml:space="preserve">The genomic frequency data deserve closer analytical attention than they typically receive. Of the approximately 44 individuals with good-quality genomic data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combined, 11 — roughly 25 percent — carry the IVC-cline ancestry profile (Narasimhan et al., 2019). This figure is not merely a directional signal. It is a population signal. A frequency of one in four individuals at a foreign site carrying IVC ancestry is not consistent with occasional traders passing through. It is consistent with a resident community — a stable, multigenerational group large enough to maintain social cohesion, transmit practices within the group, and reproduce the symbolic system across generations without returning to the heartland.</w:t>
      </w:r>
    </w:p>
    <w:p w14:paraId="56A9BE49" w14:textId="77777777" w:rsidR="005435E2" w:rsidRDefault="00000000">
      <w:pPr>
        <w:spacing w:after="140" w:line="276" w:lineRule="auto"/>
        <w:jc w:val="both"/>
      </w:pPr>
      <w:r>
        <w:t xml:space="preserve">The distinction between a transient trader and a resident agent is not merely descriptive. It is mechanistically decisive for understanding how IVC weight and seal standards could be enforced 3,000 kilometers from </w:t>
      </w:r>
      <w:r>
        <w:lastRenderedPageBreak/>
        <w:t>Mohenjo-daro. A passing trader carries goods and perhaps a reference weight set. A resident agent carries something more durable: embodied knowledge of the system — the intuitive recognition of a correctly weighted carnelian bead, the pattern-recognition that identifies a fraudulent seal impression, the social authority to reject a transaction that violates metrological norms. That knowledge is not transmitted through objects. It is transmitted through practice, observation, and apprenticeship — and it requires a community (Vondoom, 2025a; Lave &amp; Wenger, 1991; Donald, 1991).</w:t>
      </w:r>
    </w:p>
    <w:p w14:paraId="48F5EC62" w14:textId="77777777" w:rsidR="005435E2" w:rsidRDefault="00000000">
      <w:pPr>
        <w:spacing w:after="140" w:line="276" w:lineRule="auto"/>
        <w:jc w:val="both"/>
      </w:pPr>
      <w:r>
        <w:t xml:space="preserve">This is the operational logic of every sustained mercantile diaspora in recorded history. Assyrian merchant colonies at </w:t>
      </w:r>
      <w:proofErr w:type="spellStart"/>
      <w:r>
        <w:t>Kaneš</w:t>
      </w:r>
      <w:proofErr w:type="spellEnd"/>
      <w:r>
        <w:t xml:space="preserve"> (Kültepe) in Anatolia, documented in cuneiform tablets from approximately 1950–1750 BCE, maintained resident communities of Assyrian traders — the </w:t>
      </w:r>
      <w:proofErr w:type="spellStart"/>
      <w:r>
        <w:t>kārum</w:t>
      </w:r>
      <w:proofErr w:type="spellEnd"/>
      <w:r>
        <w:t xml:space="preserve"> — who lived at foreign trade nodes for years or decades, conducted business under Assyrian institutional law, and transmitted commercial knowledge to their children born abroad (Larsen, 1987; Veenhof, 1995). The Gujarati merchant communities of the western Indian Ocean — documented from the medieval period onward at ports from Hormuz to Mombasa — operated identically: resident, institutionally coherent, and capable of enforcing shared commercial norms without enforcement from home (Sheriff, 1987; Prange, 2011). In every documented case, the durability of the trade network was proportional to the depth of the resident community, not to the frequency of individual journeys. The IVC-cline individuals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fit this model precisely.</w:t>
      </w:r>
    </w:p>
    <w:p w14:paraId="1D7A3ABA" w14:textId="77777777" w:rsidR="005435E2" w:rsidRDefault="00000000">
      <w:pPr>
        <w:pStyle w:val="Heading2"/>
      </w:pPr>
      <w:r>
        <w:t>5.2 Intergenerational Transmission Away from Home: The Stage IV Threshold</w:t>
      </w:r>
    </w:p>
    <w:p w14:paraId="752BC437" w14:textId="77777777" w:rsidR="005435E2" w:rsidRDefault="00000000">
      <w:pPr>
        <w:spacing w:after="140" w:line="276" w:lineRule="auto"/>
        <w:jc w:val="both"/>
      </w:pPr>
      <w:r>
        <w:t>The resident agent argument carries a further implication that is, for DSSM, its most significant theoretical claim. If IVC-ancestry individuals were living at BMAC sites as a multigenerational community — raising children there, transmitting commercial practices locally, maintaining institutional affiliation without physical connection to the IVC heartland — then the IVC symbolic system had crossed a specific and theoretically important threshold: it was capable of self-replication at remote nodes without institutional support from the center.</w:t>
      </w:r>
    </w:p>
    <w:p w14:paraId="2B13593C" w14:textId="77777777" w:rsidR="005435E2" w:rsidRDefault="00000000">
      <w:pPr>
        <w:spacing w:after="140" w:line="276" w:lineRule="auto"/>
        <w:jc w:val="both"/>
      </w:pPr>
      <w:r>
        <w:t>This is a strong Stage IV criterion. DSSM defines Stage IV as Cognitive Offloading and Institutional Emergence — the point at which symbolic systems become sufficiently externalized and distributed that they no longer require continuous reinforcement from their origin point (Vondoom, 2025a). Most ancient symbolic systems that appear to achieve Stage IV coherence do so through centralized enforcement: imperial bureaucracies, temple redistribution systems, administrative archives. The IVC is anomalous precisely because it achieved sub-1% weight variance across thousands of kilometers without any detectable central archive, without identified palace complexes, and without a deciphered administrative script (Kenoyer, 1998; Possehl, 2002; Wright, 2010).</w:t>
      </w:r>
    </w:p>
    <w:p w14:paraId="205311D0" w14:textId="77777777" w:rsidR="005435E2" w:rsidRDefault="00000000">
      <w:pPr>
        <w:spacing w:after="140" w:line="276" w:lineRule="auto"/>
        <w:jc w:val="both"/>
      </w:pPr>
      <w:r>
        <w:t xml:space="preserve">The genomic data now provide the missing mechanism. The IVC did not maintain coherence through centralized enforcement. It maintained coherence through distributed human carriers — resident communities of IVC-ancestry individuals at network nodes, each carrying the full symbolic system in embodied form, each capable of transmitting it locally without reference to a central authority. This is precisely what the 25% frequency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implies: communities large enough to be self-sustaining, present at the nodes that mattered, before 2500 BCE. The genome does not merely confirm the trade network. It explains why the network worked — and, critically, why it survived the collapse of the civilization that created it (Vondoom, 2026b; Narasimhan et al., 2019).</w:t>
      </w:r>
    </w:p>
    <w:p w14:paraId="2DDF2930" w14:textId="77777777" w:rsidR="005435E2" w:rsidRDefault="00000000">
      <w:pPr>
        <w:spacing w:after="140" w:line="276" w:lineRule="auto"/>
        <w:jc w:val="both"/>
      </w:pPr>
      <w:r>
        <w:lastRenderedPageBreak/>
        <w:t>A symbolic system that can self-replicate at remote nodes without central authority is a system that does not die when its center collapses. When the IVC urban phase ended — c. 1900 BCE — the routes that IVC agents had maintained did not disappear with the cities. The geographic logic persisted. The institutional memory, carried by dispersed populations and embedded in the material practices of successor cultures across the network, remained. This argument is developed fully in the companion paper on the deep origins of Eurasian trade infrastructure (Vondoom, 2026d). The present paper provides its genomic foundation.</w:t>
      </w:r>
    </w:p>
    <w:p w14:paraId="653BDAFF" w14:textId="77777777" w:rsidR="005435E2" w:rsidRDefault="00000000">
      <w:pPr>
        <w:pStyle w:val="Heading2"/>
      </w:pPr>
      <w:r>
        <w:t xml:space="preserve">5.3 The </w:t>
      </w:r>
      <w:proofErr w:type="spellStart"/>
      <w:r>
        <w:t>Vinča</w:t>
      </w:r>
      <w:proofErr w:type="spellEnd"/>
      <w:r>
        <w:t xml:space="preserve"> Implication: Genomic Separation Strengthens the DSSM Convergence Argument</w:t>
      </w:r>
    </w:p>
    <w:p w14:paraId="444D4A32" w14:textId="77777777" w:rsidR="005435E2" w:rsidRDefault="00000000">
      <w:pPr>
        <w:spacing w:after="140" w:line="276" w:lineRule="auto"/>
        <w:jc w:val="both"/>
      </w:pPr>
      <w:r>
        <w:t xml:space="preserve">The genomic findings from </w:t>
      </w:r>
      <w:proofErr w:type="spellStart"/>
      <w:r>
        <w:t>Rakhigarhi</w:t>
      </w:r>
      <w:proofErr w:type="spellEnd"/>
      <w:r>
        <w:t xml:space="preserve"> have a specific and underappreciated implication for the </w:t>
      </w:r>
      <w:proofErr w:type="spellStart"/>
      <w:r>
        <w:t>Vinča</w:t>
      </w:r>
      <w:proofErr w:type="spellEnd"/>
      <w:r>
        <w:t xml:space="preserve"> symbolic convergence argument documented in Vondoom (2026c). That paper establishes remarkable formal parallels between </w:t>
      </w:r>
      <w:proofErr w:type="spellStart"/>
      <w:r>
        <w:t>Vinča</w:t>
      </w:r>
      <w:proofErr w:type="spellEnd"/>
      <w:r>
        <w:t xml:space="preserve"> symbolic material (c. 5700–4500 BCE) and IVC seal iconography — rectangular seal forms, geometric primitives, cross-media redundancy, low-entropy symbol sequences — and frames these parallels as evidence either of convergent cognitive solutions to shared symbolic stabilization pressures, or of symbolic transmission through intermediate populations without demographic replacement (Vondoom, 2026c; Gimbutas, 1991; Maran &amp; </w:t>
      </w:r>
      <w:proofErr w:type="spellStart"/>
      <w:r>
        <w:t>Stockhammer</w:t>
      </w:r>
      <w:proofErr w:type="spellEnd"/>
      <w:r>
        <w:t>, 2012).</w:t>
      </w:r>
    </w:p>
    <w:p w14:paraId="642426AB" w14:textId="77777777" w:rsidR="005435E2" w:rsidRDefault="00000000">
      <w:pPr>
        <w:spacing w:after="140" w:line="276" w:lineRule="auto"/>
        <w:jc w:val="both"/>
      </w:pPr>
      <w:r>
        <w:t xml:space="preserve">The </w:t>
      </w:r>
      <w:proofErr w:type="spellStart"/>
      <w:r>
        <w:t>Rakhigarhi</w:t>
      </w:r>
      <w:proofErr w:type="spellEnd"/>
      <w:r>
        <w:t xml:space="preserve"> genome closes the genetic transmission route entirely. </w:t>
      </w:r>
      <w:proofErr w:type="spellStart"/>
      <w:r>
        <w:t>Vinča</w:t>
      </w:r>
      <w:proofErr w:type="spellEnd"/>
      <w:r>
        <w:t xml:space="preserve"> culture was constituted by Anatolian-derived Neolithic farmers — a population with no detectable genetic overlap with I6113 or the IVC-cline (Haak et al., 2015; Mathieson et al., 2015; Olalde et al., 2019). There is no genetic pathway connecting </w:t>
      </w:r>
      <w:proofErr w:type="spellStart"/>
      <w:r>
        <w:t>Vinča</w:t>
      </w:r>
      <w:proofErr w:type="spellEnd"/>
      <w:r>
        <w:t xml:space="preserve"> to IVC. The two populations were on separate demographic trajectories from before the </w:t>
      </w:r>
      <w:proofErr w:type="spellStart"/>
      <w:r>
        <w:t>Vinča</w:t>
      </w:r>
      <w:proofErr w:type="spellEnd"/>
      <w:r>
        <w:t xml:space="preserve"> culture existed. Anatolian farmers carried their symbolic traditions westward into Europe; the ancestral IVC substrate was developing independently in South Asia.</w:t>
      </w:r>
    </w:p>
    <w:p w14:paraId="59EC6B66" w14:textId="77777777" w:rsidR="005435E2" w:rsidRDefault="00000000">
      <w:pPr>
        <w:spacing w:after="140" w:line="276" w:lineRule="auto"/>
        <w:jc w:val="both"/>
      </w:pPr>
      <w:r>
        <w:t>This finding does not weaken the symbolic convergence argument. It strengthens it. If the populations were genetically separate, then the formal parallels between their symbolic systems cannot be explained by shared ancestry or direct population contact. They must reflect one of two things: independent cognitive convergence on similar solutions to the problem of portable symbolic encoding — the strongest possible confirmation of DSSM's claim that symbolic primitives are constrained by universal cognitive architecture (Vondoom, 2025a; Deacon, 1997; Donald, 1991) — or transmission of symbolic forms through the BMAC zone, where IVC individuals were physically present alongside populations that had received western symbolic influences through Anatolian corridors. The genomics eliminates the simplest explanation and leaves only the theoretically most interesting ones.</w:t>
      </w:r>
    </w:p>
    <w:p w14:paraId="1270CACB" w14:textId="77777777" w:rsidR="00B77A84" w:rsidRDefault="00B77A84">
      <w:pPr>
        <w:pStyle w:val="Heading1"/>
        <w:pBdr>
          <w:bottom w:val="single" w:sz="6" w:space="4" w:color="000000"/>
        </w:pBdr>
      </w:pPr>
    </w:p>
    <w:p w14:paraId="57B0C65E" w14:textId="77777777" w:rsidR="00B77A84" w:rsidRDefault="00B77A84">
      <w:pPr>
        <w:pStyle w:val="Heading1"/>
        <w:pBdr>
          <w:bottom w:val="single" w:sz="6" w:space="4" w:color="000000"/>
        </w:pBdr>
      </w:pPr>
    </w:p>
    <w:p w14:paraId="0A915786" w14:textId="77777777" w:rsidR="00B77A84" w:rsidRDefault="00B77A84">
      <w:pPr>
        <w:pStyle w:val="Heading1"/>
        <w:pBdr>
          <w:bottom w:val="single" w:sz="6" w:space="4" w:color="000000"/>
        </w:pBdr>
      </w:pPr>
    </w:p>
    <w:p w14:paraId="56CFDE05" w14:textId="77777777" w:rsidR="00B77A84" w:rsidRDefault="00B77A84">
      <w:pPr>
        <w:pStyle w:val="Heading1"/>
        <w:pBdr>
          <w:bottom w:val="single" w:sz="6" w:space="4" w:color="000000"/>
        </w:pBdr>
      </w:pPr>
    </w:p>
    <w:p w14:paraId="37FBA9C7" w14:textId="77777777" w:rsidR="00B77A84" w:rsidRDefault="00B77A84">
      <w:pPr>
        <w:pStyle w:val="Heading1"/>
        <w:pBdr>
          <w:bottom w:val="single" w:sz="6" w:space="4" w:color="000000"/>
        </w:pBdr>
      </w:pPr>
    </w:p>
    <w:p w14:paraId="5DE11CDE" w14:textId="7F854D83" w:rsidR="005435E2" w:rsidRDefault="00000000">
      <w:pPr>
        <w:pStyle w:val="Heading1"/>
        <w:pBdr>
          <w:bottom w:val="single" w:sz="6" w:space="4" w:color="000000"/>
        </w:pBdr>
      </w:pPr>
      <w:r>
        <w:lastRenderedPageBreak/>
        <w:t>6. Confidence Assessment</w:t>
      </w:r>
    </w:p>
    <w:p w14:paraId="201D514F" w14:textId="77777777" w:rsidR="005435E2" w:rsidRDefault="00000000">
      <w:pPr>
        <w:spacing w:after="140" w:line="276" w:lineRule="auto"/>
        <w:jc w:val="both"/>
      </w:pPr>
      <w:r>
        <w:t>Following DSSM methodological standards, all claims are assessed explicitly by confidence level. Table 5 presents the full confidence matrix for this paper's analytical claims.</w:t>
      </w:r>
    </w:p>
    <w:p w14:paraId="1FC50351" w14:textId="77777777" w:rsidR="005435E2" w:rsidRDefault="005435E2">
      <w:pPr>
        <w:spacing w:after="160"/>
      </w:pPr>
    </w:p>
    <w:p w14:paraId="641CF611" w14:textId="77777777" w:rsidR="005435E2" w:rsidRDefault="00000000">
      <w:pPr>
        <w:spacing w:before="60" w:after="200"/>
        <w:jc w:val="center"/>
      </w:pPr>
      <w:r>
        <w:rPr>
          <w:rFonts w:ascii="Arial" w:eastAsia="Arial" w:hAnsi="Arial" w:cs="Arial"/>
          <w:i/>
          <w:iCs/>
          <w:color w:val="595959"/>
          <w:sz w:val="18"/>
          <w:szCs w:val="18"/>
        </w:rPr>
        <w:t>Table 5. DSSM Confidence Assessment Matrix. Confidence levels: High = supported by multiple independent data sources; Medium = supported but requires interpretive inference; Low/Hypothesis = plausible but empirically unconfirmed.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4060"/>
        <w:gridCol w:w="3800"/>
      </w:tblGrid>
      <w:tr w:rsidR="005435E2" w14:paraId="2A862C83" w14:textId="77777777">
        <w:tblPrEx>
          <w:tblCellMar>
            <w:top w:w="0" w:type="dxa"/>
            <w:bottom w:w="0" w:type="dxa"/>
          </w:tblCellMar>
        </w:tblPrEx>
        <w:trPr>
          <w:tblHeader/>
        </w:trPr>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618DA7E" w14:textId="77777777" w:rsidR="005435E2" w:rsidRDefault="00000000">
            <w:pPr>
              <w:jc w:val="center"/>
            </w:pPr>
            <w:r>
              <w:rPr>
                <w:rFonts w:ascii="Arial" w:eastAsia="Arial" w:hAnsi="Arial" w:cs="Arial"/>
                <w:b/>
                <w:bCs/>
                <w:sz w:val="19"/>
                <w:szCs w:val="19"/>
              </w:rPr>
              <w:t>Confidence</w:t>
            </w:r>
          </w:p>
        </w:tc>
        <w:tc>
          <w:tcPr>
            <w:tcW w:w="4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282F854" w14:textId="77777777" w:rsidR="005435E2" w:rsidRDefault="00000000">
            <w:pPr>
              <w:jc w:val="center"/>
            </w:pPr>
            <w:r>
              <w:rPr>
                <w:rFonts w:ascii="Arial" w:eastAsia="Arial" w:hAnsi="Arial" w:cs="Arial"/>
                <w:b/>
                <w:bCs/>
                <w:sz w:val="19"/>
                <w:szCs w:val="19"/>
              </w:rPr>
              <w:t>Claim</w:t>
            </w:r>
          </w:p>
        </w:tc>
        <w:tc>
          <w:tcPr>
            <w:tcW w:w="3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57D7F37" w14:textId="77777777" w:rsidR="005435E2" w:rsidRDefault="00000000">
            <w:pPr>
              <w:jc w:val="center"/>
            </w:pPr>
            <w:r>
              <w:rPr>
                <w:rFonts w:ascii="Arial" w:eastAsia="Arial" w:hAnsi="Arial" w:cs="Arial"/>
                <w:b/>
                <w:bCs/>
                <w:sz w:val="19"/>
                <w:szCs w:val="19"/>
              </w:rPr>
              <w:t>Evidential Basis</w:t>
            </w:r>
          </w:p>
        </w:tc>
      </w:tr>
      <w:tr w:rsidR="005435E2" w14:paraId="5AD422AA"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86654A9"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8CAC4A5" w14:textId="77777777" w:rsidR="005435E2" w:rsidRDefault="00000000">
            <w:r>
              <w:rPr>
                <w:sz w:val="19"/>
                <w:szCs w:val="19"/>
              </w:rPr>
              <w:t xml:space="preserve">I6113 is an authentic ancient genome from an IVC individual at </w:t>
            </w:r>
            <w:proofErr w:type="spellStart"/>
            <w:r>
              <w:rPr>
                <w:sz w:val="19"/>
                <w:szCs w:val="19"/>
              </w:rPr>
              <w:t>Rakhigarhi</w:t>
            </w:r>
            <w:proofErr w:type="spellEnd"/>
            <w:r>
              <w:rPr>
                <w:sz w:val="19"/>
                <w:szCs w:val="19"/>
              </w:rPr>
              <w:t>, c. 2500 BCE</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5E69AF9" w14:textId="77777777" w:rsidR="005435E2" w:rsidRDefault="00000000">
            <w:r>
              <w:rPr>
                <w:sz w:val="19"/>
                <w:szCs w:val="19"/>
              </w:rPr>
              <w:t>Shinde et al. (2019); archaeological context confirmed by burial customs, pottery, and ornamental assemblage</w:t>
            </w:r>
          </w:p>
        </w:tc>
      </w:tr>
      <w:tr w:rsidR="005435E2" w14:paraId="21C97F30"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742B64B"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5580940" w14:textId="77777777" w:rsidR="005435E2" w:rsidRDefault="00000000">
            <w:r>
              <w:rPr>
                <w:sz w:val="19"/>
                <w:szCs w:val="19"/>
              </w:rPr>
              <w:t>IVC ancestry = ancient Iranian-related + AASI; zero steppe ancestry; zero Anatolian farmer ancestry</w:t>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D67CA52" w14:textId="77777777" w:rsidR="005435E2" w:rsidRDefault="00000000">
            <w:r>
              <w:rPr>
                <w:sz w:val="19"/>
                <w:szCs w:val="19"/>
              </w:rPr>
              <w:t xml:space="preserve">Shinde et al. (2019); Narasimhan et al. (2019); </w:t>
            </w:r>
            <w:proofErr w:type="spellStart"/>
            <w:r>
              <w:rPr>
                <w:sz w:val="19"/>
                <w:szCs w:val="19"/>
              </w:rPr>
              <w:t>qpAdm</w:t>
            </w:r>
            <w:proofErr w:type="spellEnd"/>
            <w:r>
              <w:rPr>
                <w:sz w:val="19"/>
                <w:szCs w:val="19"/>
              </w:rPr>
              <w:t xml:space="preserve"> and </w:t>
            </w:r>
            <w:proofErr w:type="spellStart"/>
            <w:r>
              <w:rPr>
                <w:sz w:val="19"/>
                <w:szCs w:val="19"/>
              </w:rPr>
              <w:t>qpGraph</w:t>
            </w:r>
            <w:proofErr w:type="spellEnd"/>
            <w:r>
              <w:rPr>
                <w:sz w:val="19"/>
                <w:szCs w:val="19"/>
              </w:rPr>
              <w:t xml:space="preserve"> modelling</w:t>
            </w:r>
          </w:p>
        </w:tc>
      </w:tr>
      <w:tr w:rsidR="005435E2" w14:paraId="2D35D468"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A210E48"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12DC2AF" w14:textId="77777777" w:rsidR="005435E2" w:rsidRDefault="00000000">
            <w:r>
              <w:rPr>
                <w:sz w:val="19"/>
                <w:szCs w:val="19"/>
              </w:rPr>
              <w:t>Iranian-related ancestry in IVC diverged from Iranian plateau lineages &gt;12,000 YBP — shared ancestor, not migration</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392AE50" w14:textId="77777777" w:rsidR="005435E2" w:rsidRDefault="00000000">
            <w:r>
              <w:rPr>
                <w:sz w:val="19"/>
                <w:szCs w:val="19"/>
              </w:rPr>
              <w:t>Shinde et al. (2019); explicitly contradicts Anatolian spread hypothesis; Haak et al. (2015)</w:t>
            </w:r>
          </w:p>
        </w:tc>
      </w:tr>
      <w:tr w:rsidR="005435E2" w14:paraId="7B4B7410"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5226D1B"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4C057B0" w14:textId="77777777" w:rsidR="005435E2" w:rsidRDefault="00000000">
            <w:r>
              <w:rPr>
                <w:sz w:val="19"/>
                <w:szCs w:val="19"/>
              </w:rPr>
              <w:t xml:space="preserve">11 IVC-cline outliers at </w:t>
            </w:r>
            <w:proofErr w:type="spellStart"/>
            <w:r>
              <w:rPr>
                <w:sz w:val="19"/>
                <w:szCs w:val="19"/>
              </w:rPr>
              <w:t>Gonur</w:t>
            </w:r>
            <w:proofErr w:type="spellEnd"/>
            <w:r>
              <w:rPr>
                <w:sz w:val="19"/>
                <w:szCs w:val="19"/>
              </w:rPr>
              <w:t xml:space="preserve"> Depe and Shahr-</w:t>
            </w:r>
            <w:proofErr w:type="spellStart"/>
            <w:r>
              <w:rPr>
                <w:sz w:val="19"/>
                <w:szCs w:val="19"/>
              </w:rPr>
              <w:t>i</w:t>
            </w:r>
            <w:proofErr w:type="spellEnd"/>
            <w:r>
              <w:rPr>
                <w:sz w:val="19"/>
                <w:szCs w:val="19"/>
              </w:rPr>
              <w:t>-</w:t>
            </w:r>
            <w:proofErr w:type="spellStart"/>
            <w:r>
              <w:rPr>
                <w:sz w:val="19"/>
                <w:szCs w:val="19"/>
              </w:rPr>
              <w:t>Sokhta</w:t>
            </w:r>
            <w:proofErr w:type="spellEnd"/>
            <w:r>
              <w:rPr>
                <w:sz w:val="19"/>
                <w:szCs w:val="19"/>
              </w:rPr>
              <w:t xml:space="preserve"> represent movement out of South Asia, not into it</w:t>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1F0BB3A" w14:textId="77777777" w:rsidR="005435E2" w:rsidRDefault="00000000">
            <w:r>
              <w:rPr>
                <w:sz w:val="19"/>
                <w:szCs w:val="19"/>
              </w:rPr>
              <w:t>Three independent evidential lines in Narasimhan et al. (2019); material culture corroboration</w:t>
            </w:r>
          </w:p>
        </w:tc>
      </w:tr>
      <w:tr w:rsidR="005435E2" w14:paraId="2B9DF624"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8B07B68"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57B0658" w14:textId="77777777" w:rsidR="005435E2" w:rsidRDefault="00000000">
            <w:r>
              <w:rPr>
                <w:sz w:val="19"/>
                <w:szCs w:val="19"/>
              </w:rPr>
              <w:t>IVC ancestry is the primary genetic source of modern South Asian ancestry</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BAF3556" w14:textId="77777777" w:rsidR="005435E2" w:rsidRDefault="00000000">
            <w:r>
              <w:rPr>
                <w:sz w:val="19"/>
                <w:szCs w:val="19"/>
              </w:rPr>
              <w:t>Reich (2018); Narasimhan et al. (2019); Moorjani et al. (2013)</w:t>
            </w:r>
          </w:p>
        </w:tc>
      </w:tr>
      <w:tr w:rsidR="005435E2" w14:paraId="541203BA"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5F88B02" w14:textId="77777777" w:rsidR="005435E2" w:rsidRDefault="00000000">
            <w:pPr>
              <w:jc w:val="center"/>
            </w:pPr>
            <w:r>
              <w:rPr>
                <w:b/>
                <w:bCs/>
                <w:sz w:val="19"/>
                <w:szCs w:val="19"/>
              </w:rPr>
              <w:t>High</w:t>
            </w:r>
          </w:p>
        </w:tc>
        <w:tc>
          <w:tcPr>
            <w:tcW w:w="4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AF9B3F5" w14:textId="77777777" w:rsidR="005435E2" w:rsidRDefault="00000000">
            <w:r>
              <w:rPr>
                <w:sz w:val="19"/>
                <w:szCs w:val="19"/>
              </w:rPr>
              <w:t xml:space="preserve">AASI component in IVC-cline outliers is absent in local </w:t>
            </w:r>
            <w:proofErr w:type="spellStart"/>
            <w:r>
              <w:rPr>
                <w:sz w:val="19"/>
                <w:szCs w:val="19"/>
              </w:rPr>
              <w:t>Turkmenistani</w:t>
            </w:r>
            <w:proofErr w:type="spellEnd"/>
            <w:r>
              <w:rPr>
                <w:sz w:val="19"/>
                <w:szCs w:val="19"/>
              </w:rPr>
              <w:t xml:space="preserve"> and Iranian populations</w:t>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8796485" w14:textId="77777777" w:rsidR="005435E2" w:rsidRDefault="00000000">
            <w:r>
              <w:rPr>
                <w:sz w:val="19"/>
                <w:szCs w:val="19"/>
              </w:rPr>
              <w:t>Narasimhan et al. (2019); confirms South Asian origin of outliers</w:t>
            </w:r>
          </w:p>
        </w:tc>
      </w:tr>
      <w:tr w:rsidR="005435E2" w14:paraId="749F210F"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225E65D" w14:textId="77777777" w:rsidR="005435E2" w:rsidRDefault="00000000">
            <w:pPr>
              <w:jc w:val="center"/>
            </w:pPr>
            <w:r>
              <w:rPr>
                <w:sz w:val="19"/>
                <w:szCs w:val="19"/>
              </w:rPr>
              <w:t>Medium</w:t>
            </w:r>
          </w:p>
        </w:tc>
        <w:tc>
          <w:tcPr>
            <w:tcW w:w="4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0357ED" w14:textId="77777777" w:rsidR="005435E2" w:rsidRDefault="00000000">
            <w:r>
              <w:rPr>
                <w:sz w:val="19"/>
                <w:szCs w:val="19"/>
              </w:rPr>
              <w:t>IVC-cline individuals at BMAC sites represent sustained mercantile diaspora, not one-off migration events</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250E649" w14:textId="77777777" w:rsidR="005435E2" w:rsidRDefault="00000000">
            <w:r>
              <w:rPr>
                <w:sz w:val="19"/>
                <w:szCs w:val="19"/>
              </w:rPr>
              <w:t>25% outlier frequency; material affiliations; DSSM trade infrastructure analysis (Vondoom, 2026b)</w:t>
            </w:r>
          </w:p>
        </w:tc>
      </w:tr>
      <w:tr w:rsidR="005435E2" w14:paraId="00F62A09"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7C4328B" w14:textId="77777777" w:rsidR="005435E2" w:rsidRDefault="00000000">
            <w:pPr>
              <w:jc w:val="center"/>
            </w:pPr>
            <w:r>
              <w:rPr>
                <w:sz w:val="19"/>
                <w:szCs w:val="19"/>
              </w:rPr>
              <w:t>Medium</w:t>
            </w:r>
          </w:p>
        </w:tc>
        <w:tc>
          <w:tcPr>
            <w:tcW w:w="4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CD3ACBA" w14:textId="77777777" w:rsidR="005435E2" w:rsidRDefault="00000000">
            <w:r>
              <w:rPr>
                <w:sz w:val="19"/>
                <w:szCs w:val="19"/>
              </w:rPr>
              <w:t xml:space="preserve">Symbolic convergences between </w:t>
            </w:r>
            <w:proofErr w:type="spellStart"/>
            <w:r>
              <w:rPr>
                <w:sz w:val="19"/>
                <w:szCs w:val="19"/>
              </w:rPr>
              <w:t>Vinča</w:t>
            </w:r>
            <w:proofErr w:type="spellEnd"/>
            <w:r>
              <w:rPr>
                <w:sz w:val="19"/>
                <w:szCs w:val="19"/>
              </w:rPr>
              <w:t xml:space="preserve"> and IVC reflect independent cognitive solutions or BMAC-zone relay, not genetic transmission</w:t>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F96382F" w14:textId="77777777" w:rsidR="005435E2" w:rsidRDefault="00000000">
            <w:proofErr w:type="spellStart"/>
            <w:r>
              <w:rPr>
                <w:sz w:val="19"/>
                <w:szCs w:val="19"/>
              </w:rPr>
              <w:t>Vinča</w:t>
            </w:r>
            <w:proofErr w:type="spellEnd"/>
            <w:r>
              <w:rPr>
                <w:sz w:val="19"/>
                <w:szCs w:val="19"/>
              </w:rPr>
              <w:t xml:space="preserve"> DNA = Anatolian-derived; zero genetic overlap with IVC; Vondoom (2026c); Haak et al. (2015)</w:t>
            </w:r>
          </w:p>
        </w:tc>
      </w:tr>
      <w:tr w:rsidR="005435E2" w14:paraId="7981FAF6"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EB74F44" w14:textId="77777777" w:rsidR="005435E2" w:rsidRDefault="00000000">
            <w:pPr>
              <w:jc w:val="center"/>
            </w:pPr>
            <w:r>
              <w:rPr>
                <w:sz w:val="19"/>
                <w:szCs w:val="19"/>
              </w:rPr>
              <w:t>Low / Hypothesis</w:t>
            </w:r>
          </w:p>
        </w:tc>
        <w:tc>
          <w:tcPr>
            <w:tcW w:w="4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968E627" w14:textId="77777777" w:rsidR="005435E2" w:rsidRDefault="00000000">
            <w:r>
              <w:rPr>
                <w:sz w:val="19"/>
                <w:szCs w:val="19"/>
              </w:rPr>
              <w:t>BMAC zone functioned as simultaneous convergence point for western and eastern symbolic dispersal streams by 2500 BCE</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852548A" w14:textId="77777777" w:rsidR="005435E2" w:rsidRDefault="00000000">
            <w:r>
              <w:rPr>
                <w:sz w:val="19"/>
                <w:szCs w:val="19"/>
              </w:rPr>
              <w:t>BMAC artifact assemblage; geographic position; requires further symbolic corpus analysis</w:t>
            </w:r>
          </w:p>
        </w:tc>
      </w:tr>
    </w:tbl>
    <w:p w14:paraId="0A859E7D" w14:textId="77777777" w:rsidR="005435E2" w:rsidRDefault="005435E2">
      <w:pPr>
        <w:spacing w:after="160"/>
      </w:pPr>
    </w:p>
    <w:p w14:paraId="431DE346" w14:textId="77777777" w:rsidR="005435E2" w:rsidRDefault="00000000">
      <w:pPr>
        <w:pStyle w:val="Heading1"/>
        <w:pBdr>
          <w:bottom w:val="single" w:sz="6" w:space="4" w:color="000000"/>
        </w:pBdr>
      </w:pPr>
      <w:r>
        <w:t>7. SDG Alignment</w:t>
      </w:r>
    </w:p>
    <w:p w14:paraId="6CA4C14E" w14:textId="77777777" w:rsidR="005435E2" w:rsidRDefault="00000000">
      <w:pPr>
        <w:spacing w:after="140" w:line="276" w:lineRule="auto"/>
        <w:jc w:val="both"/>
      </w:pPr>
      <w:r>
        <w:t xml:space="preserve">SDG 4 (Quality Education): Accurate genomic history of South Asian civilization contributes to more complete and equitable global historical education. The incorporation of </w:t>
      </w:r>
      <w:proofErr w:type="spellStart"/>
      <w:r>
        <w:t>Rakhigarhi</w:t>
      </w:r>
      <w:proofErr w:type="spellEnd"/>
      <w:r>
        <w:t xml:space="preserve"> findings into Indian national school curricula represents a model for evidence-based historical revision, directly supporting Target 4.7 (education for sustainable development and global citizenship).</w:t>
      </w:r>
    </w:p>
    <w:p w14:paraId="0798B51E" w14:textId="77777777" w:rsidR="005435E2" w:rsidRDefault="00000000">
      <w:pPr>
        <w:spacing w:after="140" w:line="276" w:lineRule="auto"/>
        <w:jc w:val="both"/>
      </w:pPr>
      <w:r>
        <w:t xml:space="preserve">SDG 10 (Reduced Inequalities): Establishing the IVC as an indigenously developed civilization of the first order — not a derivative of external migrations — addresses systematic underrepresentation of South Asian civilizational origins in global historical narratives. The finding that modern South Asians are primarily </w:t>
      </w:r>
      <w:r>
        <w:lastRenderedPageBreak/>
        <w:t>descended from IVC ancestry challenges narratives that have historically ranked civilizations by external origin (Narasimhan et al., 2019; Reich, 2018).</w:t>
      </w:r>
    </w:p>
    <w:p w14:paraId="0868E30B" w14:textId="77777777" w:rsidR="005435E2" w:rsidRDefault="00000000">
      <w:pPr>
        <w:spacing w:after="140" w:line="276" w:lineRule="auto"/>
        <w:jc w:val="both"/>
      </w:pPr>
      <w:r>
        <w:t>SDG 16 (Peace, Justice and Strong Institutions): The genomic finding that the IVC was not constituted by steppe migration directly challenges politically motivated historical narratives that have been used to justify caste hierarchy and ethnic nationalism in South Asia. Accurate evidence is a foundation of institutional justice, consistent with Target 16.10 (ensuring public access to information).</w:t>
      </w:r>
    </w:p>
    <w:p w14:paraId="3ADAD7BE" w14:textId="77777777" w:rsidR="005435E2" w:rsidRDefault="00000000">
      <w:pPr>
        <w:spacing w:after="140" w:line="276" w:lineRule="auto"/>
        <w:jc w:val="both"/>
      </w:pPr>
      <w:r>
        <w:t xml:space="preserve">SDG 17 (Partnerships for the Goals): The </w:t>
      </w:r>
      <w:proofErr w:type="spellStart"/>
      <w:r>
        <w:t>Rakhigarhi</w:t>
      </w:r>
      <w:proofErr w:type="spellEnd"/>
      <w:r>
        <w:t xml:space="preserve"> findings required international collaboration across India, the United States, and Korea. The research agenda they generate — further ancient DNA extraction from IVC sites — requires continued international scientific partnership, directly embodying Target 17.6 (enhanced international cooperation on science, technology, and innovation).</w:t>
      </w:r>
    </w:p>
    <w:p w14:paraId="78935715" w14:textId="77777777" w:rsidR="005435E2" w:rsidRDefault="00000000">
      <w:pPr>
        <w:pStyle w:val="Heading1"/>
        <w:pBdr>
          <w:bottom w:val="single" w:sz="6" w:space="4" w:color="000000"/>
        </w:pBdr>
      </w:pPr>
      <w:r>
        <w:t>8. Conclusion</w:t>
      </w:r>
    </w:p>
    <w:p w14:paraId="4780B046" w14:textId="77777777" w:rsidR="005435E2" w:rsidRDefault="00000000">
      <w:pPr>
        <w:spacing w:after="140" w:line="276" w:lineRule="auto"/>
        <w:jc w:val="both"/>
      </w:pPr>
      <w:r>
        <w:t xml:space="preserve">The woman buried at </w:t>
      </w:r>
      <w:proofErr w:type="spellStart"/>
      <w:r>
        <w:t>Rakhigarhi</w:t>
      </w:r>
      <w:proofErr w:type="spellEnd"/>
      <w:r>
        <w:t xml:space="preserve"> around 2500 BCE did not know she would wait four thousand five hundred years to be heard. The sixty-one attempts required to find her voice, the hundred sequencing runs required to read it, and the international collaboration required to interpret it are proportionate to what she had to say (Shinde et al., 2019; Narasimhan et al., 2019).</w:t>
      </w:r>
    </w:p>
    <w:p w14:paraId="2EF739A2" w14:textId="77777777" w:rsidR="005435E2" w:rsidRDefault="00000000">
      <w:pPr>
        <w:spacing w:after="140" w:line="276" w:lineRule="auto"/>
        <w:jc w:val="both"/>
      </w:pPr>
      <w:r>
        <w:t xml:space="preserve">She was not a migrant from Iran or the steppe. She was from here — descended from populations that had occupied South Asia for tens of thousands of years, who developed agriculture independently, who built one of the world's first large-scale urban civilizations without external demographic replacement, and whose genetic heritage is the primary source of modern South Asian ancestry today (Shinde et al., 2019; Reich, 2018; Moorjani et al., 2013). The steppe migrants who brought Indo-European languages and the Vedic tradition arrived later — after her civilization had already risen and declined (Narasimhan et al., 2019; </w:t>
      </w:r>
      <w:proofErr w:type="spellStart"/>
      <w:r>
        <w:t>Parpola</w:t>
      </w:r>
      <w:proofErr w:type="spellEnd"/>
      <w:r>
        <w:t>, 2015; Anthony, 2007).</w:t>
      </w:r>
    </w:p>
    <w:p w14:paraId="5D6ACB46" w14:textId="77777777" w:rsidR="005435E2" w:rsidRDefault="00000000">
      <w:pPr>
        <w:spacing w:after="140" w:line="276" w:lineRule="auto"/>
        <w:jc w:val="both"/>
      </w:pPr>
      <w:r>
        <w:t xml:space="preserve">She tells us what the IVC was not. Her genetic cousins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tell us what it was. It was a network civilization — a Stage IV symbolic system that maintained coherence across vast territories through distributed symbolic infrastructure, and that placed its own people at the nodes of that network (Vondoom, 2026b; Possehl, 2007). Those people carried IVC ancestry, IVC material culture, and IVC institutional knowledge to the geographic heart of what would become, fifteen hundred years later, the Silk Road.</w:t>
      </w:r>
    </w:p>
    <w:p w14:paraId="65052AF2" w14:textId="77777777" w:rsidR="005435E2" w:rsidRDefault="00000000">
      <w:pPr>
        <w:spacing w:after="140" w:line="276" w:lineRule="auto"/>
        <w:jc w:val="both"/>
      </w:pPr>
      <w:r>
        <w:t xml:space="preserve">The Silk Road did not create Eurasian long-distance trade. It formalized what was already there. The genome of I6113, combined with the eleven individuals who share her ancestry profile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constitutes the genomic proof that it was already there — operated by people, not just by objects, by 2500 BCE (Narasimhan et al., 2019; </w:t>
      </w:r>
      <w:proofErr w:type="spellStart"/>
      <w:r>
        <w:t>Frankopan</w:t>
      </w:r>
      <w:proofErr w:type="spellEnd"/>
      <w:r>
        <w:t>, 2015; Possehl, 2007).</w:t>
      </w:r>
    </w:p>
    <w:p w14:paraId="124D830C" w14:textId="77777777" w:rsidR="005435E2" w:rsidRDefault="00000000">
      <w:r>
        <w:br w:type="page"/>
      </w:r>
    </w:p>
    <w:p w14:paraId="42A923DF" w14:textId="77777777" w:rsidR="005435E2" w:rsidRDefault="00000000">
      <w:pPr>
        <w:pStyle w:val="Heading1"/>
        <w:pBdr>
          <w:bottom w:val="single" w:sz="6" w:space="4" w:color="000000"/>
        </w:pBdr>
      </w:pPr>
      <w:r>
        <w:lastRenderedPageBreak/>
        <w:t>References</w:t>
      </w:r>
    </w:p>
    <w:p w14:paraId="6DD20AE9" w14:textId="77777777" w:rsidR="005435E2" w:rsidRDefault="00000000">
      <w:pPr>
        <w:spacing w:after="100"/>
        <w:ind w:left="720" w:hanging="720"/>
        <w:jc w:val="both"/>
      </w:pPr>
      <w:r>
        <w:rPr>
          <w:sz w:val="20"/>
          <w:szCs w:val="20"/>
        </w:rPr>
        <w:t>Anthony, D.W. (2007). The Horse, the Wheel, and Language: How Bronze-Age Riders from the Eurasian Steppes Shaped the Modern World. Princeton University Press.</w:t>
      </w:r>
    </w:p>
    <w:p w14:paraId="2DF971E0" w14:textId="77777777" w:rsidR="005435E2" w:rsidRDefault="00000000">
      <w:pPr>
        <w:spacing w:after="100"/>
        <w:ind w:left="720" w:hanging="720"/>
        <w:jc w:val="both"/>
      </w:pPr>
      <w:r>
        <w:rPr>
          <w:sz w:val="20"/>
          <w:szCs w:val="20"/>
        </w:rPr>
        <w:t>Basu, A., Sarkar-Roy, N., &amp; Majumder, P.P. (2016). Genomic reconstruction of the history of extant populations of India reveals five distinct ancestral components and a complex structure. Proceedings of the National Academy of Sciences, 113(6), 1594–1599. https://doi.org/10.1073/pnas.1513197113</w:t>
      </w:r>
    </w:p>
    <w:p w14:paraId="55926123" w14:textId="77777777" w:rsidR="005435E2" w:rsidRDefault="00000000">
      <w:pPr>
        <w:spacing w:after="100"/>
        <w:ind w:left="720" w:hanging="720"/>
        <w:jc w:val="both"/>
      </w:pPr>
      <w:r>
        <w:rPr>
          <w:sz w:val="20"/>
          <w:szCs w:val="20"/>
        </w:rPr>
        <w:t>Briggs, A.W., Stenzel, U., Johnson, P.L.F., et al. (2007). Patterns of damage in genomic DNA sequences from a Neandertal. Proceedings of the National Academy of Sciences, 104(37), 14616–14621. https://doi.org/10.1073/pnas.0704665104</w:t>
      </w:r>
    </w:p>
    <w:p w14:paraId="6BA54F7B" w14:textId="77777777" w:rsidR="005435E2" w:rsidRDefault="00000000">
      <w:pPr>
        <w:spacing w:after="100"/>
        <w:ind w:left="720" w:hanging="720"/>
        <w:jc w:val="both"/>
      </w:pPr>
      <w:r>
        <w:rPr>
          <w:sz w:val="20"/>
          <w:szCs w:val="20"/>
        </w:rPr>
        <w:t>Dabney, J., Knapp, M., Glocke, I., et al. (2013). Complete mitochondrial genome sequence of a Middle Pleistocene cave bear reconstructed from ultrashort DNA fragments. Proceedings of the National Academy of Sciences, 110(39), 15758–15763. https://doi.org/10.1073/pnas.1314445110</w:t>
      </w:r>
    </w:p>
    <w:p w14:paraId="3FE724BC" w14:textId="77777777" w:rsidR="005435E2" w:rsidRDefault="00000000">
      <w:pPr>
        <w:spacing w:after="100"/>
        <w:ind w:left="720" w:hanging="720"/>
        <w:jc w:val="both"/>
      </w:pPr>
      <w:r>
        <w:rPr>
          <w:sz w:val="20"/>
          <w:szCs w:val="20"/>
        </w:rPr>
        <w:t>Deacon, T.W. (1997). The Symbolic Species: The Co-evolution of Language and the Brain. W.W. Norton.</w:t>
      </w:r>
    </w:p>
    <w:p w14:paraId="21790E4D" w14:textId="77777777" w:rsidR="005435E2" w:rsidRDefault="00000000">
      <w:pPr>
        <w:spacing w:after="100"/>
        <w:ind w:left="720" w:hanging="720"/>
        <w:jc w:val="both"/>
      </w:pPr>
      <w:r>
        <w:rPr>
          <w:sz w:val="20"/>
          <w:szCs w:val="20"/>
        </w:rPr>
        <w:t xml:space="preserve">de la </w:t>
      </w:r>
      <w:proofErr w:type="spellStart"/>
      <w:r>
        <w:rPr>
          <w:sz w:val="20"/>
          <w:szCs w:val="20"/>
        </w:rPr>
        <w:t>Vaissière</w:t>
      </w:r>
      <w:proofErr w:type="spellEnd"/>
      <w:r>
        <w:rPr>
          <w:sz w:val="20"/>
          <w:szCs w:val="20"/>
        </w:rPr>
        <w:t>, E. (2005). Sogdian Traders: A History. Brill.</w:t>
      </w:r>
    </w:p>
    <w:p w14:paraId="3C2656D2" w14:textId="77777777" w:rsidR="005435E2" w:rsidRDefault="00000000">
      <w:pPr>
        <w:spacing w:after="100"/>
        <w:ind w:left="720" w:hanging="720"/>
        <w:jc w:val="both"/>
      </w:pPr>
      <w:r>
        <w:rPr>
          <w:sz w:val="20"/>
          <w:szCs w:val="20"/>
        </w:rPr>
        <w:t>Donald, M. (1991). Origins of the Modern Mind: Three Stages in the Evolution of Culture and Cognition. Harvard University Press.</w:t>
      </w:r>
    </w:p>
    <w:p w14:paraId="25DD8EA2" w14:textId="77777777" w:rsidR="005435E2" w:rsidRDefault="00000000">
      <w:pPr>
        <w:spacing w:after="100"/>
        <w:ind w:left="720" w:hanging="720"/>
        <w:jc w:val="both"/>
      </w:pPr>
      <w:r>
        <w:rPr>
          <w:sz w:val="20"/>
          <w:szCs w:val="20"/>
        </w:rPr>
        <w:t>Frankfort, H. (1996). The Art and Architecture of the Ancient Orient (5th ed.). Yale University Press.</w:t>
      </w:r>
    </w:p>
    <w:p w14:paraId="3FB5963F" w14:textId="77777777" w:rsidR="005435E2" w:rsidRDefault="00000000">
      <w:pPr>
        <w:spacing w:after="100"/>
        <w:ind w:left="720" w:hanging="720"/>
        <w:jc w:val="both"/>
      </w:pPr>
      <w:proofErr w:type="spellStart"/>
      <w:r>
        <w:rPr>
          <w:sz w:val="20"/>
          <w:szCs w:val="20"/>
        </w:rPr>
        <w:t>Frankopan</w:t>
      </w:r>
      <w:proofErr w:type="spellEnd"/>
      <w:r>
        <w:rPr>
          <w:sz w:val="20"/>
          <w:szCs w:val="20"/>
        </w:rPr>
        <w:t>, P. (2015). The Silk Roads: A New History. Bloomsbury Publishing.</w:t>
      </w:r>
    </w:p>
    <w:p w14:paraId="3451CDF9" w14:textId="77777777" w:rsidR="005435E2" w:rsidRDefault="00000000">
      <w:pPr>
        <w:spacing w:after="100"/>
        <w:ind w:left="720" w:hanging="720"/>
        <w:jc w:val="both"/>
      </w:pPr>
      <w:r>
        <w:rPr>
          <w:sz w:val="20"/>
          <w:szCs w:val="20"/>
        </w:rPr>
        <w:t>Fuller, D.Q. (2006). Agricultural Origins and Frontiers in South Asia: A Working Synthesis. Journal of World Prehistory, 20(1), 1–86. https://doi.org/10.1007/s10963-006-9006-8</w:t>
      </w:r>
    </w:p>
    <w:p w14:paraId="41579031" w14:textId="77777777" w:rsidR="005435E2" w:rsidRDefault="00000000">
      <w:pPr>
        <w:spacing w:after="100"/>
        <w:ind w:left="720" w:hanging="720"/>
        <w:jc w:val="both"/>
      </w:pPr>
      <w:r>
        <w:rPr>
          <w:sz w:val="20"/>
          <w:szCs w:val="20"/>
        </w:rPr>
        <w:t>Gimbutas, M. (1991). The Civilization of the Goddess: The World of Old Europe. HarperCollins.</w:t>
      </w:r>
    </w:p>
    <w:p w14:paraId="57436D42" w14:textId="77777777" w:rsidR="005435E2" w:rsidRDefault="00000000">
      <w:pPr>
        <w:spacing w:after="100"/>
        <w:ind w:left="720" w:hanging="720"/>
        <w:jc w:val="both"/>
      </w:pPr>
      <w:r>
        <w:rPr>
          <w:sz w:val="20"/>
          <w:szCs w:val="20"/>
        </w:rPr>
        <w:t>Green, R.E., Krause, J., Briggs, A.W., et al. (2010). A Draft Sequence of the Neandertal Genome. Science, 328(5979), 710–722. https://doi.org/10.1126/science.1188021</w:t>
      </w:r>
    </w:p>
    <w:p w14:paraId="50C3656D" w14:textId="77777777" w:rsidR="005435E2" w:rsidRDefault="00000000">
      <w:pPr>
        <w:spacing w:after="100"/>
        <w:ind w:left="720" w:hanging="720"/>
        <w:jc w:val="both"/>
      </w:pPr>
      <w:r>
        <w:rPr>
          <w:sz w:val="20"/>
          <w:szCs w:val="20"/>
        </w:rPr>
        <w:t>Guarino-Vignon, P., et al. (2022). Genetic continuity of Bronze Age ancestry in Iron Age Pannonia. Scientific Reports, 12. https://doi.org/10.1038/s41598-022-06104-0</w:t>
      </w:r>
    </w:p>
    <w:p w14:paraId="7316E860" w14:textId="77777777" w:rsidR="005435E2" w:rsidRDefault="00000000">
      <w:pPr>
        <w:spacing w:after="100"/>
        <w:ind w:left="720" w:hanging="720"/>
        <w:jc w:val="both"/>
      </w:pPr>
      <w:r>
        <w:rPr>
          <w:sz w:val="20"/>
          <w:szCs w:val="20"/>
        </w:rPr>
        <w:t>Haak, W., Lazaridis, I., Patterson, N., et al. (2015). Massive migration from the steppe was a source for Indo-European languages in Europe. Nature, 522(7555), 207–211. https://doi.org/10.1038/nature14317</w:t>
      </w:r>
    </w:p>
    <w:p w14:paraId="50DDACA6" w14:textId="77777777" w:rsidR="005435E2" w:rsidRDefault="00000000">
      <w:pPr>
        <w:spacing w:after="100"/>
        <w:ind w:left="720" w:hanging="720"/>
        <w:jc w:val="both"/>
      </w:pPr>
      <w:r>
        <w:rPr>
          <w:sz w:val="20"/>
          <w:szCs w:val="20"/>
        </w:rPr>
        <w:t xml:space="preserve">Jarrige, J.F. (1994). The final phase of the Indus occupation at </w:t>
      </w:r>
      <w:proofErr w:type="spellStart"/>
      <w:r>
        <w:rPr>
          <w:sz w:val="20"/>
          <w:szCs w:val="20"/>
        </w:rPr>
        <w:t>Nausharo</w:t>
      </w:r>
      <w:proofErr w:type="spellEnd"/>
      <w:r>
        <w:rPr>
          <w:sz w:val="20"/>
          <w:szCs w:val="20"/>
        </w:rPr>
        <w:t xml:space="preserve"> and its connection with the following cultural complex of Mehrgarh VIII. South Asian Archaeology 1993, 295–313.</w:t>
      </w:r>
    </w:p>
    <w:p w14:paraId="63354D38" w14:textId="77777777" w:rsidR="005435E2" w:rsidRDefault="00000000">
      <w:pPr>
        <w:spacing w:after="100"/>
        <w:ind w:left="720" w:hanging="720"/>
        <w:jc w:val="both"/>
      </w:pPr>
      <w:r>
        <w:rPr>
          <w:sz w:val="20"/>
          <w:szCs w:val="20"/>
        </w:rPr>
        <w:t xml:space="preserve">Jónsson, H., </w:t>
      </w:r>
      <w:proofErr w:type="spellStart"/>
      <w:r>
        <w:rPr>
          <w:sz w:val="20"/>
          <w:szCs w:val="20"/>
        </w:rPr>
        <w:t>Ginolhac</w:t>
      </w:r>
      <w:proofErr w:type="spellEnd"/>
      <w:r>
        <w:rPr>
          <w:sz w:val="20"/>
          <w:szCs w:val="20"/>
        </w:rPr>
        <w:t>, A., Schubert, M., Johnson, P.L.F., &amp; Orlando, L. (2013). mapDamage2.0: Fast approximate Bayesian estimates of ancient DNA damage parameters. Bioinformatics, 29(13), 1682–1684. https://doi.org/10.1093/bioinformatics/btt193</w:t>
      </w:r>
    </w:p>
    <w:p w14:paraId="0EE05349" w14:textId="77777777" w:rsidR="005435E2" w:rsidRDefault="00000000">
      <w:pPr>
        <w:spacing w:after="100"/>
        <w:ind w:left="720" w:hanging="720"/>
        <w:jc w:val="both"/>
      </w:pPr>
      <w:r>
        <w:rPr>
          <w:sz w:val="20"/>
          <w:szCs w:val="20"/>
        </w:rPr>
        <w:t>Kenoyer, J.M. (1998). Ancient Cities of the Indus Valley Civilization. Oxford University Press.</w:t>
      </w:r>
    </w:p>
    <w:p w14:paraId="4EE7C740" w14:textId="77777777" w:rsidR="005435E2" w:rsidRDefault="00000000">
      <w:pPr>
        <w:spacing w:after="100"/>
        <w:ind w:left="720" w:hanging="720"/>
        <w:jc w:val="both"/>
      </w:pPr>
      <w:r>
        <w:rPr>
          <w:sz w:val="20"/>
          <w:szCs w:val="20"/>
        </w:rPr>
        <w:t>Kristiansen, K., Allentoft, M.E., Frei, K.M., et al. (2017). Re-</w:t>
      </w:r>
      <w:proofErr w:type="spellStart"/>
      <w:r>
        <w:rPr>
          <w:sz w:val="20"/>
          <w:szCs w:val="20"/>
        </w:rPr>
        <w:t>theorising</w:t>
      </w:r>
      <w:proofErr w:type="spellEnd"/>
      <w:r>
        <w:rPr>
          <w:sz w:val="20"/>
          <w:szCs w:val="20"/>
        </w:rPr>
        <w:t xml:space="preserve"> mobility and the formation of culture and language among the Corded Ware Culture in Europe. Antiquity, 91(356), 334–347. https://doi.org/10.15184/aqy.2017.17</w:t>
      </w:r>
    </w:p>
    <w:p w14:paraId="2CD3B0C7" w14:textId="77777777" w:rsidR="005435E2" w:rsidRDefault="00000000">
      <w:pPr>
        <w:spacing w:after="100"/>
        <w:ind w:left="720" w:hanging="720"/>
        <w:jc w:val="both"/>
      </w:pPr>
      <w:r>
        <w:rPr>
          <w:sz w:val="20"/>
          <w:szCs w:val="20"/>
        </w:rPr>
        <w:t>Lamberg-</w:t>
      </w:r>
      <w:proofErr w:type="spellStart"/>
      <w:r>
        <w:rPr>
          <w:sz w:val="20"/>
          <w:szCs w:val="20"/>
        </w:rPr>
        <w:t>Karlovsky</w:t>
      </w:r>
      <w:proofErr w:type="spellEnd"/>
      <w:r>
        <w:rPr>
          <w:sz w:val="20"/>
          <w:szCs w:val="20"/>
        </w:rPr>
        <w:t>, C.C. (2002). Archaeology and Language: The Indo-Iranians. Current Anthropology, 43(1), 63–88. https://doi.org/10.1086/324130</w:t>
      </w:r>
    </w:p>
    <w:p w14:paraId="5031838E" w14:textId="77777777" w:rsidR="005435E2" w:rsidRDefault="00000000">
      <w:pPr>
        <w:spacing w:after="100"/>
        <w:ind w:left="720" w:hanging="720"/>
        <w:jc w:val="both"/>
      </w:pPr>
      <w:r>
        <w:rPr>
          <w:sz w:val="20"/>
          <w:szCs w:val="20"/>
        </w:rPr>
        <w:t>Larsen, M.T. (1987). Commercial Networks in the Ancient Near East. In M. Rowlands, M. Larsen, &amp; K. Kristiansen (Eds.), Centre and Periphery in the Ancient World. Cambridge University Press. pp. 47–56.</w:t>
      </w:r>
    </w:p>
    <w:p w14:paraId="1690C072" w14:textId="77777777" w:rsidR="005435E2" w:rsidRDefault="00000000">
      <w:pPr>
        <w:spacing w:after="100"/>
        <w:ind w:left="720" w:hanging="720"/>
        <w:jc w:val="both"/>
      </w:pPr>
      <w:r>
        <w:rPr>
          <w:sz w:val="20"/>
          <w:szCs w:val="20"/>
        </w:rPr>
        <w:t>Lave, J., &amp; Wenger, E. (1991). Situated Learning: Legitimate Peripheral Participation. Cambridge University Press.</w:t>
      </w:r>
    </w:p>
    <w:p w14:paraId="4A33916E" w14:textId="77777777" w:rsidR="005435E2" w:rsidRDefault="00000000">
      <w:pPr>
        <w:spacing w:after="100"/>
        <w:ind w:left="720" w:hanging="720"/>
        <w:jc w:val="both"/>
      </w:pPr>
      <w:r>
        <w:rPr>
          <w:sz w:val="20"/>
          <w:szCs w:val="20"/>
        </w:rPr>
        <w:t>Lazaridis, I., Nadel, D., Rollefson, G., et al. (2016). Genomic insights into the origin of farming in the ancient Near East. Nature, 536(7617), 419–424. https://doi.org/10.1038/nature19310</w:t>
      </w:r>
    </w:p>
    <w:p w14:paraId="375F15C2" w14:textId="77777777" w:rsidR="005435E2" w:rsidRDefault="00000000">
      <w:pPr>
        <w:spacing w:after="100"/>
        <w:ind w:left="720" w:hanging="720"/>
        <w:jc w:val="both"/>
      </w:pPr>
      <w:r>
        <w:rPr>
          <w:sz w:val="20"/>
          <w:szCs w:val="20"/>
        </w:rPr>
        <w:t>Mallory, J.P. (1989). In Search of the Indo-Europeans: Language, Archaeology and Myth. Thames and Hudson.</w:t>
      </w:r>
    </w:p>
    <w:p w14:paraId="55D2836D" w14:textId="77777777" w:rsidR="005435E2" w:rsidRDefault="00000000">
      <w:pPr>
        <w:spacing w:after="100"/>
        <w:ind w:left="720" w:hanging="720"/>
        <w:jc w:val="both"/>
      </w:pPr>
      <w:r>
        <w:rPr>
          <w:sz w:val="20"/>
          <w:szCs w:val="20"/>
        </w:rPr>
        <w:lastRenderedPageBreak/>
        <w:t xml:space="preserve">Maran, J., &amp; </w:t>
      </w:r>
      <w:proofErr w:type="spellStart"/>
      <w:r>
        <w:rPr>
          <w:sz w:val="20"/>
          <w:szCs w:val="20"/>
        </w:rPr>
        <w:t>Stockhammer</w:t>
      </w:r>
      <w:proofErr w:type="spellEnd"/>
      <w:r>
        <w:rPr>
          <w:sz w:val="20"/>
          <w:szCs w:val="20"/>
        </w:rPr>
        <w:t>, P.W. (Eds.). (2012). Materiality and Social Practice: Transformative Capacities of Intercultural Encounters. Oxbow Books.</w:t>
      </w:r>
    </w:p>
    <w:p w14:paraId="0808BF2C" w14:textId="77777777" w:rsidR="005435E2" w:rsidRDefault="00000000">
      <w:pPr>
        <w:spacing w:after="100"/>
        <w:ind w:left="720" w:hanging="720"/>
        <w:jc w:val="both"/>
      </w:pPr>
      <w:r>
        <w:rPr>
          <w:sz w:val="20"/>
          <w:szCs w:val="20"/>
        </w:rPr>
        <w:t>Mathieson, I., Lazaridis, I., Rohland, N., et al. (2015). Genome-wide patterns of selection in 230 ancient Eurasians. Nature, 528(7583), 499–503. https://doi.org/10.1038/nature16152</w:t>
      </w:r>
    </w:p>
    <w:p w14:paraId="529AB4E7" w14:textId="77777777" w:rsidR="005435E2" w:rsidRDefault="00000000">
      <w:pPr>
        <w:spacing w:after="100"/>
        <w:ind w:left="720" w:hanging="720"/>
        <w:jc w:val="both"/>
      </w:pPr>
      <w:r>
        <w:rPr>
          <w:sz w:val="20"/>
          <w:szCs w:val="20"/>
        </w:rPr>
        <w:t>Moorjani, P., Thangaraj, K., Patterson, N., et al. (2013). Genetic Evidence for Recent Population Mixture in India. American Journal of Human Genetics, 93(3), 422–438. https://doi.org/10.1016/j.ajhg.2013.07.006</w:t>
      </w:r>
    </w:p>
    <w:p w14:paraId="141AEB6C" w14:textId="77777777" w:rsidR="005435E2" w:rsidRDefault="00000000">
      <w:pPr>
        <w:spacing w:after="100"/>
        <w:ind w:left="720" w:hanging="720"/>
        <w:jc w:val="both"/>
      </w:pPr>
      <w:r>
        <w:rPr>
          <w:sz w:val="20"/>
          <w:szCs w:val="20"/>
        </w:rPr>
        <w:t>Narasimhan, V.M., et al. (2019). The Genomic Formation of South and Central Asia. Science, 365(6457), eaat7487. https://doi.org/10.1126/science.aat7487</w:t>
      </w:r>
    </w:p>
    <w:p w14:paraId="67C6381E" w14:textId="77777777" w:rsidR="005435E2" w:rsidRDefault="00000000">
      <w:pPr>
        <w:spacing w:after="100"/>
        <w:ind w:left="720" w:hanging="720"/>
        <w:jc w:val="both"/>
      </w:pPr>
      <w:r>
        <w:rPr>
          <w:sz w:val="20"/>
          <w:szCs w:val="20"/>
        </w:rPr>
        <w:t>Olalde, I., Mallick, S., Patterson, N., et al. (2019). The genomic history of the Iberian Peninsula over the past 8000 years. Science, 363(6432), 1230–1234. https://doi.org/10.1126/science.aav4040</w:t>
      </w:r>
    </w:p>
    <w:p w14:paraId="3A63C558" w14:textId="77777777" w:rsidR="005435E2" w:rsidRDefault="00000000">
      <w:pPr>
        <w:spacing w:after="100"/>
        <w:ind w:left="720" w:hanging="720"/>
        <w:jc w:val="both"/>
      </w:pPr>
      <w:proofErr w:type="spellStart"/>
      <w:r>
        <w:rPr>
          <w:sz w:val="20"/>
          <w:szCs w:val="20"/>
        </w:rPr>
        <w:t>Parpola</w:t>
      </w:r>
      <w:proofErr w:type="spellEnd"/>
      <w:r>
        <w:rPr>
          <w:sz w:val="20"/>
          <w:szCs w:val="20"/>
        </w:rPr>
        <w:t>, A. (1994). Deciphering the Indus Script. Cambridge University Press.</w:t>
      </w:r>
    </w:p>
    <w:p w14:paraId="209690C5" w14:textId="77777777" w:rsidR="005435E2" w:rsidRDefault="00000000">
      <w:pPr>
        <w:spacing w:after="100"/>
        <w:ind w:left="720" w:hanging="720"/>
        <w:jc w:val="both"/>
      </w:pPr>
      <w:proofErr w:type="spellStart"/>
      <w:r>
        <w:rPr>
          <w:sz w:val="20"/>
          <w:szCs w:val="20"/>
        </w:rPr>
        <w:t>Parpola</w:t>
      </w:r>
      <w:proofErr w:type="spellEnd"/>
      <w:r>
        <w:rPr>
          <w:sz w:val="20"/>
          <w:szCs w:val="20"/>
        </w:rPr>
        <w:t>, A. (2015). The Roots of Hinduism: The Early Aryans and the Indus Civilization. Oxford University Press.</w:t>
      </w:r>
    </w:p>
    <w:p w14:paraId="4B3C9A33" w14:textId="77777777" w:rsidR="005435E2" w:rsidRDefault="00000000">
      <w:pPr>
        <w:spacing w:after="100"/>
        <w:ind w:left="720" w:hanging="720"/>
        <w:jc w:val="both"/>
      </w:pPr>
      <w:r>
        <w:rPr>
          <w:sz w:val="20"/>
          <w:szCs w:val="20"/>
        </w:rPr>
        <w:t xml:space="preserve">Possehl, G.L. (2002). The Indus Civilization: A Contemporary Perspective. </w:t>
      </w:r>
      <w:proofErr w:type="spellStart"/>
      <w:r>
        <w:rPr>
          <w:sz w:val="20"/>
          <w:szCs w:val="20"/>
        </w:rPr>
        <w:t>AltaMira</w:t>
      </w:r>
      <w:proofErr w:type="spellEnd"/>
      <w:r>
        <w:rPr>
          <w:sz w:val="20"/>
          <w:szCs w:val="20"/>
        </w:rPr>
        <w:t xml:space="preserve"> Press.</w:t>
      </w:r>
    </w:p>
    <w:p w14:paraId="6EF47F0D" w14:textId="77777777" w:rsidR="005435E2" w:rsidRDefault="00000000">
      <w:pPr>
        <w:spacing w:after="100"/>
        <w:ind w:left="720" w:hanging="720"/>
        <w:jc w:val="both"/>
      </w:pPr>
      <w:r>
        <w:rPr>
          <w:sz w:val="20"/>
          <w:szCs w:val="20"/>
        </w:rPr>
        <w:t>Possehl, G.L. (2007). The Middle Asian Interaction Sphere. Expedition, 49(1), 40–48.</w:t>
      </w:r>
    </w:p>
    <w:p w14:paraId="34BAFE79" w14:textId="77777777" w:rsidR="005435E2" w:rsidRDefault="00000000">
      <w:pPr>
        <w:spacing w:after="100"/>
        <w:ind w:left="720" w:hanging="720"/>
        <w:jc w:val="both"/>
      </w:pPr>
      <w:r>
        <w:rPr>
          <w:sz w:val="20"/>
          <w:szCs w:val="20"/>
        </w:rPr>
        <w:t>Prange, S.R. (2011). A Trade of No Dishonor: Piracy, Commerce, and Community in the Western Indian Ocean, Twelfth to Sixteenth Century. World History, 22(2), 225–257.</w:t>
      </w:r>
    </w:p>
    <w:p w14:paraId="04C13F41" w14:textId="77777777" w:rsidR="005435E2" w:rsidRDefault="00000000">
      <w:pPr>
        <w:spacing w:after="100"/>
        <w:ind w:left="720" w:hanging="720"/>
        <w:jc w:val="both"/>
      </w:pPr>
      <w:r>
        <w:rPr>
          <w:sz w:val="20"/>
          <w:szCs w:val="20"/>
        </w:rPr>
        <w:t>Reich, D. (2018). Who We Are and How We Got Here: Ancient DNA and the New Science of the Human Past. Pantheon Books.</w:t>
      </w:r>
    </w:p>
    <w:p w14:paraId="04A4452F" w14:textId="77777777" w:rsidR="005435E2" w:rsidRDefault="00000000">
      <w:pPr>
        <w:spacing w:after="100"/>
        <w:ind w:left="720" w:hanging="720"/>
        <w:jc w:val="both"/>
      </w:pPr>
      <w:r>
        <w:rPr>
          <w:sz w:val="20"/>
          <w:szCs w:val="20"/>
        </w:rPr>
        <w:t>Salvatori, S., &amp; Tosi, M. (2005). Shahr-</w:t>
      </w:r>
      <w:proofErr w:type="spellStart"/>
      <w:r>
        <w:rPr>
          <w:sz w:val="20"/>
          <w:szCs w:val="20"/>
        </w:rPr>
        <w:t>i</w:t>
      </w:r>
      <w:proofErr w:type="spellEnd"/>
      <w:r>
        <w:rPr>
          <w:sz w:val="20"/>
          <w:szCs w:val="20"/>
        </w:rPr>
        <w:t xml:space="preserve"> </w:t>
      </w:r>
      <w:proofErr w:type="spellStart"/>
      <w:r>
        <w:rPr>
          <w:sz w:val="20"/>
          <w:szCs w:val="20"/>
        </w:rPr>
        <w:t>Sokhta</w:t>
      </w:r>
      <w:proofErr w:type="spellEnd"/>
      <w:r>
        <w:rPr>
          <w:sz w:val="20"/>
          <w:szCs w:val="20"/>
        </w:rPr>
        <w:t xml:space="preserve"> Revised Sequence and New Elements on the Settlement's Internal Chronology. South Asian Archaeology 2001, 281–292.</w:t>
      </w:r>
    </w:p>
    <w:p w14:paraId="2CFEC1C4" w14:textId="77777777" w:rsidR="005435E2" w:rsidRDefault="00000000">
      <w:pPr>
        <w:spacing w:after="100"/>
        <w:ind w:left="720" w:hanging="720"/>
        <w:jc w:val="both"/>
      </w:pPr>
      <w:proofErr w:type="spellStart"/>
      <w:r>
        <w:rPr>
          <w:sz w:val="20"/>
          <w:szCs w:val="20"/>
        </w:rPr>
        <w:t>Sarianidi</w:t>
      </w:r>
      <w:proofErr w:type="spellEnd"/>
      <w:r>
        <w:rPr>
          <w:sz w:val="20"/>
          <w:szCs w:val="20"/>
        </w:rPr>
        <w:t xml:space="preserve">, V. (1994). Temples of Bronze Age </w:t>
      </w:r>
      <w:proofErr w:type="spellStart"/>
      <w:r>
        <w:rPr>
          <w:sz w:val="20"/>
          <w:szCs w:val="20"/>
        </w:rPr>
        <w:t>Margiana</w:t>
      </w:r>
      <w:proofErr w:type="spellEnd"/>
      <w:r>
        <w:rPr>
          <w:sz w:val="20"/>
          <w:szCs w:val="20"/>
        </w:rPr>
        <w:t>: Traditions of Ritual Architecture. Antiquity, 68(259), 388–397. https://doi.org/10.1017/S0003598X00046841</w:t>
      </w:r>
    </w:p>
    <w:p w14:paraId="445C3DB1" w14:textId="77777777" w:rsidR="005435E2" w:rsidRDefault="00000000">
      <w:pPr>
        <w:spacing w:after="100"/>
        <w:ind w:left="720" w:hanging="720"/>
        <w:jc w:val="both"/>
      </w:pPr>
      <w:r>
        <w:rPr>
          <w:sz w:val="20"/>
          <w:szCs w:val="20"/>
        </w:rPr>
        <w:t>Sheriff, A. (1987). Slaves, Spices and Ivory in Zanzibar. James Currey.</w:t>
      </w:r>
    </w:p>
    <w:p w14:paraId="21B77FB3" w14:textId="77777777" w:rsidR="005435E2" w:rsidRDefault="00000000">
      <w:pPr>
        <w:spacing w:after="100"/>
        <w:ind w:left="720" w:hanging="720"/>
        <w:jc w:val="both"/>
      </w:pPr>
      <w:r>
        <w:rPr>
          <w:sz w:val="20"/>
          <w:szCs w:val="20"/>
        </w:rPr>
        <w:t>Shinde, V., Narasimhan, V.M., Rohland, N., et al. (2019). An Ancient Harappan Genome Lacks Ancestry from Steppe Pastoralists or Iranian Farmers. Cell, 179(3), 729–735. https://doi.org/10.1016/j.cell.2019.08.048</w:t>
      </w:r>
    </w:p>
    <w:p w14:paraId="17AACC0C" w14:textId="77777777" w:rsidR="005435E2" w:rsidRDefault="00000000">
      <w:pPr>
        <w:spacing w:after="100"/>
        <w:ind w:left="720" w:hanging="720"/>
        <w:jc w:val="both"/>
      </w:pPr>
      <w:r>
        <w:rPr>
          <w:sz w:val="20"/>
          <w:szCs w:val="20"/>
        </w:rPr>
        <w:t>Skoglund, P., Northoff, B.H., Shunkov, M.V., et al. (2014). Separating endogenous ancient DNA from modern day contamination in a Siberian Neandertal. Proceedings of the National Academy of Sciences, 111(6), 2229–2234. https://doi.org/10.1073/pnas.1318934111</w:t>
      </w:r>
    </w:p>
    <w:p w14:paraId="0E62AFEB" w14:textId="77777777" w:rsidR="005435E2" w:rsidRDefault="00000000">
      <w:pPr>
        <w:spacing w:after="100"/>
        <w:ind w:left="720" w:hanging="720"/>
        <w:jc w:val="both"/>
      </w:pPr>
      <w:r>
        <w:rPr>
          <w:sz w:val="20"/>
          <w:szCs w:val="20"/>
        </w:rPr>
        <w:t>Veenhof, K.R. (1995). Kanesh: An Assyrian Colony in Anatolia. In J.M. Sasson (Ed.), Civilizations of the Ancient Near East. Scribner. pp. 859–871.</w:t>
      </w:r>
    </w:p>
    <w:p w14:paraId="7B038FC0" w14:textId="77777777" w:rsidR="005435E2" w:rsidRDefault="00000000">
      <w:pPr>
        <w:spacing w:after="100"/>
        <w:ind w:left="720" w:hanging="720"/>
        <w:jc w:val="both"/>
      </w:pPr>
      <w:r>
        <w:rPr>
          <w:sz w:val="20"/>
          <w:szCs w:val="20"/>
        </w:rPr>
        <w:t>Vondoom, A. (2025a). The Deep Symbolic Systems Model (DSSM): A Cognitive-Ritual Framework. OSF. https://doi.org/10.17605/OSF.IO/YW5GM</w:t>
      </w:r>
    </w:p>
    <w:p w14:paraId="52AEC098" w14:textId="77777777" w:rsidR="005435E2" w:rsidRDefault="00000000">
      <w:pPr>
        <w:spacing w:after="100"/>
        <w:ind w:left="720" w:hanging="720"/>
        <w:jc w:val="both"/>
      </w:pPr>
      <w:r>
        <w:rPr>
          <w:sz w:val="20"/>
          <w:szCs w:val="20"/>
        </w:rPr>
        <w:t xml:space="preserve">Vondoom, A. (2026a). Mehrgarh Culture and the Origins of Deep Symbolic Stabilization. </w:t>
      </w:r>
      <w:proofErr w:type="spellStart"/>
      <w:r>
        <w:rPr>
          <w:sz w:val="20"/>
          <w:szCs w:val="20"/>
        </w:rPr>
        <w:t>Figshare</w:t>
      </w:r>
      <w:proofErr w:type="spellEnd"/>
      <w:r>
        <w:rPr>
          <w:sz w:val="20"/>
          <w:szCs w:val="20"/>
        </w:rPr>
        <w:t>.</w:t>
      </w:r>
    </w:p>
    <w:p w14:paraId="151F6D33" w14:textId="77777777" w:rsidR="005435E2" w:rsidRDefault="00000000">
      <w:pPr>
        <w:spacing w:after="100"/>
        <w:ind w:left="720" w:hanging="720"/>
        <w:jc w:val="both"/>
      </w:pPr>
      <w:r>
        <w:rPr>
          <w:sz w:val="20"/>
          <w:szCs w:val="20"/>
        </w:rPr>
        <w:t xml:space="preserve">Vondoom, A. (2026b). Cognitive Foundations of Early Indus Valley Civilization: Distributed Mercantile Symbolic Stabilization Along the Indus. </w:t>
      </w:r>
      <w:proofErr w:type="spellStart"/>
      <w:r>
        <w:rPr>
          <w:sz w:val="20"/>
          <w:szCs w:val="20"/>
        </w:rPr>
        <w:t>Zenodo</w:t>
      </w:r>
      <w:proofErr w:type="spellEnd"/>
      <w:r>
        <w:rPr>
          <w:sz w:val="20"/>
          <w:szCs w:val="20"/>
        </w:rPr>
        <w:t>. https://doi.org/10.5281/zenodo.18406654</w:t>
      </w:r>
    </w:p>
    <w:p w14:paraId="71ACF92B" w14:textId="77777777" w:rsidR="005435E2" w:rsidRDefault="00000000">
      <w:pPr>
        <w:spacing w:after="100"/>
        <w:ind w:left="720" w:hanging="720"/>
        <w:jc w:val="both"/>
      </w:pPr>
      <w:r>
        <w:rPr>
          <w:sz w:val="20"/>
          <w:szCs w:val="20"/>
        </w:rPr>
        <w:t xml:space="preserve">Vondoom, A. (2026c). </w:t>
      </w:r>
      <w:proofErr w:type="spellStart"/>
      <w:r>
        <w:rPr>
          <w:sz w:val="20"/>
          <w:szCs w:val="20"/>
        </w:rPr>
        <w:t>Vinča</w:t>
      </w:r>
      <w:proofErr w:type="spellEnd"/>
      <w:r>
        <w:rPr>
          <w:sz w:val="20"/>
          <w:szCs w:val="20"/>
        </w:rPr>
        <w:t xml:space="preserve"> Symbols, Distributed Symbolic Stabilization, and the Contingent Emergence of Writing. </w:t>
      </w:r>
      <w:proofErr w:type="spellStart"/>
      <w:r>
        <w:rPr>
          <w:sz w:val="20"/>
          <w:szCs w:val="20"/>
        </w:rPr>
        <w:t>Zenodo</w:t>
      </w:r>
      <w:proofErr w:type="spellEnd"/>
      <w:r>
        <w:rPr>
          <w:sz w:val="20"/>
          <w:szCs w:val="20"/>
        </w:rPr>
        <w:t>. https://doi.org/10.5281/zenodo.18479570</w:t>
      </w:r>
    </w:p>
    <w:p w14:paraId="13DFD6F1" w14:textId="77777777" w:rsidR="005435E2" w:rsidRDefault="00000000">
      <w:pPr>
        <w:spacing w:after="100"/>
        <w:ind w:left="720" w:hanging="720"/>
        <w:jc w:val="both"/>
      </w:pPr>
      <w:r>
        <w:rPr>
          <w:sz w:val="20"/>
          <w:szCs w:val="20"/>
        </w:rPr>
        <w:t>Vondoom, A. (2026d). Before the Silk Road: The Indus Valley Civilization and the Deep Origins of Eurasian Trade Infrastructure. DSSM Working Paper Series.</w:t>
      </w:r>
    </w:p>
    <w:p w14:paraId="0D4599D2" w14:textId="77777777" w:rsidR="005435E2" w:rsidRDefault="00000000">
      <w:pPr>
        <w:spacing w:after="100"/>
        <w:ind w:left="720" w:hanging="720"/>
        <w:jc w:val="both"/>
      </w:pPr>
      <w:r>
        <w:rPr>
          <w:sz w:val="20"/>
          <w:szCs w:val="20"/>
        </w:rPr>
        <w:t xml:space="preserve">Witzel, M. (2000). The Home of the Aryans. In A. Hintze &amp; E. Tichy (Eds.), </w:t>
      </w:r>
      <w:proofErr w:type="spellStart"/>
      <w:r>
        <w:rPr>
          <w:sz w:val="20"/>
          <w:szCs w:val="20"/>
        </w:rPr>
        <w:t>Anusantatyai</w:t>
      </w:r>
      <w:proofErr w:type="spellEnd"/>
      <w:r>
        <w:rPr>
          <w:sz w:val="20"/>
          <w:szCs w:val="20"/>
        </w:rPr>
        <w:t xml:space="preserve">: Festschrift für Johanna </w:t>
      </w:r>
      <w:proofErr w:type="spellStart"/>
      <w:r>
        <w:rPr>
          <w:sz w:val="20"/>
          <w:szCs w:val="20"/>
        </w:rPr>
        <w:t>Narten</w:t>
      </w:r>
      <w:proofErr w:type="spellEnd"/>
      <w:r>
        <w:rPr>
          <w:sz w:val="20"/>
          <w:szCs w:val="20"/>
        </w:rPr>
        <w:t>. Dettelbach. pp. 283–338.</w:t>
      </w:r>
    </w:p>
    <w:p w14:paraId="422ABE98" w14:textId="77777777" w:rsidR="005435E2" w:rsidRDefault="00000000">
      <w:pPr>
        <w:spacing w:after="100"/>
        <w:ind w:left="720" w:hanging="720"/>
        <w:jc w:val="both"/>
      </w:pPr>
      <w:r>
        <w:rPr>
          <w:sz w:val="20"/>
          <w:szCs w:val="20"/>
        </w:rPr>
        <w:t>Wright, R.P. (2010). The Ancient Indus: Urbanism, Economy, and Society. Cambridge University Press.</w:t>
      </w:r>
    </w:p>
    <w:p w14:paraId="01F89BF0" w14:textId="4CAD15A1" w:rsidR="005435E2" w:rsidRDefault="005435E2" w:rsidP="00B77A84">
      <w:pPr>
        <w:pBdr>
          <w:top w:val="single" w:sz="4" w:space="6" w:color="000000"/>
        </w:pBdr>
        <w:spacing w:before="200"/>
      </w:pPr>
    </w:p>
    <w:sectPr w:rsidR="005435E2">
      <w:headerReference w:type="default" r:id="rId7"/>
      <w:pgSz w:w="12240" w:h="15840"/>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7E6F" w14:textId="77777777" w:rsidR="00A267D8" w:rsidRDefault="00A267D8">
      <w:r>
        <w:separator/>
      </w:r>
    </w:p>
  </w:endnote>
  <w:endnote w:type="continuationSeparator" w:id="0">
    <w:p w14:paraId="59F6943B" w14:textId="77777777" w:rsidR="00A267D8" w:rsidRDefault="00A2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3FA8" w14:textId="77777777" w:rsidR="00A267D8" w:rsidRDefault="00A267D8">
      <w:r>
        <w:separator/>
      </w:r>
    </w:p>
  </w:footnote>
  <w:footnote w:type="continuationSeparator" w:id="0">
    <w:p w14:paraId="496CBA41" w14:textId="77777777" w:rsidR="00A267D8" w:rsidRDefault="00A2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3112" w14:textId="700C78EB" w:rsidR="005435E2" w:rsidRDefault="00000000">
    <w:pPr>
      <w:pBdr>
        <w:bottom w:val="single" w:sz="4" w:space="4" w:color="000000"/>
      </w:pBdr>
      <w:spacing w:after="160"/>
    </w:pPr>
    <w:r>
      <w:rPr>
        <w:rFonts w:ascii="Arial" w:eastAsia="Arial" w:hAnsi="Arial" w:cs="Arial"/>
        <w:i/>
        <w:iCs/>
        <w:color w:val="595959"/>
        <w:sz w:val="18"/>
        <w:szCs w:val="18"/>
      </w:rPr>
      <w:t xml:space="preserve">The Woman from </w:t>
    </w:r>
    <w:proofErr w:type="spellStart"/>
    <w:r>
      <w:rPr>
        <w:rFonts w:ascii="Arial" w:eastAsia="Arial" w:hAnsi="Arial" w:cs="Arial"/>
        <w:i/>
        <w:iCs/>
        <w:color w:val="595959"/>
        <w:sz w:val="18"/>
        <w:szCs w:val="18"/>
      </w:rPr>
      <w:t>Rakhigarhi</w:t>
    </w:r>
    <w:proofErr w:type="spellEnd"/>
    <w:r>
      <w:rPr>
        <w:rFonts w:ascii="Arial" w:eastAsia="Arial" w:hAnsi="Arial" w:cs="Arial"/>
        <w:i/>
        <w:iCs/>
        <w:color w:val="595959"/>
        <w:sz w:val="18"/>
        <w:szCs w:val="18"/>
      </w:rPr>
      <w:t>: Ancient Genome I6113, IVC Human Mobility, and DSSM</w:t>
    </w:r>
    <w:r>
      <w:rPr>
        <w:rFonts w:ascii="Arial" w:eastAsia="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7B5C"/>
    <w:multiLevelType w:val="hybridMultilevel"/>
    <w:tmpl w:val="9616602E"/>
    <w:lvl w:ilvl="0" w:tplc="5FD63066">
      <w:start w:val="1"/>
      <w:numFmt w:val="bullet"/>
      <w:lvlText w:val="●"/>
      <w:lvlJc w:val="left"/>
      <w:pPr>
        <w:ind w:left="720" w:hanging="360"/>
      </w:pPr>
    </w:lvl>
    <w:lvl w:ilvl="1" w:tplc="4424AE24">
      <w:start w:val="1"/>
      <w:numFmt w:val="bullet"/>
      <w:lvlText w:val="○"/>
      <w:lvlJc w:val="left"/>
      <w:pPr>
        <w:ind w:left="1440" w:hanging="360"/>
      </w:pPr>
    </w:lvl>
    <w:lvl w:ilvl="2" w:tplc="424CE7B8">
      <w:start w:val="1"/>
      <w:numFmt w:val="bullet"/>
      <w:lvlText w:val="■"/>
      <w:lvlJc w:val="left"/>
      <w:pPr>
        <w:ind w:left="2160" w:hanging="360"/>
      </w:pPr>
    </w:lvl>
    <w:lvl w:ilvl="3" w:tplc="0D140006">
      <w:start w:val="1"/>
      <w:numFmt w:val="bullet"/>
      <w:lvlText w:val="●"/>
      <w:lvlJc w:val="left"/>
      <w:pPr>
        <w:ind w:left="2880" w:hanging="360"/>
      </w:pPr>
    </w:lvl>
    <w:lvl w:ilvl="4" w:tplc="2C66A194">
      <w:start w:val="1"/>
      <w:numFmt w:val="bullet"/>
      <w:lvlText w:val="○"/>
      <w:lvlJc w:val="left"/>
      <w:pPr>
        <w:ind w:left="3600" w:hanging="360"/>
      </w:pPr>
    </w:lvl>
    <w:lvl w:ilvl="5" w:tplc="125CCB62">
      <w:start w:val="1"/>
      <w:numFmt w:val="bullet"/>
      <w:lvlText w:val="■"/>
      <w:lvlJc w:val="left"/>
      <w:pPr>
        <w:ind w:left="4320" w:hanging="360"/>
      </w:pPr>
    </w:lvl>
    <w:lvl w:ilvl="6" w:tplc="166A4992">
      <w:start w:val="1"/>
      <w:numFmt w:val="bullet"/>
      <w:lvlText w:val="●"/>
      <w:lvlJc w:val="left"/>
      <w:pPr>
        <w:ind w:left="5040" w:hanging="360"/>
      </w:pPr>
    </w:lvl>
    <w:lvl w:ilvl="7" w:tplc="E74871E4">
      <w:start w:val="1"/>
      <w:numFmt w:val="bullet"/>
      <w:lvlText w:val="●"/>
      <w:lvlJc w:val="left"/>
      <w:pPr>
        <w:ind w:left="5760" w:hanging="360"/>
      </w:pPr>
    </w:lvl>
    <w:lvl w:ilvl="8" w:tplc="C1427CFC">
      <w:start w:val="1"/>
      <w:numFmt w:val="bullet"/>
      <w:lvlText w:val="●"/>
      <w:lvlJc w:val="left"/>
      <w:pPr>
        <w:ind w:left="6480" w:hanging="360"/>
      </w:pPr>
    </w:lvl>
  </w:abstractNum>
  <w:abstractNum w:abstractNumId="1" w15:restartNumberingAfterBreak="0">
    <w:nsid w:val="5482558C"/>
    <w:multiLevelType w:val="hybridMultilevel"/>
    <w:tmpl w:val="588087A4"/>
    <w:lvl w:ilvl="0" w:tplc="2F181732">
      <w:start w:val="1"/>
      <w:numFmt w:val="bullet"/>
      <w:lvlText w:val="•"/>
      <w:lvlJc w:val="left"/>
      <w:pPr>
        <w:ind w:left="720" w:hanging="360"/>
      </w:pPr>
    </w:lvl>
    <w:lvl w:ilvl="1" w:tplc="20049E6C">
      <w:numFmt w:val="decimal"/>
      <w:lvlText w:val=""/>
      <w:lvlJc w:val="left"/>
    </w:lvl>
    <w:lvl w:ilvl="2" w:tplc="404ACF08">
      <w:numFmt w:val="decimal"/>
      <w:lvlText w:val=""/>
      <w:lvlJc w:val="left"/>
    </w:lvl>
    <w:lvl w:ilvl="3" w:tplc="FA24F7B6">
      <w:numFmt w:val="decimal"/>
      <w:lvlText w:val=""/>
      <w:lvlJc w:val="left"/>
    </w:lvl>
    <w:lvl w:ilvl="4" w:tplc="8250C930">
      <w:numFmt w:val="decimal"/>
      <w:lvlText w:val=""/>
      <w:lvlJc w:val="left"/>
    </w:lvl>
    <w:lvl w:ilvl="5" w:tplc="BB3EE9DE">
      <w:numFmt w:val="decimal"/>
      <w:lvlText w:val=""/>
      <w:lvlJc w:val="left"/>
    </w:lvl>
    <w:lvl w:ilvl="6" w:tplc="71264BD2">
      <w:numFmt w:val="decimal"/>
      <w:lvlText w:val=""/>
      <w:lvlJc w:val="left"/>
    </w:lvl>
    <w:lvl w:ilvl="7" w:tplc="44A60044">
      <w:numFmt w:val="decimal"/>
      <w:lvlText w:val=""/>
      <w:lvlJc w:val="left"/>
    </w:lvl>
    <w:lvl w:ilvl="8" w:tplc="71205162">
      <w:numFmt w:val="decimal"/>
      <w:lvlText w:val=""/>
      <w:lvlJc w:val="left"/>
    </w:lvl>
  </w:abstractNum>
  <w:num w:numId="1" w16cid:durableId="2113013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E2"/>
    <w:rsid w:val="005435E2"/>
    <w:rsid w:val="007959CD"/>
    <w:rsid w:val="00A267D8"/>
    <w:rsid w:val="00B77A84"/>
    <w:rsid w:val="00B84404"/>
    <w:rsid w:val="00C7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F72FA"/>
  <w15:docId w15:val="{61701F61-E85B-F742-8851-22DAB11D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rFonts w:ascii="Arial" w:eastAsia="Arial" w:hAnsi="Arial" w:cs="Arial"/>
      <w:b/>
      <w:bCs/>
      <w:sz w:val="26"/>
      <w:szCs w:val="26"/>
    </w:rPr>
  </w:style>
  <w:style w:type="paragraph" w:styleId="Heading2">
    <w:name w:val="heading 2"/>
    <w:uiPriority w:val="9"/>
    <w:unhideWhenUsed/>
    <w:qFormat/>
    <w:pPr>
      <w:spacing w:before="280" w:after="120"/>
      <w:outlineLvl w:val="1"/>
    </w:pPr>
    <w:rPr>
      <w:rFonts w:ascii="Arial" w:eastAsia="Arial" w:hAnsi="Arial" w:cs="Arial"/>
      <w:b/>
      <w:bCs/>
      <w:i/>
      <w:iCs/>
      <w:sz w:val="23"/>
      <w:szCs w:val="23"/>
    </w:rPr>
  </w:style>
  <w:style w:type="paragraph" w:styleId="Heading3">
    <w:name w:val="heading 3"/>
    <w:uiPriority w:val="9"/>
    <w:semiHidden/>
    <w:unhideWhenUsed/>
    <w:qFormat/>
    <w:pPr>
      <w:spacing w:before="200" w:after="80"/>
      <w:outlineLvl w:val="2"/>
    </w:pPr>
    <w:rPr>
      <w:rFonts w:ascii="Arial" w:eastAsia="Arial" w:hAnsi="Arial" w:cs="Arial"/>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77A84"/>
    <w:pPr>
      <w:tabs>
        <w:tab w:val="center" w:pos="4680"/>
        <w:tab w:val="right" w:pos="9360"/>
      </w:tabs>
    </w:pPr>
  </w:style>
  <w:style w:type="character" w:customStyle="1" w:styleId="HeaderChar">
    <w:name w:val="Header Char"/>
    <w:basedOn w:val="DefaultParagraphFont"/>
    <w:link w:val="Header"/>
    <w:uiPriority w:val="99"/>
    <w:rsid w:val="00B77A84"/>
  </w:style>
  <w:style w:type="paragraph" w:styleId="Footer">
    <w:name w:val="footer"/>
    <w:basedOn w:val="Normal"/>
    <w:link w:val="FooterChar"/>
    <w:uiPriority w:val="99"/>
    <w:unhideWhenUsed/>
    <w:rsid w:val="00B77A84"/>
    <w:pPr>
      <w:tabs>
        <w:tab w:val="center" w:pos="4680"/>
        <w:tab w:val="right" w:pos="9360"/>
      </w:tabs>
    </w:pPr>
  </w:style>
  <w:style w:type="character" w:customStyle="1" w:styleId="FooterChar">
    <w:name w:val="Footer Char"/>
    <w:basedOn w:val="DefaultParagraphFont"/>
    <w:link w:val="Footer"/>
    <w:uiPriority w:val="99"/>
    <w:rsid w:val="00B77A84"/>
  </w:style>
  <w:style w:type="character" w:styleId="UnresolvedMention">
    <w:name w:val="Unresolved Mention"/>
    <w:basedOn w:val="DefaultParagraphFont"/>
    <w:uiPriority w:val="99"/>
    <w:semiHidden/>
    <w:unhideWhenUsed/>
    <w:rsid w:val="00C7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6236</Words>
  <Characters>38103</Characters>
  <Application>Microsoft Office Word</Application>
  <DocSecurity>0</DocSecurity>
  <Lines>680</Lines>
  <Paragraphs>295</Paragraphs>
  <ScaleCrop>false</ScaleCrop>
  <Company/>
  <LinksUpToDate>false</LinksUpToDate>
  <CharactersWithSpaces>44044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2026-05-24T20:37:00Z</dcterms:created>
  <dcterms:modified xsi:type="dcterms:W3CDTF">2026-05-24T20:45:00Z</dcterms:modified>
</cp:coreProperties>
</file>