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AD42" w14:textId="77777777" w:rsidR="000E0A6E" w:rsidRPr="000E0A6E" w:rsidRDefault="000E0A6E" w:rsidP="000E0A6E">
      <w:pPr>
        <w:spacing w:before="100" w:beforeAutospacing="1" w:after="100" w:afterAutospacing="1"/>
        <w:outlineLvl w:val="0"/>
        <w:rPr>
          <w:rFonts w:ascii="Times New Roman" w:eastAsia="Times New Roman" w:hAnsi="Times New Roman" w:cs="Times New Roman"/>
          <w:b/>
          <w:bCs/>
          <w:kern w:val="36"/>
          <w:sz w:val="52"/>
          <w:szCs w:val="52"/>
          <w:lang w:eastAsia="en-GB"/>
        </w:rPr>
      </w:pPr>
      <w:r w:rsidRPr="000E0A6E">
        <w:rPr>
          <w:rFonts w:ascii="Times New Roman" w:eastAsia="Times New Roman" w:hAnsi="Times New Roman" w:cs="Times New Roman"/>
          <w:b/>
          <w:bCs/>
          <w:kern w:val="36"/>
          <w:sz w:val="52"/>
          <w:szCs w:val="52"/>
          <w:lang w:eastAsia="en-GB"/>
        </w:rPr>
        <w:t>Deep Symbolic Stabilization in the Indus Valley Region</w:t>
      </w:r>
    </w:p>
    <w:p w14:paraId="320E87AE" w14:textId="77777777" w:rsidR="000E0A6E" w:rsidRPr="000E0A6E" w:rsidRDefault="000E0A6E" w:rsidP="000E0A6E">
      <w:pPr>
        <w:spacing w:before="100" w:beforeAutospacing="1" w:after="100" w:afterAutospacing="1"/>
        <w:outlineLvl w:val="0"/>
        <w:rPr>
          <w:rFonts w:ascii="Times New Roman" w:eastAsia="Times New Roman" w:hAnsi="Times New Roman" w:cs="Times New Roman"/>
          <w:i/>
          <w:iCs/>
          <w:kern w:val="36"/>
          <w:sz w:val="32"/>
          <w:szCs w:val="32"/>
          <w:lang w:eastAsia="en-GB"/>
        </w:rPr>
      </w:pPr>
      <w:r w:rsidRPr="000E0A6E">
        <w:rPr>
          <w:rFonts w:ascii="Times New Roman" w:eastAsia="Times New Roman" w:hAnsi="Times New Roman" w:cs="Times New Roman"/>
          <w:i/>
          <w:iCs/>
          <w:sz w:val="32"/>
          <w:szCs w:val="32"/>
          <w:lang w:eastAsia="en-GB"/>
        </w:rPr>
        <w:t>From Earliest Hominins to Urban Harappan Integration</w:t>
      </w:r>
    </w:p>
    <w:p w14:paraId="7277FBB8"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36552CCD" w14:textId="77777777" w:rsidR="000E0A6E" w:rsidRPr="00455088" w:rsidRDefault="000E0A6E" w:rsidP="00CD7D30">
      <w:pPr>
        <w:spacing w:before="100" w:beforeAutospacing="1" w:after="100" w:afterAutospacing="1"/>
        <w:rPr>
          <w:rFonts w:ascii="Times New Roman" w:eastAsia="Times New Roman" w:hAnsi="Times New Roman" w:cs="Times New Roman"/>
          <w:lang w:val="en-US" w:eastAsia="en-GB"/>
        </w:rPr>
      </w:pPr>
    </w:p>
    <w:p w14:paraId="7CA475A9" w14:textId="77777777" w:rsidR="000E0A6E" w:rsidRPr="00455088" w:rsidRDefault="000E0A6E" w:rsidP="00CD7D30">
      <w:pPr>
        <w:spacing w:before="100" w:beforeAutospacing="1" w:after="100" w:afterAutospacing="1"/>
        <w:jc w:val="center"/>
        <w:rPr>
          <w:rFonts w:ascii="Times New Roman" w:eastAsia="Times New Roman" w:hAnsi="Times New Roman" w:cs="Times New Roman"/>
          <w:lang w:val="en-US" w:eastAsia="en-GB"/>
        </w:rPr>
      </w:pPr>
    </w:p>
    <w:p w14:paraId="4C42BD12" w14:textId="4091B121" w:rsidR="000E0A6E" w:rsidRDefault="00CD7D30" w:rsidP="00CD7D30">
      <w:pPr>
        <w:spacing w:before="100" w:beforeAutospacing="1" w:after="100" w:afterAutospacing="1"/>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2026 Figshare</w:t>
      </w:r>
    </w:p>
    <w:p w14:paraId="641BA29A" w14:textId="766BDA6A" w:rsidR="00CD7D30" w:rsidRPr="00455088" w:rsidRDefault="00CD7D30" w:rsidP="00CD7D30">
      <w:pPr>
        <w:spacing w:before="100" w:beforeAutospacing="1" w:after="100" w:afterAutospacing="1"/>
        <w:jc w:val="center"/>
        <w:rPr>
          <w:rFonts w:ascii="Times New Roman" w:eastAsia="Times New Roman" w:hAnsi="Times New Roman" w:cs="Times New Roman"/>
          <w:lang w:val="en-US" w:eastAsia="en-GB"/>
        </w:rPr>
      </w:pPr>
      <w:hyperlink r:id="rId5" w:history="1">
        <w:r w:rsidRPr="0064735F">
          <w:rPr>
            <w:rStyle w:val="Hyperlink"/>
            <w:rFonts w:ascii="Times New Roman" w:eastAsia="Times New Roman" w:hAnsi="Times New Roman" w:cs="Times New Roman"/>
            <w:lang w:val="en-US" w:eastAsia="en-GB"/>
          </w:rPr>
          <w:t>https://doi.org/10.6084/m9.figshare.31061653</w:t>
        </w:r>
      </w:hyperlink>
    </w:p>
    <w:p w14:paraId="375C2BF0"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660E6C34"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5259F4CF"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601194F2"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1D8BE966"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1B85AD99"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72617B41"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20C2610E" w14:textId="77777777" w:rsidR="00455088" w:rsidRDefault="00455088" w:rsidP="000E0A6E">
      <w:pPr>
        <w:spacing w:before="100" w:beforeAutospacing="1" w:after="100" w:afterAutospacing="1"/>
        <w:rPr>
          <w:rFonts w:ascii="Times New Roman" w:eastAsia="Times New Roman" w:hAnsi="Times New Roman" w:cs="Times New Roman"/>
          <w:lang w:val="en-US" w:eastAsia="en-GB"/>
        </w:rPr>
      </w:pPr>
    </w:p>
    <w:p w14:paraId="5C1213E7" w14:textId="77777777" w:rsidR="000E0A6E" w:rsidRDefault="000E0A6E" w:rsidP="000E0A6E">
      <w:pPr>
        <w:spacing w:before="100" w:beforeAutospacing="1" w:after="100" w:afterAutospacing="1"/>
        <w:rPr>
          <w:rFonts w:ascii="Times New Roman" w:eastAsia="Times New Roman" w:hAnsi="Times New Roman" w:cs="Times New Roman"/>
          <w:b/>
          <w:bCs/>
          <w:lang w:val="en-US" w:eastAsia="en-GB"/>
        </w:rPr>
      </w:pPr>
      <w:r w:rsidRPr="00455088">
        <w:rPr>
          <w:rFonts w:ascii="Times New Roman" w:eastAsia="Times New Roman" w:hAnsi="Times New Roman" w:cs="Times New Roman"/>
          <w:b/>
          <w:bCs/>
          <w:lang w:val="en-US" w:eastAsia="en-GB"/>
        </w:rPr>
        <w:t>Anthony Vondoom</w:t>
      </w:r>
    </w:p>
    <w:p w14:paraId="3C925923" w14:textId="77777777" w:rsidR="00455088" w:rsidRDefault="00455088" w:rsidP="00455088">
      <w:pPr>
        <w:pStyle w:val="p1"/>
      </w:pPr>
      <w:r>
        <w:t>This paper is conceptually and methodologically related to the foundational work on the Deep Symbolic Systems Model (DSSM) by Vondoom, A.:</w:t>
      </w:r>
    </w:p>
    <w:p w14:paraId="557273D9" w14:textId="77777777" w:rsidR="00455088" w:rsidRDefault="00455088" w:rsidP="00455088">
      <w:pPr>
        <w:pStyle w:val="p1"/>
        <w:numPr>
          <w:ilvl w:val="0"/>
          <w:numId w:val="4"/>
        </w:numPr>
      </w:pPr>
      <w:r>
        <w:rPr>
          <w:rStyle w:val="s1"/>
          <w:b/>
          <w:bCs/>
        </w:rPr>
        <w:t>Vondoom, A. (2025, December 30).</w:t>
      </w:r>
      <w:r>
        <w:t xml:space="preserve"> </w:t>
      </w:r>
      <w:r>
        <w:rPr>
          <w:i/>
          <w:iCs/>
        </w:rPr>
        <w:t>The Deep Symbolic Systems Model (DSSM) – A Cognitive–Ritual Framework for Early Monumentality and Cultural Continuity.</w:t>
      </w:r>
      <w:r>
        <w:t xml:space="preserve"> </w:t>
      </w:r>
      <w:hyperlink r:id="rId6" w:history="1">
        <w:r w:rsidRPr="00113FAC">
          <w:rPr>
            <w:rStyle w:val="Hyperlink"/>
          </w:rPr>
          <w:t>https://doi.org/10.17605/OSF.IO/MRZFU</w:t>
        </w:r>
      </w:hyperlink>
    </w:p>
    <w:p w14:paraId="22D32766" w14:textId="77777777" w:rsidR="00455088" w:rsidRDefault="00455088" w:rsidP="00455088">
      <w:pPr>
        <w:pStyle w:val="p1"/>
        <w:numPr>
          <w:ilvl w:val="0"/>
          <w:numId w:val="4"/>
        </w:numPr>
      </w:pPr>
      <w:r>
        <w:rPr>
          <w:rStyle w:val="s1"/>
          <w:b/>
          <w:bCs/>
        </w:rPr>
        <w:t>Vondoom, A. (2026, January 5).</w:t>
      </w:r>
      <w:r>
        <w:t xml:space="preserve"> </w:t>
      </w:r>
      <w:r>
        <w:rPr>
          <w:i/>
          <w:iCs/>
        </w:rPr>
        <w:t>Cognitive Preconditions for the Deep Symbolic Systems Model (DSSM).</w:t>
      </w:r>
      <w:r>
        <w:t xml:space="preserve"> </w:t>
      </w:r>
      <w:hyperlink r:id="rId7" w:history="1">
        <w:r w:rsidRPr="00113FAC">
          <w:rPr>
            <w:rStyle w:val="Hyperlink"/>
          </w:rPr>
          <w:t>https://doi.org/10.17605/OSF.IO/25AJW</w:t>
        </w:r>
      </w:hyperlink>
    </w:p>
    <w:p w14:paraId="199B262F" w14:textId="77777777" w:rsidR="00455088" w:rsidRPr="00455088" w:rsidRDefault="00455088" w:rsidP="000E0A6E">
      <w:pPr>
        <w:spacing w:before="100" w:beforeAutospacing="1" w:after="100" w:afterAutospacing="1"/>
        <w:rPr>
          <w:rFonts w:ascii="Times New Roman" w:eastAsia="Times New Roman" w:hAnsi="Times New Roman" w:cs="Times New Roman"/>
          <w:b/>
          <w:bCs/>
          <w:lang w:val="en-US" w:eastAsia="en-GB"/>
        </w:rPr>
      </w:pPr>
    </w:p>
    <w:p w14:paraId="7014A067"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625A8C9F" w14:textId="77777777" w:rsidR="000E0A6E" w:rsidRPr="00455088" w:rsidRDefault="000E0A6E" w:rsidP="000E0A6E">
      <w:pPr>
        <w:spacing w:before="100" w:beforeAutospacing="1" w:after="100" w:afterAutospacing="1"/>
        <w:rPr>
          <w:rFonts w:ascii="Times New Roman" w:eastAsia="Times New Roman" w:hAnsi="Times New Roman" w:cs="Times New Roman"/>
          <w:lang w:val="en-US" w:eastAsia="en-GB"/>
        </w:rPr>
      </w:pPr>
    </w:p>
    <w:p w14:paraId="46D19DAE"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b/>
          <w:bCs/>
          <w:lang w:eastAsia="en-GB"/>
        </w:rPr>
        <w:lastRenderedPageBreak/>
        <w:t>Abstract</w:t>
      </w:r>
    </w:p>
    <w:p w14:paraId="729B07F4" w14:textId="77777777" w:rsid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This paper applies the </w:t>
      </w:r>
      <w:r w:rsidRPr="000E0A6E">
        <w:rPr>
          <w:rFonts w:ascii="Times New Roman" w:eastAsia="Times New Roman" w:hAnsi="Times New Roman" w:cs="Times New Roman"/>
          <w:i/>
          <w:iCs/>
          <w:lang w:eastAsia="en-GB"/>
        </w:rPr>
        <w:t>Deep Symbolic Systems Model (DSSM)</w:t>
      </w:r>
      <w:r w:rsidRPr="000E0A6E">
        <w:rPr>
          <w:rFonts w:ascii="Times New Roman" w:eastAsia="Times New Roman" w:hAnsi="Times New Roman" w:cs="Times New Roman"/>
          <w:lang w:eastAsia="en-GB"/>
        </w:rPr>
        <w:t xml:space="preserve"> to the archaeological record of the Indus Valley, tracing human activity from early hominin presence through full urban integration. Unlike traditional civilizational narratives that prioritize monumentality or writing, the DSSM emphasizes structural symbolic stabilization over deep time, assessed by intergenerational repetition, spatial constraint, cross-media redundancy, and persistence under change. We argue the Indus sequence demonstrates a stabilization pathway rooted in distributed, infrastructural, and quotidian symbolic practices, culminating in the urban systems of the Mature Harappan era.</w:t>
      </w:r>
    </w:p>
    <w:p w14:paraId="408D237C"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01973207"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066F230"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865E565"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681E1D62"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665A17F2"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9559142"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52B24B7F"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1D071BA9"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34BCD1AD"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4AC4A4ED"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74F7F215"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670F1599"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48BC8618"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037115B2"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45A1260"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E7FB602"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747628FD"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740F6FF0"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0F4637F6"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p>
    <w:p w14:paraId="13DD8FE4"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72E5016B">
          <v:rect id="_x0000_i1034"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1. Introduction</w:t>
      </w:r>
    </w:p>
    <w:p w14:paraId="35E5E828" w14:textId="77777777" w:rsidR="000E0A6E" w:rsidRDefault="000E0A6E" w:rsidP="000E0A6E">
      <w:pPr>
        <w:spacing w:before="100" w:beforeAutospacing="1" w:after="100" w:afterAutospacing="1"/>
        <w:ind w:firstLine="720"/>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The Indus Valley region (modern Pakistan, northwest India, and adjacent areas) exhibits one of the longest continuous human occupation sequences in South Asia. Archaeological research traditionally divides this sequence into Late Pleistocene foragers, Neolithic food producers, regionalized village networks, and the urban Harappan civilization (Mature Harappan). However, such periodization does not directly address how symbolic systems stabilize structurally across epochs. Applying the </w:t>
      </w:r>
      <w:r w:rsidRPr="000E0A6E">
        <w:rPr>
          <w:rFonts w:ascii="Times New Roman" w:eastAsia="Times New Roman" w:hAnsi="Times New Roman" w:cs="Times New Roman"/>
          <w:i/>
          <w:iCs/>
          <w:lang w:eastAsia="en-GB"/>
        </w:rPr>
        <w:t>Deep Symbolic Systems Model (DSSM)</w:t>
      </w:r>
      <w:r w:rsidRPr="000E0A6E">
        <w:rPr>
          <w:rFonts w:ascii="Times New Roman" w:eastAsia="Times New Roman" w:hAnsi="Times New Roman" w:cs="Times New Roman"/>
          <w:lang w:eastAsia="en-GB"/>
        </w:rPr>
        <w:t xml:space="preserve"> — which foregrounds symbolic stabilization over monumental typologies — allows a more nuanced comparative analysis with other macro-regions such as Egypt, Mesopotamia, and Mesoamerica.</w:t>
      </w:r>
    </w:p>
    <w:p w14:paraId="50082790"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63E2A1C4"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0864CFF9"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1E8B28EC"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5BADB8AE"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3292C7F9"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440E705A"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78F8FED0"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035474C4"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5A1038C7"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3B5EFF44"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46739D6F"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5C6B7AF9"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2597F85"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5E7DDBB8"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1D6309D9"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7B7D81CD"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18E9899D"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p>
    <w:p w14:paraId="52511457"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726E7071">
          <v:rect id="_x0000_i1033"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2. Earliest Human Presence and Landscape Familiarity</w:t>
      </w:r>
    </w:p>
    <w:p w14:paraId="0B863250" w14:textId="77777777" w:rsidR="000E0A6E" w:rsidRPr="000E0A6E" w:rsidRDefault="000E0A6E" w:rsidP="000E0A6E">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0E0A6E">
        <w:rPr>
          <w:rFonts w:ascii="Times New Roman" w:eastAsia="Times New Roman" w:hAnsi="Times New Roman" w:cs="Times New Roman"/>
          <w:b/>
          <w:bCs/>
          <w:sz w:val="27"/>
          <w:szCs w:val="27"/>
          <w:lang w:eastAsia="en-GB"/>
        </w:rPr>
        <w:t>2.1 Hominin Occupation in the Indus Catchment</w:t>
      </w:r>
    </w:p>
    <w:p w14:paraId="3644DF56"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The earliest lithic evidence connected to hominin presence in the Indus watershed emerges from the Potwar Plateau, within the Soan Valley and Siwalik Hills. These assemblages include core-and-flake tools attributed to the Soanian tradition, hypothesized to span ~2 million to ~400,000 years ago, though precise dating remains debated (Chakrabarti 2009; DOI:10.1093/acprof:oso/9780198064121.001.0001). These tools indicate repeated use of riverine ecologies, suggesting early hominins repeatedly exploited the Indus fluvial system.</w:t>
      </w:r>
    </w:p>
    <w:p w14:paraId="0B38A988"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Recent palaeogeographic research in the Siwaliks highlights climatic oscillations affecting fluvial dynamics and, by extension, hominin land use patterns, underscoring the role of environmental attractors well before the Neolithic (DOI:10.1016/j.jop.2025.100262) .</w:t>
      </w:r>
    </w:p>
    <w:p w14:paraId="17CC7E3B"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b/>
          <w:bCs/>
          <w:lang w:eastAsia="en-GB"/>
        </w:rPr>
        <w:t>DSSM interpretation:</w:t>
      </w:r>
      <w:r w:rsidRPr="000E0A6E">
        <w:rPr>
          <w:rFonts w:ascii="Times New Roman" w:eastAsia="Times New Roman" w:hAnsi="Times New Roman" w:cs="Times New Roman"/>
          <w:lang w:eastAsia="en-GB"/>
        </w:rPr>
        <w:t xml:space="preserve"> These early occupations represent </w:t>
      </w:r>
      <w:r w:rsidRPr="000E0A6E">
        <w:rPr>
          <w:rFonts w:ascii="Times New Roman" w:eastAsia="Times New Roman" w:hAnsi="Times New Roman" w:cs="Times New Roman"/>
          <w:b/>
          <w:bCs/>
          <w:lang w:eastAsia="en-GB"/>
        </w:rPr>
        <w:t>landscape familiarity</w:t>
      </w:r>
      <w:r w:rsidRPr="000E0A6E">
        <w:rPr>
          <w:rFonts w:ascii="Times New Roman" w:eastAsia="Times New Roman" w:hAnsi="Times New Roman" w:cs="Times New Roman"/>
          <w:lang w:eastAsia="en-GB"/>
        </w:rPr>
        <w:t xml:space="preserve"> without evidence of symbolic stabilization (no durable symbols or sites).</w:t>
      </w:r>
    </w:p>
    <w:p w14:paraId="1B135D46"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5917D2A">
          <v:rect id="_x0000_i1032"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3. Paleolithic Expansion and Emerging Behavioral Complexity</w:t>
      </w:r>
    </w:p>
    <w:p w14:paraId="50EE16FA" w14:textId="77777777" w:rsidR="000E0A6E" w:rsidRPr="000E0A6E" w:rsidRDefault="000E0A6E" w:rsidP="000E0A6E">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0E0A6E">
        <w:rPr>
          <w:rFonts w:ascii="Times New Roman" w:eastAsia="Times New Roman" w:hAnsi="Times New Roman" w:cs="Times New Roman"/>
          <w:b/>
          <w:bCs/>
          <w:sz w:val="27"/>
          <w:szCs w:val="27"/>
          <w:lang w:eastAsia="en-GB"/>
        </w:rPr>
        <w:t>3.1 Middle to Upper Paleolithic Industries</w:t>
      </w:r>
    </w:p>
    <w:p w14:paraId="58F458C6"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Acheulean and Middle Paleolithic tools appear in the Potwar Plateau, Rohri Hills, and Thar Desert margins, with bifaces, scrapers, and prepared-core technologies marking technological continuity and broader landscape use. Although these tools indicate organized behavior, they do not yet manifest repetitive symbolic embedding across media or landscape anchors.</w:t>
      </w:r>
    </w:p>
    <w:p w14:paraId="30FE899C"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By ~50,000–30,000 BCE, blade-based industries and increased site densities near river terraces hint at rising behavioral complexity, but their symbolic implications remain indirect.</w:t>
      </w:r>
    </w:p>
    <w:p w14:paraId="2FF1EBCE"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b/>
          <w:bCs/>
          <w:lang w:eastAsia="en-GB"/>
        </w:rPr>
        <w:t>DSSM interpretation:</w:t>
      </w:r>
      <w:r w:rsidRPr="000E0A6E">
        <w:rPr>
          <w:rFonts w:ascii="Times New Roman" w:eastAsia="Times New Roman" w:hAnsi="Times New Roman" w:cs="Times New Roman"/>
          <w:lang w:eastAsia="en-GB"/>
        </w:rPr>
        <w:t xml:space="preserve"> This period reflects </w:t>
      </w:r>
      <w:r w:rsidRPr="000E0A6E">
        <w:rPr>
          <w:rFonts w:ascii="Times New Roman" w:eastAsia="Times New Roman" w:hAnsi="Times New Roman" w:cs="Times New Roman"/>
          <w:b/>
          <w:bCs/>
          <w:lang w:eastAsia="en-GB"/>
        </w:rPr>
        <w:t>cognitive and technological scaffolding</w:t>
      </w:r>
      <w:r w:rsidRPr="000E0A6E">
        <w:rPr>
          <w:rFonts w:ascii="Times New Roman" w:eastAsia="Times New Roman" w:hAnsi="Times New Roman" w:cs="Times New Roman"/>
          <w:lang w:eastAsia="en-GB"/>
        </w:rPr>
        <w:t xml:space="preserve"> necessary for later symbolic systems, but not structural stabilization per se.</w:t>
      </w:r>
    </w:p>
    <w:p w14:paraId="6EF01846"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04FB6F0">
          <v:rect id="_x0000_i1031"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4. Neolithic Emergence: Mehrgarh and Food-Producing Societies</w:t>
      </w:r>
    </w:p>
    <w:p w14:paraId="0BE0187D" w14:textId="77777777" w:rsidR="000E0A6E" w:rsidRPr="000E0A6E" w:rsidRDefault="000E0A6E" w:rsidP="000E0A6E">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0E0A6E">
        <w:rPr>
          <w:rFonts w:ascii="Times New Roman" w:eastAsia="Times New Roman" w:hAnsi="Times New Roman" w:cs="Times New Roman"/>
          <w:b/>
          <w:bCs/>
          <w:sz w:val="27"/>
          <w:szCs w:val="27"/>
          <w:lang w:eastAsia="en-GB"/>
        </w:rPr>
        <w:t>4.1 Mehrgarh as a Primary Stabilization Node</w:t>
      </w:r>
    </w:p>
    <w:p w14:paraId="2F182BD5"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Mehrgarh (Balochistan, Pakistan) is the earliest well-documented food-producing settlement in the Indus region, with occupation beginning ca. 7000 BCE and extending into the 2nd millennium BCE. It provides the first clear material record of sedentism, plant cultivation (wheat and barley), animal herding, mudbrick architecture, and interment practices (conventional sequence: ~7000–3300 BCE) .</w:t>
      </w:r>
    </w:p>
    <w:p w14:paraId="4D565B9A"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p>
    <w:p w14:paraId="0504F8E4"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Recent radiocarbon analyses suggest rapid stratigraphic accumulation at Mehrgarh, challenging traditional conceptions of its temporal depth and underscoring cultural dynamism in the early Neolithic ground (Nature commentary on new dating) .</w:t>
      </w:r>
    </w:p>
    <w:p w14:paraId="2ACD036B"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b/>
          <w:bCs/>
          <w:lang w:eastAsia="en-GB"/>
        </w:rPr>
        <w:t>DSSM criteria met by Mehrgarh:</w:t>
      </w:r>
    </w:p>
    <w:p w14:paraId="1608E961" w14:textId="77777777" w:rsidR="000E0A6E" w:rsidRPr="000E0A6E" w:rsidRDefault="000E0A6E" w:rsidP="000E0A6E">
      <w:pPr>
        <w:numPr>
          <w:ilvl w:val="0"/>
          <w:numId w:val="1"/>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i/>
          <w:iCs/>
          <w:lang w:eastAsia="en-GB"/>
        </w:rPr>
        <w:t>Intergenerational repetition</w:t>
      </w:r>
      <w:r w:rsidRPr="000E0A6E">
        <w:rPr>
          <w:rFonts w:ascii="Times New Roman" w:eastAsia="Times New Roman" w:hAnsi="Times New Roman" w:cs="Times New Roman"/>
          <w:lang w:eastAsia="en-GB"/>
        </w:rPr>
        <w:t xml:space="preserve"> via burial customs and domestic architecture</w:t>
      </w:r>
    </w:p>
    <w:p w14:paraId="6EEDE8FB" w14:textId="77777777" w:rsidR="000E0A6E" w:rsidRPr="000E0A6E" w:rsidRDefault="000E0A6E" w:rsidP="000E0A6E">
      <w:pPr>
        <w:numPr>
          <w:ilvl w:val="0"/>
          <w:numId w:val="1"/>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i/>
          <w:iCs/>
          <w:lang w:eastAsia="en-GB"/>
        </w:rPr>
        <w:t>Spatial constraint</w:t>
      </w:r>
      <w:r w:rsidRPr="000E0A6E">
        <w:rPr>
          <w:rFonts w:ascii="Times New Roman" w:eastAsia="Times New Roman" w:hAnsi="Times New Roman" w:cs="Times New Roman"/>
          <w:lang w:eastAsia="en-GB"/>
        </w:rPr>
        <w:t xml:space="preserve"> through settlement planning</w:t>
      </w:r>
    </w:p>
    <w:p w14:paraId="380FCE9C" w14:textId="77777777" w:rsidR="000E0A6E" w:rsidRPr="000E0A6E" w:rsidRDefault="000E0A6E" w:rsidP="000E0A6E">
      <w:pPr>
        <w:numPr>
          <w:ilvl w:val="0"/>
          <w:numId w:val="1"/>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i/>
          <w:iCs/>
          <w:lang w:eastAsia="en-GB"/>
        </w:rPr>
        <w:t>Cross-media redundancy</w:t>
      </w:r>
      <w:r w:rsidRPr="000E0A6E">
        <w:rPr>
          <w:rFonts w:ascii="Times New Roman" w:eastAsia="Times New Roman" w:hAnsi="Times New Roman" w:cs="Times New Roman"/>
          <w:lang w:eastAsia="en-GB"/>
        </w:rPr>
        <w:t xml:space="preserve"> in subsistence, craft, and mortuary domains</w:t>
      </w:r>
    </w:p>
    <w:p w14:paraId="51760007"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Thus, Mehrgarh marks the first </w:t>
      </w:r>
      <w:r w:rsidRPr="000E0A6E">
        <w:rPr>
          <w:rFonts w:ascii="Times New Roman" w:eastAsia="Times New Roman" w:hAnsi="Times New Roman" w:cs="Times New Roman"/>
          <w:b/>
          <w:bCs/>
          <w:lang w:eastAsia="en-GB"/>
        </w:rPr>
        <w:t>deep symbolic stabilization</w:t>
      </w:r>
      <w:r w:rsidRPr="000E0A6E">
        <w:rPr>
          <w:rFonts w:ascii="Times New Roman" w:eastAsia="Times New Roman" w:hAnsi="Times New Roman" w:cs="Times New Roman"/>
          <w:lang w:eastAsia="en-GB"/>
        </w:rPr>
        <w:t xml:space="preserve"> in the Indus catchment.</w:t>
      </w:r>
    </w:p>
    <w:p w14:paraId="36EBDFB7"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3CB1E08">
          <v:rect id="_x0000_i1030"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5. Regionalization and Symbolic Scaling</w:t>
      </w:r>
    </w:p>
    <w:p w14:paraId="11F23AC9" w14:textId="77777777" w:rsidR="000E0A6E" w:rsidRPr="000E0A6E" w:rsidRDefault="000E0A6E" w:rsidP="000E0A6E">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0E0A6E">
        <w:rPr>
          <w:rFonts w:ascii="Times New Roman" w:eastAsia="Times New Roman" w:hAnsi="Times New Roman" w:cs="Times New Roman"/>
          <w:b/>
          <w:bCs/>
          <w:sz w:val="27"/>
          <w:szCs w:val="27"/>
          <w:lang w:eastAsia="en-GB"/>
        </w:rPr>
        <w:t>5.1 Early Pre-Harappan Cultures</w:t>
      </w:r>
    </w:p>
    <w:p w14:paraId="14C5F98E"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Between ca. 5500–3300 BCE, the Indus vicinity sees the expansion of village networks and diversified craft specialization (pottery, beads, exchanged materials), signaling distributed symbolic practices beyond single habitats. The Early Harappan period itself (~3300–2600 BCE) comprises multiple regional assemblages such as Ravi Phase, Hakra Ware, Kot Diji, and Sothi ceramics, reflecting stylistic coherence over considerable distances, yet without centralized urban cores (chronologies summarized in Kenoyer 2014) .</w:t>
      </w:r>
    </w:p>
    <w:p w14:paraId="0A036979"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Lithic evidence from Sindh–Gujarat interactions highlights interregional exchange dynamics prior to full urban integration, illustrating how symbolic systems were increasingly shared across broad terrains (Surendra Gadekar et al. 2021, DOI:10.2218/jls.5161) .</w:t>
      </w:r>
    </w:p>
    <w:p w14:paraId="3FF1F2DE"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b/>
          <w:bCs/>
          <w:lang w:eastAsia="en-GB"/>
        </w:rPr>
        <w:t>DSSM interpretation:</w:t>
      </w:r>
      <w:r w:rsidRPr="000E0A6E">
        <w:rPr>
          <w:rFonts w:ascii="Times New Roman" w:eastAsia="Times New Roman" w:hAnsi="Times New Roman" w:cs="Times New Roman"/>
          <w:lang w:eastAsia="en-GB"/>
        </w:rPr>
        <w:t xml:space="preserve"> Symbolic practices scale </w:t>
      </w:r>
      <w:r w:rsidRPr="000E0A6E">
        <w:rPr>
          <w:rFonts w:ascii="Times New Roman" w:eastAsia="Times New Roman" w:hAnsi="Times New Roman" w:cs="Times New Roman"/>
          <w:b/>
          <w:bCs/>
          <w:lang w:eastAsia="en-GB"/>
        </w:rPr>
        <w:t>regionally</w:t>
      </w:r>
      <w:r w:rsidRPr="000E0A6E">
        <w:rPr>
          <w:rFonts w:ascii="Times New Roman" w:eastAsia="Times New Roman" w:hAnsi="Times New Roman" w:cs="Times New Roman"/>
          <w:lang w:eastAsia="en-GB"/>
        </w:rPr>
        <w:t xml:space="preserve"> while remaining structurally </w:t>
      </w:r>
      <w:r w:rsidRPr="000E0A6E">
        <w:rPr>
          <w:rFonts w:ascii="Times New Roman" w:eastAsia="Times New Roman" w:hAnsi="Times New Roman" w:cs="Times New Roman"/>
          <w:b/>
          <w:bCs/>
          <w:lang w:eastAsia="en-GB"/>
        </w:rPr>
        <w:t>distributed</w:t>
      </w:r>
      <w:r w:rsidRPr="000E0A6E">
        <w:rPr>
          <w:rFonts w:ascii="Times New Roman" w:eastAsia="Times New Roman" w:hAnsi="Times New Roman" w:cs="Times New Roman"/>
          <w:lang w:eastAsia="en-GB"/>
        </w:rPr>
        <w:t xml:space="preserve"> and non-hierarchical.</w:t>
      </w:r>
    </w:p>
    <w:p w14:paraId="3FFEF30F"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70C57FC">
          <v:rect id="_x0000_i1029"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6. Urban Integration: Mature Harappan Civilization</w:t>
      </w:r>
    </w:p>
    <w:p w14:paraId="32BF5A12" w14:textId="77777777" w:rsidR="000E0A6E" w:rsidRPr="000E0A6E" w:rsidRDefault="000E0A6E" w:rsidP="000E0A6E">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0E0A6E">
        <w:rPr>
          <w:rFonts w:ascii="Times New Roman" w:eastAsia="Times New Roman" w:hAnsi="Times New Roman" w:cs="Times New Roman"/>
          <w:b/>
          <w:bCs/>
          <w:sz w:val="27"/>
          <w:szCs w:val="27"/>
          <w:lang w:eastAsia="en-GB"/>
        </w:rPr>
        <w:t>6.1 Emergence of Urban Nodes</w:t>
      </w:r>
    </w:p>
    <w:p w14:paraId="71EF3349"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By ca. 2600–1900 BCE, the Indus system achieves complex urban integration. Major planned cities — Harappa, Mohenjo-Daro, Dholavira, Rakhigarhi, and Lothal — exhibit orthogonal planning, standardized bricks and weights, sophisticated drainage, and seal iconography. These features signal symbolic saturation across civic, economic, and social domains, integrating ritual practices into everyday spatial logic.</w:t>
      </w:r>
    </w:p>
    <w:p w14:paraId="008F740E"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The Harappan script — still undeciphered — and standardized administrative artefacts further encode persistent symbolic grammars across urban and rural contexts.</w:t>
      </w:r>
    </w:p>
    <w:p w14:paraId="1A63EC38"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p>
    <w:p w14:paraId="0669DD7E"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b/>
          <w:bCs/>
          <w:lang w:eastAsia="en-GB"/>
        </w:rPr>
        <w:lastRenderedPageBreak/>
        <w:t>DSSM interpretation:</w:t>
      </w:r>
      <w:r w:rsidRPr="000E0A6E">
        <w:rPr>
          <w:rFonts w:ascii="Times New Roman" w:eastAsia="Times New Roman" w:hAnsi="Times New Roman" w:cs="Times New Roman"/>
          <w:lang w:eastAsia="en-GB"/>
        </w:rPr>
        <w:t xml:space="preserve"> Urban planning, material standardization, and symbolic convergence represent </w:t>
      </w:r>
      <w:r w:rsidRPr="000E0A6E">
        <w:rPr>
          <w:rFonts w:ascii="Times New Roman" w:eastAsia="Times New Roman" w:hAnsi="Times New Roman" w:cs="Times New Roman"/>
          <w:b/>
          <w:bCs/>
          <w:lang w:eastAsia="en-GB"/>
        </w:rPr>
        <w:t>high symbolic saturation</w:t>
      </w:r>
      <w:r w:rsidRPr="000E0A6E">
        <w:rPr>
          <w:rFonts w:ascii="Times New Roman" w:eastAsia="Times New Roman" w:hAnsi="Times New Roman" w:cs="Times New Roman"/>
          <w:lang w:eastAsia="en-GB"/>
        </w:rPr>
        <w:t xml:space="preserve"> where public order reflects deep symbolic norms externalized in infrastructure rather than in monumental elites.</w:t>
      </w:r>
    </w:p>
    <w:p w14:paraId="2662CBC8" w14:textId="77777777" w:rsid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8CE8430">
          <v:rect id="_x0000_i1028"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7. Late Harappan and Regional Persistence</w:t>
      </w:r>
    </w:p>
    <w:p w14:paraId="37307ECD" w14:textId="77777777" w:rsidR="000E0A6E" w:rsidRPr="000E0A6E" w:rsidRDefault="000E0A6E" w:rsidP="000E0A6E">
      <w:pPr>
        <w:rPr>
          <w:rFonts w:ascii="Times New Roman" w:eastAsia="Times New Roman" w:hAnsi="Times New Roman" w:cs="Times New Roman"/>
          <w:lang w:eastAsia="en-GB"/>
        </w:rPr>
      </w:pPr>
      <w:r>
        <w:rPr>
          <w:rFonts w:ascii="Times New Roman" w:eastAsia="Times New Roman" w:hAnsi="Times New Roman" w:cs="Times New Roman"/>
          <w:lang w:eastAsia="en-GB"/>
        </w:rPr>
        <w:tab/>
      </w:r>
    </w:p>
    <w:p w14:paraId="5A7D5713" w14:textId="77777777" w:rsidR="000E0A6E" w:rsidRPr="000E0A6E" w:rsidRDefault="000E0A6E" w:rsidP="000E0A6E">
      <w:pPr>
        <w:spacing w:before="100" w:beforeAutospacing="1" w:after="100" w:afterAutospacing="1"/>
        <w:ind w:firstLine="720"/>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Following the urban peak, from ~1900–1300 BCE, many centers decline while regional traditions adapt and persist in post-Harappan contexts. This transition underscores the </w:t>
      </w:r>
      <w:r w:rsidRPr="000E0A6E">
        <w:rPr>
          <w:rFonts w:ascii="Times New Roman" w:eastAsia="Times New Roman" w:hAnsi="Times New Roman" w:cs="Times New Roman"/>
          <w:b/>
          <w:bCs/>
          <w:lang w:eastAsia="en-GB"/>
        </w:rPr>
        <w:t>persistence</w:t>
      </w:r>
      <w:r w:rsidRPr="000E0A6E">
        <w:rPr>
          <w:rFonts w:ascii="Times New Roman" w:eastAsia="Times New Roman" w:hAnsi="Times New Roman" w:cs="Times New Roman"/>
          <w:lang w:eastAsia="en-GB"/>
        </w:rPr>
        <w:t xml:space="preserve"> criterion of DSSM: symbolic systems embedded in routine and settlement structure continue beyond the peak urban era.</w:t>
      </w:r>
    </w:p>
    <w:p w14:paraId="158258E9"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48D199E">
          <v:rect id="_x0000_i1027"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8. Strategic Interpretations</w:t>
      </w:r>
    </w:p>
    <w:p w14:paraId="4499906D"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The Indus Valley sequence illustrates a </w:t>
      </w:r>
      <w:r w:rsidRPr="000E0A6E">
        <w:rPr>
          <w:rFonts w:ascii="Times New Roman" w:eastAsia="Times New Roman" w:hAnsi="Times New Roman" w:cs="Times New Roman"/>
          <w:b/>
          <w:bCs/>
          <w:lang w:eastAsia="en-GB"/>
        </w:rPr>
        <w:t>unique stabilization pathway</w:t>
      </w:r>
      <w:r w:rsidRPr="000E0A6E">
        <w:rPr>
          <w:rFonts w:ascii="Times New Roman" w:eastAsia="Times New Roman" w:hAnsi="Times New Roman" w:cs="Times New Roman"/>
          <w:lang w:eastAsia="en-GB"/>
        </w:rPr>
        <w:t xml:space="preserve"> characterized by:</w:t>
      </w:r>
    </w:p>
    <w:p w14:paraId="52467EC3" w14:textId="77777777" w:rsidR="000E0A6E" w:rsidRPr="000E0A6E" w:rsidRDefault="000E0A6E" w:rsidP="000E0A6E">
      <w:pPr>
        <w:numPr>
          <w:ilvl w:val="0"/>
          <w:numId w:val="2"/>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Early symbolic embedding in domestic and mortuary practice (Mehrgarh)</w:t>
      </w:r>
    </w:p>
    <w:p w14:paraId="7579DE85" w14:textId="77777777" w:rsidR="000E0A6E" w:rsidRPr="000E0A6E" w:rsidRDefault="000E0A6E" w:rsidP="000E0A6E">
      <w:pPr>
        <w:numPr>
          <w:ilvl w:val="0"/>
          <w:numId w:val="2"/>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Distributed, networked symbolic coherence across regional assemblages</w:t>
      </w:r>
    </w:p>
    <w:p w14:paraId="5F5A92CB" w14:textId="77777777" w:rsidR="000E0A6E" w:rsidRPr="000E0A6E" w:rsidRDefault="000E0A6E" w:rsidP="000E0A6E">
      <w:pPr>
        <w:numPr>
          <w:ilvl w:val="0"/>
          <w:numId w:val="2"/>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Urban saturation without theocratic monarchies or overt temple iconography</w:t>
      </w:r>
    </w:p>
    <w:p w14:paraId="30BE66F7" w14:textId="77777777" w:rsidR="000E0A6E" w:rsidRPr="000E0A6E" w:rsidRDefault="000E0A6E" w:rsidP="000E0A6E">
      <w:pPr>
        <w:numPr>
          <w:ilvl w:val="0"/>
          <w:numId w:val="2"/>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Symbolic systems embedded in standards, planning ratios, and daily practice</w:t>
      </w:r>
    </w:p>
    <w:p w14:paraId="1380D6D1"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p>
    <w:p w14:paraId="50BDD589" w14:textId="77777777" w:rsid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Unlike civilizations defined by monumental temples or kingly iconography, Indus stabilization favored </w:t>
      </w:r>
      <w:r w:rsidRPr="000E0A6E">
        <w:rPr>
          <w:rFonts w:ascii="Times New Roman" w:eastAsia="Times New Roman" w:hAnsi="Times New Roman" w:cs="Times New Roman"/>
          <w:b/>
          <w:bCs/>
          <w:lang w:eastAsia="en-GB"/>
        </w:rPr>
        <w:t>routine-based symbolic channels</w:t>
      </w:r>
      <w:r w:rsidRPr="000E0A6E">
        <w:rPr>
          <w:rFonts w:ascii="Times New Roman" w:eastAsia="Times New Roman" w:hAnsi="Times New Roman" w:cs="Times New Roman"/>
          <w:lang w:eastAsia="en-GB"/>
        </w:rPr>
        <w:t xml:space="preserve"> anchored in infrastructure, craft standardization, and spatial regulation.</w:t>
      </w:r>
    </w:p>
    <w:p w14:paraId="1DB5B8CC"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5F7F1D49"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A9355AF"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714ADE15"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6036BEB8"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2F3F72AF"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301F753F"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41E1CB47"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0E403105"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4FA55891" w14:textId="77777777" w:rsidR="000E0A6E" w:rsidRDefault="000E0A6E" w:rsidP="000E0A6E">
      <w:pPr>
        <w:spacing w:before="100" w:beforeAutospacing="1" w:after="100" w:afterAutospacing="1"/>
        <w:rPr>
          <w:rFonts w:ascii="Times New Roman" w:eastAsia="Times New Roman" w:hAnsi="Times New Roman" w:cs="Times New Roman"/>
          <w:lang w:eastAsia="en-GB"/>
        </w:rPr>
      </w:pPr>
    </w:p>
    <w:p w14:paraId="1543A505"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p>
    <w:p w14:paraId="5F1E6B55"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154E606">
          <v:rect id="_x0000_i1026"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9. Conclusion</w:t>
      </w:r>
    </w:p>
    <w:p w14:paraId="2D0896C3" w14:textId="77777777" w:rsidR="000E0A6E" w:rsidRPr="000E0A6E" w:rsidRDefault="000E0A6E" w:rsidP="000E0A6E">
      <w:p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Applying DSSM to the Indus record reveals that </w:t>
      </w:r>
      <w:r w:rsidRPr="000E0A6E">
        <w:rPr>
          <w:rFonts w:ascii="Times New Roman" w:eastAsia="Times New Roman" w:hAnsi="Times New Roman" w:cs="Times New Roman"/>
          <w:b/>
          <w:bCs/>
          <w:lang w:eastAsia="en-GB"/>
        </w:rPr>
        <w:t>symbolic stabilization precedes and underwrites urban complexity</w:t>
      </w:r>
      <w:r w:rsidRPr="000E0A6E">
        <w:rPr>
          <w:rFonts w:ascii="Times New Roman" w:eastAsia="Times New Roman" w:hAnsi="Times New Roman" w:cs="Times New Roman"/>
          <w:lang w:eastAsia="en-GB"/>
        </w:rPr>
        <w:t>, challenging teleological narratives that equate civilization solely with monumental iconography or writing. The Indus case thus enriches comparative civilizational studies and underscores the diversity of symbolic economies across ancient macro-regions.</w:t>
      </w:r>
    </w:p>
    <w:p w14:paraId="3D8C8C7C" w14:textId="77777777" w:rsidR="000E0A6E" w:rsidRPr="000E0A6E" w:rsidRDefault="001E64BC" w:rsidP="000E0A6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59C7EBA5">
          <v:rect id="_x0000_i1025" alt="" style="width:451.3pt;height:.05pt;mso-width-percent:0;mso-height-percent:0;mso-width-percent:0;mso-height-percent:0" o:hralign="center" o:hrstd="t" o:hr="t" fillcolor="#a0a0a0" stroked="f"/>
        </w:pict>
      </w:r>
      <w:r w:rsidR="000E0A6E" w:rsidRPr="000E0A6E">
        <w:rPr>
          <w:rFonts w:ascii="Times New Roman" w:eastAsia="Times New Roman" w:hAnsi="Times New Roman" w:cs="Times New Roman"/>
          <w:b/>
          <w:bCs/>
          <w:sz w:val="36"/>
          <w:szCs w:val="36"/>
          <w:lang w:eastAsia="en-GB"/>
        </w:rPr>
        <w:t>References</w:t>
      </w:r>
    </w:p>
    <w:p w14:paraId="53F63C20"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Chakrabarti, D. K. </w:t>
      </w:r>
      <w:r w:rsidRPr="000E0A6E">
        <w:rPr>
          <w:rFonts w:ascii="Times New Roman" w:eastAsia="Times New Roman" w:hAnsi="Times New Roman" w:cs="Times New Roman"/>
          <w:i/>
          <w:iCs/>
          <w:lang w:eastAsia="en-GB"/>
        </w:rPr>
        <w:t>India: An Archaeological History — Palaeolithic Beginnings to Early Historic Foundations</w:t>
      </w:r>
      <w:r w:rsidRPr="000E0A6E">
        <w:rPr>
          <w:rFonts w:ascii="Times New Roman" w:eastAsia="Times New Roman" w:hAnsi="Times New Roman" w:cs="Times New Roman"/>
          <w:lang w:eastAsia="en-GB"/>
        </w:rPr>
        <w:t xml:space="preserve"> (Oxford University Press, 2009). ISBN:9780198064121; DOI:10.1093/acprof:oso/9780198064121.001.0001. </w:t>
      </w:r>
    </w:p>
    <w:p w14:paraId="286D719E"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Surendra Gadekar, C. et al. “Early Harappan interaction between Sindh and Gujarat, as evidenced by lithic tools.” </w:t>
      </w:r>
      <w:r w:rsidRPr="000E0A6E">
        <w:rPr>
          <w:rFonts w:ascii="Times New Roman" w:eastAsia="Times New Roman" w:hAnsi="Times New Roman" w:cs="Times New Roman"/>
          <w:i/>
          <w:iCs/>
          <w:lang w:eastAsia="en-GB"/>
        </w:rPr>
        <w:t>Journal of Lithic Studies</w:t>
      </w:r>
      <w:r w:rsidRPr="000E0A6E">
        <w:rPr>
          <w:rFonts w:ascii="Times New Roman" w:eastAsia="Times New Roman" w:hAnsi="Times New Roman" w:cs="Times New Roman"/>
          <w:lang w:eastAsia="en-GB"/>
        </w:rPr>
        <w:t xml:space="preserve"> (2021). DOI:10.2218/jls.5161. </w:t>
      </w:r>
    </w:p>
    <w:p w14:paraId="09AC73A6"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“Indus Valley farming started later than thought, radiocarbon study shows.” </w:t>
      </w:r>
      <w:r w:rsidRPr="000E0A6E">
        <w:rPr>
          <w:rFonts w:ascii="Times New Roman" w:eastAsia="Times New Roman" w:hAnsi="Times New Roman" w:cs="Times New Roman"/>
          <w:i/>
          <w:iCs/>
          <w:lang w:eastAsia="en-GB"/>
        </w:rPr>
        <w:t>Nature</w:t>
      </w:r>
      <w:r w:rsidRPr="000E0A6E">
        <w:rPr>
          <w:rFonts w:ascii="Times New Roman" w:eastAsia="Times New Roman" w:hAnsi="Times New Roman" w:cs="Times New Roman"/>
          <w:lang w:eastAsia="en-GB"/>
        </w:rPr>
        <w:t xml:space="preserve"> (2025). </w:t>
      </w:r>
    </w:p>
    <w:p w14:paraId="37DD5217"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Kenoyer, J. M. “The Indus Civilization.” In </w:t>
      </w:r>
      <w:r w:rsidRPr="000E0A6E">
        <w:rPr>
          <w:rFonts w:ascii="Times New Roman" w:eastAsia="Times New Roman" w:hAnsi="Times New Roman" w:cs="Times New Roman"/>
          <w:i/>
          <w:iCs/>
          <w:lang w:eastAsia="en-GB"/>
        </w:rPr>
        <w:t>Cambridge History of Early Inner Asia</w:t>
      </w:r>
      <w:r w:rsidRPr="000E0A6E">
        <w:rPr>
          <w:rFonts w:ascii="Times New Roman" w:eastAsia="Times New Roman" w:hAnsi="Times New Roman" w:cs="Times New Roman"/>
          <w:lang w:eastAsia="en-GB"/>
        </w:rPr>
        <w:t xml:space="preserve"> (Cambridge Univ. Press, 2014). </w:t>
      </w:r>
    </w:p>
    <w:p w14:paraId="40A30B55"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Garge, T. “Sothi-Siswal Ceramic Assemblage: A Reappraisal.” </w:t>
      </w:r>
      <w:r w:rsidRPr="000E0A6E">
        <w:rPr>
          <w:rFonts w:ascii="Times New Roman" w:eastAsia="Times New Roman" w:hAnsi="Times New Roman" w:cs="Times New Roman"/>
          <w:i/>
          <w:iCs/>
          <w:lang w:eastAsia="en-GB"/>
        </w:rPr>
        <w:t>Ancient Asia</w:t>
      </w:r>
      <w:r w:rsidRPr="000E0A6E">
        <w:rPr>
          <w:rFonts w:ascii="Times New Roman" w:eastAsia="Times New Roman" w:hAnsi="Times New Roman" w:cs="Times New Roman"/>
          <w:lang w:eastAsia="en-GB"/>
        </w:rPr>
        <w:t xml:space="preserve">  (2010). DOI:10.5334/aa.10203. </w:t>
      </w:r>
    </w:p>
    <w:p w14:paraId="49F68096"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Possehl, G. L. </w:t>
      </w:r>
      <w:r w:rsidRPr="000E0A6E">
        <w:rPr>
          <w:rFonts w:ascii="Times New Roman" w:eastAsia="Times New Roman" w:hAnsi="Times New Roman" w:cs="Times New Roman"/>
          <w:i/>
          <w:iCs/>
          <w:lang w:eastAsia="en-GB"/>
        </w:rPr>
        <w:t>The Indus Civilization: A Contemporary Perspective</w:t>
      </w:r>
      <w:r w:rsidRPr="000E0A6E">
        <w:rPr>
          <w:rFonts w:ascii="Times New Roman" w:eastAsia="Times New Roman" w:hAnsi="Times New Roman" w:cs="Times New Roman"/>
          <w:lang w:eastAsia="en-GB"/>
        </w:rPr>
        <w:t xml:space="preserve"> (Vistaar Publications, 2004). ISBN:9788178241301. </w:t>
      </w:r>
    </w:p>
    <w:p w14:paraId="10AFE9FD"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“Phases of Indus Valley Civilization.” </w:t>
      </w:r>
      <w:r w:rsidRPr="000E0A6E">
        <w:rPr>
          <w:rFonts w:ascii="Times New Roman" w:eastAsia="Times New Roman" w:hAnsi="Times New Roman" w:cs="Times New Roman"/>
          <w:i/>
          <w:iCs/>
          <w:lang w:eastAsia="en-GB"/>
        </w:rPr>
        <w:t>International Journal of History</w:t>
      </w:r>
      <w:r w:rsidRPr="000E0A6E">
        <w:rPr>
          <w:rFonts w:ascii="Times New Roman" w:eastAsia="Times New Roman" w:hAnsi="Times New Roman" w:cs="Times New Roman"/>
          <w:lang w:eastAsia="en-GB"/>
        </w:rPr>
        <w:t xml:space="preserve"> 1(2019). </w:t>
      </w:r>
    </w:p>
    <w:p w14:paraId="47B04D2D"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“Indus tradition chronology.” </w:t>
      </w:r>
      <w:r w:rsidRPr="000E0A6E">
        <w:rPr>
          <w:rFonts w:ascii="Times New Roman" w:eastAsia="Times New Roman" w:hAnsi="Times New Roman" w:cs="Times New Roman"/>
          <w:i/>
          <w:iCs/>
          <w:lang w:eastAsia="en-GB"/>
        </w:rPr>
        <w:t>Encyclopedia of Archaeology</w:t>
      </w:r>
      <w:r w:rsidRPr="000E0A6E">
        <w:rPr>
          <w:rFonts w:ascii="Times New Roman" w:eastAsia="Times New Roman" w:hAnsi="Times New Roman" w:cs="Times New Roman"/>
          <w:lang w:eastAsia="en-GB"/>
        </w:rPr>
        <w:t xml:space="preserve"> (Elsevier, 2008). </w:t>
      </w:r>
    </w:p>
    <w:p w14:paraId="518D8F03"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Nausharo archaeological site overview (2025). </w:t>
      </w:r>
    </w:p>
    <w:p w14:paraId="3EB453DC" w14:textId="77777777" w:rsidR="000E0A6E" w:rsidRPr="000E0A6E" w:rsidRDefault="000E0A6E" w:rsidP="000E0A6E">
      <w:pPr>
        <w:numPr>
          <w:ilvl w:val="0"/>
          <w:numId w:val="3"/>
        </w:numPr>
        <w:spacing w:before="100" w:beforeAutospacing="1" w:after="100" w:afterAutospacing="1"/>
        <w:rPr>
          <w:rFonts w:ascii="Times New Roman" w:eastAsia="Times New Roman" w:hAnsi="Times New Roman" w:cs="Times New Roman"/>
          <w:lang w:eastAsia="en-GB"/>
        </w:rPr>
      </w:pPr>
      <w:r w:rsidRPr="000E0A6E">
        <w:rPr>
          <w:rFonts w:ascii="Times New Roman" w:eastAsia="Times New Roman" w:hAnsi="Times New Roman" w:cs="Times New Roman"/>
          <w:lang w:eastAsia="en-GB"/>
        </w:rPr>
        <w:t xml:space="preserve">Rojdi site chronology (Possehl 2004). </w:t>
      </w:r>
    </w:p>
    <w:p w14:paraId="2701FCBC" w14:textId="77777777" w:rsidR="00080D70" w:rsidRDefault="00080D70"/>
    <w:sectPr w:rsidR="00080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AAD"/>
    <w:multiLevelType w:val="multilevel"/>
    <w:tmpl w:val="A0E8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4778E"/>
    <w:multiLevelType w:val="multilevel"/>
    <w:tmpl w:val="877A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546F3"/>
    <w:multiLevelType w:val="multilevel"/>
    <w:tmpl w:val="334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A284B"/>
    <w:multiLevelType w:val="multilevel"/>
    <w:tmpl w:val="FEE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225324">
    <w:abstractNumId w:val="1"/>
  </w:num>
  <w:num w:numId="2" w16cid:durableId="2138251625">
    <w:abstractNumId w:val="2"/>
  </w:num>
  <w:num w:numId="3" w16cid:durableId="492725623">
    <w:abstractNumId w:val="0"/>
  </w:num>
  <w:num w:numId="4" w16cid:durableId="1181818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6E"/>
    <w:rsid w:val="00080D70"/>
    <w:rsid w:val="000E0A6E"/>
    <w:rsid w:val="001E64BC"/>
    <w:rsid w:val="00455088"/>
    <w:rsid w:val="0072032A"/>
    <w:rsid w:val="00802096"/>
    <w:rsid w:val="00A90B35"/>
    <w:rsid w:val="00CD7D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40BA"/>
  <w15:chartTrackingRefBased/>
  <w15:docId w15:val="{64A237A3-F058-A745-9462-1932DF6C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0A6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E0A6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E0A6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A6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E0A6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E0A6E"/>
    <w:rPr>
      <w:rFonts w:ascii="Times New Roman" w:eastAsia="Times New Roman" w:hAnsi="Times New Roman" w:cs="Times New Roman"/>
      <w:b/>
      <w:bCs/>
      <w:sz w:val="27"/>
      <w:szCs w:val="27"/>
      <w:lang w:eastAsia="en-GB"/>
    </w:rPr>
  </w:style>
  <w:style w:type="paragraph" w:customStyle="1" w:styleId="p1">
    <w:name w:val="p1"/>
    <w:basedOn w:val="Normal"/>
    <w:rsid w:val="000E0A6E"/>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0E0A6E"/>
  </w:style>
  <w:style w:type="paragraph" w:customStyle="1" w:styleId="p2">
    <w:name w:val="p2"/>
    <w:basedOn w:val="Normal"/>
    <w:rsid w:val="000E0A6E"/>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0E0A6E"/>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0E0A6E"/>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0E0A6E"/>
  </w:style>
  <w:style w:type="character" w:styleId="Hyperlink">
    <w:name w:val="Hyperlink"/>
    <w:basedOn w:val="DefaultParagraphFont"/>
    <w:uiPriority w:val="99"/>
    <w:unhideWhenUsed/>
    <w:rsid w:val="00455088"/>
    <w:rPr>
      <w:color w:val="0563C1" w:themeColor="hyperlink"/>
      <w:u w:val="single"/>
    </w:rPr>
  </w:style>
  <w:style w:type="character" w:styleId="UnresolvedMention">
    <w:name w:val="Unresolved Mention"/>
    <w:basedOn w:val="DefaultParagraphFont"/>
    <w:uiPriority w:val="99"/>
    <w:semiHidden/>
    <w:unhideWhenUsed/>
    <w:rsid w:val="00CD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7605/OSF.IO/25A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5" Type="http://schemas.openxmlformats.org/officeDocument/2006/relationships/hyperlink" Target="https://doi.org/10.6084/m9.figshare.310616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1193</Words>
  <Characters>8258</Characters>
  <Application>Microsoft Office Word</Application>
  <DocSecurity>0</DocSecurity>
  <Lines>223</Lines>
  <Paragraphs>71</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vondoom</cp:lastModifiedBy>
  <cp:revision>3</cp:revision>
  <dcterms:created xsi:type="dcterms:W3CDTF">2026-01-05T12:59:00Z</dcterms:created>
  <dcterms:modified xsi:type="dcterms:W3CDTF">2026-05-16T12:54:00Z</dcterms:modified>
</cp:coreProperties>
</file>