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6D78B" w14:textId="4CF371DB" w:rsidR="00305547" w:rsidRPr="009D323B" w:rsidRDefault="00000000" w:rsidP="00305547">
      <w:pPr>
        <w:spacing w:before="160" w:after="80" w:line="320" w:lineRule="auto"/>
        <w:jc w:val="center"/>
        <w:rPr>
          <w:b/>
          <w:bCs/>
          <w:sz w:val="36"/>
          <w:szCs w:val="36"/>
        </w:rPr>
      </w:pPr>
      <w:r w:rsidRPr="009D323B">
        <w:rPr>
          <w:b/>
          <w:bCs/>
          <w:sz w:val="36"/>
          <w:szCs w:val="36"/>
        </w:rPr>
        <w:t>The Rehearsed Deity</w:t>
      </w:r>
    </w:p>
    <w:p w14:paraId="2C715CE5" w14:textId="5FC6F139" w:rsidR="00C108C5" w:rsidRPr="009D323B" w:rsidRDefault="00000000" w:rsidP="00305547">
      <w:pPr>
        <w:spacing w:before="160" w:after="80" w:line="320" w:lineRule="auto"/>
        <w:jc w:val="center"/>
        <w:rPr>
          <w:b/>
          <w:bCs/>
          <w:sz w:val="24"/>
          <w:szCs w:val="24"/>
        </w:rPr>
      </w:pPr>
      <w:r w:rsidRPr="009D323B">
        <w:rPr>
          <w:b/>
          <w:bCs/>
          <w:sz w:val="24"/>
          <w:szCs w:val="24"/>
        </w:rPr>
        <w:t>Pashupati, the Iconic Turn, and the Deep-Time Roots of Proto-Shiva Symbolism Across the Dravidian World</w:t>
      </w:r>
    </w:p>
    <w:p w14:paraId="188B725F" w14:textId="77777777" w:rsidR="00305547" w:rsidRPr="009D323B" w:rsidRDefault="00305547" w:rsidP="00305547">
      <w:pPr>
        <w:spacing w:before="160" w:after="80" w:line="320" w:lineRule="auto"/>
        <w:jc w:val="center"/>
        <w:rPr>
          <w:b/>
          <w:bCs/>
          <w:sz w:val="26"/>
          <w:szCs w:val="26"/>
        </w:rPr>
      </w:pPr>
    </w:p>
    <w:p w14:paraId="6DBDD737" w14:textId="77777777" w:rsidR="00305547" w:rsidRPr="009D323B" w:rsidRDefault="00305547" w:rsidP="009D323B">
      <w:pPr>
        <w:spacing w:before="160" w:after="80" w:line="320" w:lineRule="auto"/>
        <w:rPr>
          <w:b/>
          <w:bCs/>
          <w:sz w:val="26"/>
          <w:szCs w:val="26"/>
        </w:rPr>
      </w:pPr>
    </w:p>
    <w:p w14:paraId="545DAB18" w14:textId="77777777" w:rsidR="00305547" w:rsidRPr="009D323B" w:rsidRDefault="00305547" w:rsidP="00305547">
      <w:pPr>
        <w:spacing w:before="160" w:after="80" w:line="320" w:lineRule="auto"/>
        <w:jc w:val="center"/>
        <w:rPr>
          <w:b/>
          <w:bCs/>
          <w:sz w:val="26"/>
          <w:szCs w:val="26"/>
        </w:rPr>
      </w:pPr>
    </w:p>
    <w:p w14:paraId="5E2D65F3" w14:textId="77777777" w:rsidR="00305547" w:rsidRPr="009D323B" w:rsidRDefault="00305547" w:rsidP="00305547">
      <w:pPr>
        <w:spacing w:before="160" w:after="80" w:line="320" w:lineRule="auto"/>
        <w:jc w:val="center"/>
        <w:rPr>
          <w:b/>
          <w:bCs/>
          <w:sz w:val="26"/>
          <w:szCs w:val="26"/>
        </w:rPr>
      </w:pPr>
    </w:p>
    <w:p w14:paraId="21437806" w14:textId="2BFB25C9" w:rsidR="00305547" w:rsidRDefault="009D323B" w:rsidP="00305547">
      <w:pPr>
        <w:spacing w:before="160" w:after="80" w:line="320" w:lineRule="auto"/>
        <w:jc w:val="center"/>
        <w:rPr>
          <w:b/>
          <w:bCs/>
          <w:sz w:val="26"/>
          <w:szCs w:val="26"/>
        </w:rPr>
      </w:pPr>
      <w:r>
        <w:rPr>
          <w:b/>
          <w:bCs/>
          <w:sz w:val="26"/>
          <w:szCs w:val="26"/>
        </w:rPr>
        <w:t xml:space="preserve">2026 </w:t>
      </w:r>
      <w:proofErr w:type="spellStart"/>
      <w:r>
        <w:rPr>
          <w:b/>
          <w:bCs/>
          <w:sz w:val="26"/>
          <w:szCs w:val="26"/>
        </w:rPr>
        <w:t>FIgshare</w:t>
      </w:r>
      <w:proofErr w:type="spellEnd"/>
    </w:p>
    <w:p w14:paraId="63365EF7" w14:textId="0B1E0967" w:rsidR="009D323B" w:rsidRPr="009D323B" w:rsidRDefault="009D323B" w:rsidP="00305547">
      <w:pPr>
        <w:spacing w:before="160" w:after="80" w:line="320" w:lineRule="auto"/>
        <w:jc w:val="center"/>
        <w:rPr>
          <w:b/>
          <w:bCs/>
          <w:sz w:val="26"/>
          <w:szCs w:val="26"/>
        </w:rPr>
      </w:pPr>
      <w:hyperlink r:id="rId7" w:history="1">
        <w:r w:rsidRPr="00E2502D">
          <w:rPr>
            <w:rStyle w:val="Hyperlink"/>
            <w:b/>
            <w:bCs/>
            <w:sz w:val="26"/>
            <w:szCs w:val="26"/>
          </w:rPr>
          <w:t>https://doi.org/10.6084/m9.figshare.32390781</w:t>
        </w:r>
      </w:hyperlink>
      <w:r>
        <w:rPr>
          <w:b/>
          <w:bCs/>
          <w:sz w:val="26"/>
          <w:szCs w:val="26"/>
        </w:rPr>
        <w:t xml:space="preserve"> </w:t>
      </w:r>
    </w:p>
    <w:p w14:paraId="6A6EDF6A" w14:textId="77777777" w:rsidR="00305547" w:rsidRPr="009D323B" w:rsidRDefault="00305547" w:rsidP="00305547">
      <w:pPr>
        <w:spacing w:before="160" w:after="80" w:line="320" w:lineRule="auto"/>
        <w:jc w:val="center"/>
        <w:rPr>
          <w:b/>
          <w:bCs/>
          <w:sz w:val="26"/>
          <w:szCs w:val="26"/>
        </w:rPr>
      </w:pPr>
    </w:p>
    <w:p w14:paraId="09A33726" w14:textId="77777777" w:rsidR="00305547" w:rsidRPr="009D323B" w:rsidRDefault="00305547" w:rsidP="00305547">
      <w:pPr>
        <w:spacing w:before="160" w:after="80" w:line="320" w:lineRule="auto"/>
        <w:jc w:val="center"/>
        <w:rPr>
          <w:b/>
          <w:bCs/>
          <w:sz w:val="26"/>
          <w:szCs w:val="26"/>
        </w:rPr>
      </w:pPr>
    </w:p>
    <w:p w14:paraId="450421A6" w14:textId="77777777" w:rsidR="00305547" w:rsidRPr="009D323B" w:rsidRDefault="00305547" w:rsidP="00305547">
      <w:pPr>
        <w:spacing w:before="160" w:after="80" w:line="320" w:lineRule="auto"/>
        <w:jc w:val="center"/>
        <w:rPr>
          <w:b/>
          <w:bCs/>
          <w:sz w:val="26"/>
          <w:szCs w:val="26"/>
        </w:rPr>
      </w:pPr>
    </w:p>
    <w:p w14:paraId="6BF843E1" w14:textId="77777777" w:rsidR="00305547" w:rsidRPr="009D323B" w:rsidRDefault="00305547" w:rsidP="00305547">
      <w:pPr>
        <w:spacing w:before="160" w:after="80" w:line="320" w:lineRule="auto"/>
        <w:jc w:val="center"/>
        <w:rPr>
          <w:b/>
          <w:bCs/>
          <w:sz w:val="26"/>
          <w:szCs w:val="26"/>
        </w:rPr>
      </w:pPr>
    </w:p>
    <w:p w14:paraId="755B34DE" w14:textId="77777777" w:rsidR="00305547" w:rsidRPr="009D323B" w:rsidRDefault="00305547" w:rsidP="00305547">
      <w:pPr>
        <w:spacing w:before="160" w:after="80" w:line="320" w:lineRule="auto"/>
        <w:jc w:val="center"/>
        <w:rPr>
          <w:b/>
          <w:bCs/>
          <w:sz w:val="26"/>
          <w:szCs w:val="26"/>
        </w:rPr>
      </w:pPr>
    </w:p>
    <w:p w14:paraId="1EFFE5C6" w14:textId="77777777" w:rsidR="00305547" w:rsidRPr="009D323B" w:rsidRDefault="00305547" w:rsidP="00305547">
      <w:pPr>
        <w:spacing w:before="160" w:after="80" w:line="320" w:lineRule="auto"/>
        <w:jc w:val="center"/>
        <w:rPr>
          <w:b/>
          <w:bCs/>
          <w:sz w:val="26"/>
          <w:szCs w:val="26"/>
        </w:rPr>
      </w:pPr>
    </w:p>
    <w:p w14:paraId="65D82670" w14:textId="77777777" w:rsidR="00305547" w:rsidRPr="009D323B" w:rsidRDefault="00305547" w:rsidP="00305547">
      <w:pPr>
        <w:spacing w:before="160" w:after="80" w:line="320" w:lineRule="auto"/>
        <w:jc w:val="center"/>
        <w:rPr>
          <w:b/>
          <w:bCs/>
          <w:sz w:val="26"/>
          <w:szCs w:val="26"/>
        </w:rPr>
      </w:pPr>
    </w:p>
    <w:p w14:paraId="414A0A7B" w14:textId="77777777" w:rsidR="00305547" w:rsidRPr="009D323B" w:rsidRDefault="00305547" w:rsidP="00305547">
      <w:pPr>
        <w:spacing w:before="160" w:after="80" w:line="320" w:lineRule="auto"/>
        <w:jc w:val="center"/>
        <w:rPr>
          <w:b/>
          <w:bCs/>
          <w:sz w:val="26"/>
          <w:szCs w:val="26"/>
        </w:rPr>
      </w:pPr>
    </w:p>
    <w:p w14:paraId="7BC912D3" w14:textId="77777777" w:rsidR="00305547" w:rsidRPr="009D323B" w:rsidRDefault="00305547" w:rsidP="00305547">
      <w:pPr>
        <w:spacing w:before="160" w:after="80" w:line="320" w:lineRule="auto"/>
        <w:jc w:val="center"/>
        <w:rPr>
          <w:b/>
          <w:bCs/>
          <w:sz w:val="26"/>
          <w:szCs w:val="26"/>
        </w:rPr>
      </w:pPr>
    </w:p>
    <w:p w14:paraId="29371FCC" w14:textId="77777777" w:rsidR="00305547" w:rsidRPr="009D323B" w:rsidRDefault="00305547" w:rsidP="00305547">
      <w:pPr>
        <w:spacing w:before="160" w:after="80" w:line="320" w:lineRule="auto"/>
        <w:jc w:val="center"/>
      </w:pPr>
    </w:p>
    <w:p w14:paraId="140578FD" w14:textId="77777777" w:rsidR="00C108C5" w:rsidRPr="009D323B" w:rsidRDefault="00000000">
      <w:pPr>
        <w:spacing w:before="80" w:after="80" w:line="320" w:lineRule="auto"/>
        <w:jc w:val="center"/>
      </w:pPr>
      <w:r w:rsidRPr="009D323B">
        <w:rPr>
          <w:b/>
          <w:bCs/>
        </w:rPr>
        <w:t>Anthony Vondoom</w:t>
      </w:r>
    </w:p>
    <w:p w14:paraId="30FF3370" w14:textId="77777777" w:rsidR="00C108C5" w:rsidRPr="009D323B" w:rsidRDefault="00000000">
      <w:pPr>
        <w:spacing w:before="80" w:after="80" w:line="320" w:lineRule="auto"/>
        <w:jc w:val="center"/>
      </w:pPr>
      <w:r w:rsidRPr="009D323B">
        <w:rPr>
          <w:sz w:val="20"/>
          <w:szCs w:val="20"/>
        </w:rPr>
        <w:t>Independent Researcher | ORCID: 0009-0003-4953-1427 | anthony.vondoom@outlook.com</w:t>
      </w:r>
    </w:p>
    <w:p w14:paraId="49652C00" w14:textId="0318626E" w:rsidR="00C108C5" w:rsidRPr="009D323B" w:rsidRDefault="00000000">
      <w:pPr>
        <w:spacing w:before="80" w:after="160" w:line="320" w:lineRule="auto"/>
        <w:jc w:val="center"/>
      </w:pPr>
      <w:r w:rsidRPr="009D323B">
        <w:rPr>
          <w:i/>
          <w:iCs/>
          <w:sz w:val="20"/>
          <w:szCs w:val="20"/>
        </w:rPr>
        <w:t>Deep Symbolic Systems Model (DSSM)</w:t>
      </w:r>
      <w:r w:rsidR="009D323B">
        <w:rPr>
          <w:i/>
          <w:iCs/>
          <w:sz w:val="20"/>
          <w:szCs w:val="20"/>
        </w:rPr>
        <w:t xml:space="preserve"> </w:t>
      </w:r>
      <w:r w:rsidRPr="009D323B">
        <w:rPr>
          <w:i/>
          <w:iCs/>
          <w:sz w:val="20"/>
          <w:szCs w:val="20"/>
        </w:rPr>
        <w:t>| 2026 | CC BY 4.0</w:t>
      </w:r>
    </w:p>
    <w:p w14:paraId="4955CD72" w14:textId="77777777" w:rsidR="00C108C5" w:rsidRPr="009D323B" w:rsidRDefault="00000000">
      <w:pPr>
        <w:pBdr>
          <w:top w:val="single" w:sz="2" w:space="0" w:color="CCCCCC"/>
          <w:bottom w:val="single" w:sz="2" w:space="0" w:color="CCCCCC"/>
        </w:pBdr>
        <w:spacing w:before="80" w:after="200"/>
      </w:pPr>
      <w:r w:rsidRPr="009D323B">
        <w:rPr>
          <w:i/>
          <w:iCs/>
          <w:sz w:val="18"/>
          <w:szCs w:val="18"/>
        </w:rPr>
        <w:t>AI Disclosure: The author used Claude (Anthropic) to assist with drafting, editing, and improving clarity of certain sections. The author takes full intellectual responsibility for all theoretical claims, frameworks, and conclusions presented herein.</w:t>
      </w:r>
    </w:p>
    <w:p w14:paraId="7BB77942" w14:textId="77777777" w:rsidR="00C108C5" w:rsidRPr="009D323B" w:rsidRDefault="00000000">
      <w:pPr>
        <w:pStyle w:val="Heading1"/>
        <w:rPr>
          <w:color w:val="auto"/>
        </w:rPr>
      </w:pPr>
      <w:r w:rsidRPr="009D323B">
        <w:rPr>
          <w:color w:val="auto"/>
        </w:rPr>
        <w:lastRenderedPageBreak/>
        <w:t>Abstract</w:t>
      </w:r>
    </w:p>
    <w:p w14:paraId="48B3D9EE" w14:textId="77777777" w:rsidR="00C108C5" w:rsidRPr="009D323B" w:rsidRDefault="00000000">
      <w:pPr>
        <w:spacing w:before="80" w:after="80" w:line="320" w:lineRule="auto"/>
        <w:jc w:val="both"/>
      </w:pPr>
      <w:r w:rsidRPr="009D323B">
        <w:t xml:space="preserve">This paper advances a structured hypothesis: that the Pashupati seal of the Indus Valley </w:t>
      </w:r>
      <w:proofErr w:type="spellStart"/>
      <w:r w:rsidRPr="009D323B">
        <w:t>Civilisation</w:t>
      </w:r>
      <w:proofErr w:type="spellEnd"/>
      <w:r w:rsidRPr="009D323B">
        <w:t xml:space="preserve"> (c. 2350–2000 BCE) depicts not a proto-Shiva figure in the narrow iconographic sense contested by modern scholars, but a </w:t>
      </w:r>
      <w:proofErr w:type="spellStart"/>
      <w:r w:rsidRPr="009D323B">
        <w:t>stabilised</w:t>
      </w:r>
      <w:proofErr w:type="spellEnd"/>
      <w:r w:rsidRPr="009D323B">
        <w:t xml:space="preserve"> symbolic archetype — a seated, yogic, animal-lord figure — whose roots extend into the deep Dravidian symbolic world and whose later recognition by the Shaivite tradition constitutes an instance of the Rehearsed Sacred mechanism documented in Vondoom (2026d). The argument proceeds across four interlocking claims. First, the dominant scholarly objection to the proto-Shiva identification — that the seal cannot be interpreted without deciphering the Indus script (Kenoyer, 1998) — is </w:t>
      </w:r>
      <w:proofErr w:type="spellStart"/>
      <w:r w:rsidRPr="009D323B">
        <w:t>neutralised</w:t>
      </w:r>
      <w:proofErr w:type="spellEnd"/>
      <w:r w:rsidRPr="009D323B">
        <w:t xml:space="preserve"> by the DSSM framework's prior demonstration that IVC seals function as icons, not script: distributed symbolic primitives encoding recognition and equivalence without phonetic content (Vondoom, 2026b). Iconographic analysis requires no decipherment. Second, the counter-objection that the features associated with Shiva do not appear in his iconography until the Puranas (Chaudhuri, 1951) is reframed as confirmation rather than refutation: under the Rehearsed Sacred model, the Puranas represent the late textual </w:t>
      </w:r>
      <w:proofErr w:type="spellStart"/>
      <w:r w:rsidRPr="009D323B">
        <w:t>formalisation</w:t>
      </w:r>
      <w:proofErr w:type="spellEnd"/>
      <w:r w:rsidRPr="009D323B">
        <w:t xml:space="preserve"> of a deity archetype that had been continuously rehearsed for millennia before it was written down. Third, the Gulf of Khambhat Cultural Complex (GKCC) paper (Vondoom, 2026e) establishes that a displaced coastal population carrying accumulated Stage 2–3 symbolic infrastructure contributed to IVC's anomalous emergence — providing the population substrate within which this archetype would have </w:t>
      </w:r>
      <w:proofErr w:type="spellStart"/>
      <w:r w:rsidRPr="009D323B">
        <w:t>stabilised</w:t>
      </w:r>
      <w:proofErr w:type="spellEnd"/>
      <w:r w:rsidRPr="009D323B">
        <w:t xml:space="preserve">. Fourth, the convergence of post-Toba demographic compression, </w:t>
      </w:r>
      <w:proofErr w:type="spellStart"/>
      <w:r w:rsidRPr="009D323B">
        <w:t>Sundaland</w:t>
      </w:r>
      <w:proofErr w:type="spellEnd"/>
      <w:r w:rsidRPr="009D323B">
        <w:t xml:space="preserve"> submersion, </w:t>
      </w:r>
      <w:proofErr w:type="spellStart"/>
      <w:r w:rsidRPr="009D323B">
        <w:t>Balangoda</w:t>
      </w:r>
      <w:proofErr w:type="spellEnd"/>
      <w:r w:rsidRPr="009D323B">
        <w:t xml:space="preserve"> Man's documented South Asian presence from 48,000 BCE, and the Indian Ocean symbolic exchange network is evaluated as a deep-time scaffold for the tradition. The paper does not claim to prove proto-Shiva worship in the IVC. It claims that the evidence is structurally consistent with a </w:t>
      </w:r>
      <w:proofErr w:type="spellStart"/>
      <w:r w:rsidRPr="009D323B">
        <w:t>stabilised</w:t>
      </w:r>
      <w:proofErr w:type="spellEnd"/>
      <w:r w:rsidRPr="009D323B">
        <w:t xml:space="preserve"> deity archetype of significant temporal depth that the Shaivite tradition later </w:t>
      </w:r>
      <w:proofErr w:type="spellStart"/>
      <w:r w:rsidRPr="009D323B">
        <w:t>recognised</w:t>
      </w:r>
      <w:proofErr w:type="spellEnd"/>
      <w:r w:rsidRPr="009D323B">
        <w:t xml:space="preserve">, absorbed, and </w:t>
      </w:r>
      <w:proofErr w:type="spellStart"/>
      <w:r w:rsidRPr="009D323B">
        <w:t>formalised</w:t>
      </w:r>
      <w:proofErr w:type="spellEnd"/>
      <w:r w:rsidRPr="009D323B">
        <w:t xml:space="preserve"> — and that this is the more productive framing for both DSSM analysis and future archaeological investigation.</w:t>
      </w:r>
    </w:p>
    <w:p w14:paraId="36BC4A2A" w14:textId="77777777" w:rsidR="00C108C5" w:rsidRPr="009D323B" w:rsidRDefault="00000000">
      <w:pPr>
        <w:spacing w:before="80" w:after="80" w:line="320" w:lineRule="auto"/>
        <w:jc w:val="both"/>
      </w:pPr>
      <w:r w:rsidRPr="009D323B">
        <w:rPr>
          <w:i/>
          <w:iCs/>
        </w:rPr>
        <w:t xml:space="preserve">Keywords: Pashupati seal, proto-Shiva, DSSM, Rehearsed Sacred, IVC icons, Dravidian, Gulf of Khambhat, Toba, </w:t>
      </w:r>
      <w:proofErr w:type="spellStart"/>
      <w:r w:rsidRPr="009D323B">
        <w:rPr>
          <w:i/>
          <w:iCs/>
        </w:rPr>
        <w:t>Sundaland</w:t>
      </w:r>
      <w:proofErr w:type="spellEnd"/>
      <w:r w:rsidRPr="009D323B">
        <w:rPr>
          <w:i/>
          <w:iCs/>
        </w:rPr>
        <w:t>, symbolic archetype, Shaivism, deep-time religion</w:t>
      </w:r>
    </w:p>
    <w:p w14:paraId="634E2363" w14:textId="77777777" w:rsidR="00305547" w:rsidRPr="009D323B" w:rsidRDefault="00305547">
      <w:pPr>
        <w:pStyle w:val="Heading1"/>
        <w:rPr>
          <w:color w:val="auto"/>
        </w:rPr>
      </w:pPr>
    </w:p>
    <w:p w14:paraId="5F468808" w14:textId="77777777" w:rsidR="00CC5284" w:rsidRPr="009D323B" w:rsidRDefault="00CC5284" w:rsidP="00CC5284">
      <w:pPr>
        <w:pStyle w:val="font-claude-response-body"/>
      </w:pPr>
      <w:r w:rsidRPr="009D323B">
        <w:rPr>
          <w:rStyle w:val="Strong"/>
        </w:rPr>
        <w:t>Acknowledgements</w:t>
      </w:r>
    </w:p>
    <w:p w14:paraId="5D2F4832" w14:textId="6D95B32E" w:rsidR="00305547" w:rsidRPr="009D323B" w:rsidRDefault="00CC5284" w:rsidP="00CC5284">
      <w:pPr>
        <w:pStyle w:val="font-claude-response-body"/>
      </w:pPr>
      <w:r w:rsidRPr="009D323B">
        <w:t xml:space="preserve">The author wishes to thank </w:t>
      </w:r>
      <w:proofErr w:type="spellStart"/>
      <w:r w:rsidRPr="009D323B">
        <w:t>Mr</w:t>
      </w:r>
      <w:proofErr w:type="spellEnd"/>
      <w:r w:rsidRPr="009D323B">
        <w:t xml:space="preserve"> Lijesh Kunath for his generosity in sharing videos, photographs</w:t>
      </w:r>
      <w:r w:rsidR="00F2706B" w:rsidRPr="009D323B">
        <w:t xml:space="preserve"> of the shiva temple in Kenya</w:t>
      </w:r>
      <w:r w:rsidRPr="009D323B">
        <w:t xml:space="preserve"> and — most importantly — his original intellectual work on the Tamil Nadu </w:t>
      </w:r>
      <w:r w:rsidR="00F2706B" w:rsidRPr="009D323B">
        <w:t>civilization and Lord Shiva.</w:t>
      </w:r>
      <w:r w:rsidRPr="009D323B">
        <w:t xml:space="preserve"> His research and observations provided the initial direction for this paper and contributed meaningfully to the lines of inquiry developed here. The author takes full responsibility for all theoretical claims, interpretations, and conclusions.</w:t>
      </w:r>
    </w:p>
    <w:p w14:paraId="70760AC4" w14:textId="10EFDE49" w:rsidR="00C108C5" w:rsidRPr="009D323B" w:rsidRDefault="00000000">
      <w:pPr>
        <w:pStyle w:val="Heading1"/>
        <w:rPr>
          <w:color w:val="auto"/>
        </w:rPr>
      </w:pPr>
      <w:r w:rsidRPr="009D323B">
        <w:rPr>
          <w:color w:val="auto"/>
        </w:rPr>
        <w:lastRenderedPageBreak/>
        <w:t>1. Introduction: The Wrong Question</w:t>
      </w:r>
    </w:p>
    <w:p w14:paraId="7B87F56A" w14:textId="77777777" w:rsidR="00C108C5" w:rsidRPr="009D323B" w:rsidRDefault="00000000">
      <w:pPr>
        <w:spacing w:before="80" w:after="80" w:line="320" w:lineRule="auto"/>
        <w:jc w:val="both"/>
      </w:pPr>
      <w:r w:rsidRPr="009D323B">
        <w:t xml:space="preserve">The Pashupati seal — Seal No. 420, recovered from Mohenjo-daro in 1928–29 at a depth of 3.9 </w:t>
      </w:r>
      <w:proofErr w:type="spellStart"/>
      <w:r w:rsidRPr="009D323B">
        <w:t>metres</w:t>
      </w:r>
      <w:proofErr w:type="spellEnd"/>
      <w:r w:rsidRPr="009D323B">
        <w:t xml:space="preserve"> — has generated more scholarly controversy per square </w:t>
      </w:r>
      <w:proofErr w:type="spellStart"/>
      <w:r w:rsidRPr="009D323B">
        <w:t>centimetre</w:t>
      </w:r>
      <w:proofErr w:type="spellEnd"/>
      <w:r w:rsidRPr="009D323B">
        <w:t xml:space="preserve"> than almost any artifact in South Asian archaeology. A steatite seal measuring 3.56 by 3.53 </w:t>
      </w:r>
      <w:proofErr w:type="spellStart"/>
      <w:r w:rsidRPr="009D323B">
        <w:t>centimetres</w:t>
      </w:r>
      <w:proofErr w:type="spellEnd"/>
      <w:r w:rsidRPr="009D323B">
        <w:t>, it depicts a central figure seated in what appears to be a yogic posture on a raised platform, surrounded by four animals — elephant, tiger, buffalo, and rhinoceros — with two deer or antelope below the platform. The figure wears what may be a horned headdress. Inscriptions run along the top edge in the undeciphered Indus script.</w:t>
      </w:r>
    </w:p>
    <w:p w14:paraId="29DED939" w14:textId="77777777" w:rsidR="00C108C5" w:rsidRPr="009D323B" w:rsidRDefault="00000000">
      <w:pPr>
        <w:spacing w:before="80" w:after="80" w:line="320" w:lineRule="auto"/>
        <w:jc w:val="both"/>
      </w:pPr>
      <w:r w:rsidRPr="009D323B">
        <w:t>John Marshall, in his 1931 report, identified the figure as Pashupati — Lord of Animals — an epithet of the Hindu deity Shiva, and proposed it as evidence of proto-Shiva worship in the IVC (Marshall, 1931). This identification remained influential for decades. In 1951, N. Chaudhuri mounted a significant critique: the features Marshall isolates — the trident-like headdress, the yogic posture, the animal lordship — are not associated with Shiva in the iconographic record until the Puranas, which are medieval texts. The identification is therefore anachronistic. In more recent scholarship, Jonathan Mark Kenoyer has argued that the figure cannot be linked to later Shiva iconography without first deciphering the Indus script, since the same visual forms may have carried entirely different meanings (Kenoyer, 1998).</w:t>
      </w:r>
    </w:p>
    <w:p w14:paraId="654020F8" w14:textId="77777777" w:rsidR="00C108C5" w:rsidRPr="009D323B" w:rsidRDefault="00000000">
      <w:pPr>
        <w:spacing w:before="80" w:after="80" w:line="320" w:lineRule="auto"/>
        <w:jc w:val="both"/>
      </w:pPr>
      <w:r w:rsidRPr="009D323B">
        <w:t>These objections have been treated as decisive by much of the field. This paper argues that both rest on a shared assumption that DSSM analysis of the IVC corpus directly challenges — and that once that assumption is removed, the debate is reframed in a way that is more productive for both archaeology and religious history.</w:t>
      </w:r>
    </w:p>
    <w:p w14:paraId="683DABF3" w14:textId="77777777" w:rsidR="00C108C5" w:rsidRPr="009D323B" w:rsidRDefault="00000000">
      <w:pPr>
        <w:spacing w:before="80" w:after="80" w:line="320" w:lineRule="auto"/>
        <w:jc w:val="both"/>
      </w:pPr>
      <w:r w:rsidRPr="009D323B">
        <w:t xml:space="preserve">The assumption is this: that the Indus script needs to be deciphered before the seal's iconographic content can be interpreted. The DSSM framework, applied to the IVC seal corpus in Vondoom (2026b), demonstrates that the seals function as icons — distributed symbolic primitives — not as phonetic or logographic text. If that is correct, decipherment is irrelevant to iconographic analysis. The seal can be read visually, on its own terms, as a </w:t>
      </w:r>
      <w:proofErr w:type="spellStart"/>
      <w:r w:rsidRPr="009D323B">
        <w:t>stabilised</w:t>
      </w:r>
      <w:proofErr w:type="spellEnd"/>
      <w:r w:rsidRPr="009D323B">
        <w:t xml:space="preserve"> symbolic form. And on those terms, the question is not whether the figure is Shiva. The question is what archetype the figure encodes — and what tradition later </w:t>
      </w:r>
      <w:proofErr w:type="spellStart"/>
      <w:r w:rsidRPr="009D323B">
        <w:t>recognised</w:t>
      </w:r>
      <w:proofErr w:type="spellEnd"/>
      <w:r w:rsidRPr="009D323B">
        <w:t xml:space="preserve"> and absorbed it.</w:t>
      </w:r>
    </w:p>
    <w:p w14:paraId="20FA6BA9" w14:textId="6A4F9189" w:rsidR="00C108C5" w:rsidRPr="009D323B" w:rsidRDefault="00000000">
      <w:pPr>
        <w:pStyle w:val="Heading1"/>
        <w:rPr>
          <w:color w:val="auto"/>
        </w:rPr>
      </w:pPr>
      <w:r w:rsidRPr="009D323B">
        <w:rPr>
          <w:color w:val="auto"/>
        </w:rPr>
        <w:t xml:space="preserve">2. Icons, Not Script: </w:t>
      </w:r>
      <w:proofErr w:type="spellStart"/>
      <w:r w:rsidRPr="009D323B">
        <w:rPr>
          <w:color w:val="auto"/>
        </w:rPr>
        <w:t>Neutralising</w:t>
      </w:r>
      <w:proofErr w:type="spellEnd"/>
      <w:r w:rsidRPr="009D323B">
        <w:rPr>
          <w:color w:val="auto"/>
        </w:rPr>
        <w:t xml:space="preserve"> the Decipherment Objection</w:t>
      </w:r>
    </w:p>
    <w:p w14:paraId="4200F8D4" w14:textId="77777777" w:rsidR="00C108C5" w:rsidRPr="009D323B" w:rsidRDefault="00000000">
      <w:pPr>
        <w:pStyle w:val="Heading2"/>
        <w:rPr>
          <w:color w:val="auto"/>
        </w:rPr>
      </w:pPr>
      <w:r w:rsidRPr="009D323B">
        <w:rPr>
          <w:color w:val="auto"/>
        </w:rPr>
        <w:t>2.1 The IVC Seal Corpus as Distributed Iconic System</w:t>
      </w:r>
    </w:p>
    <w:p w14:paraId="3A56ACF7" w14:textId="77777777" w:rsidR="00C108C5" w:rsidRPr="009D323B" w:rsidRDefault="00000000">
      <w:pPr>
        <w:spacing w:before="80" w:after="80" w:line="320" w:lineRule="auto"/>
        <w:jc w:val="both"/>
      </w:pPr>
      <w:r w:rsidRPr="009D323B">
        <w:t xml:space="preserve">DSSM analysis of the IVC seal corpus (Vondoom, 2025a; Vondoom, 2026b) establishes the following structural properties. Across more than 600 sites spanning the full geographic range of the IVC, seals display: </w:t>
      </w:r>
      <w:proofErr w:type="spellStart"/>
      <w:r w:rsidRPr="009D323B">
        <w:t>standardised</w:t>
      </w:r>
      <w:proofErr w:type="spellEnd"/>
      <w:r w:rsidRPr="009D323B">
        <w:t xml:space="preserve"> brick ratios consistent to within measurement error across thousands of </w:t>
      </w:r>
      <w:proofErr w:type="spellStart"/>
      <w:r w:rsidRPr="009D323B">
        <w:t>kilometres</w:t>
      </w:r>
      <w:proofErr w:type="spellEnd"/>
      <w:r w:rsidRPr="009D323B">
        <w:t xml:space="preserve">; weight systems with variance under one percent; seal sign sets constrained to four to five signs with low combinatorial entropy; and cross-media redundancy across seal, pottery, and tablet contexts (Possehl, 2002; Wright, 2010). These properties are </w:t>
      </w:r>
      <w:r w:rsidRPr="009D323B">
        <w:lastRenderedPageBreak/>
        <w:t>inconsistent with a phonetic writing system under development. They are entirely consistent with a distributed iconic system encoding recognition, equivalence, and institutional identity without phonetic content.</w:t>
      </w:r>
    </w:p>
    <w:p w14:paraId="2A36524E" w14:textId="77777777" w:rsidR="00C108C5" w:rsidRPr="009D323B" w:rsidRDefault="00000000">
      <w:pPr>
        <w:spacing w:before="80" w:after="80" w:line="320" w:lineRule="auto"/>
        <w:jc w:val="both"/>
      </w:pPr>
      <w:r w:rsidRPr="009D323B">
        <w:t xml:space="preserve">Paper 37 (Vondoom, 2026c) further establishes that writing emerges as a contingent compression strategy when symbolic load exceeds the </w:t>
      </w:r>
      <w:proofErr w:type="spellStart"/>
      <w:r w:rsidRPr="009D323B">
        <w:t>stabilising</w:t>
      </w:r>
      <w:proofErr w:type="spellEnd"/>
      <w:r w:rsidRPr="009D323B">
        <w:t xml:space="preserve"> capacity of existing media — a condition the IVC's distributed trade-based enforcement system never reached. The IVC did not develop phonetic writing not because it lacked the cognitive capacity, but because its existing symbolic infrastructure was sufficient. The seals were not failed writing. They were successful icons.</w:t>
      </w:r>
    </w:p>
    <w:p w14:paraId="01003442" w14:textId="77777777" w:rsidR="00C108C5" w:rsidRPr="009D323B" w:rsidRDefault="00000000">
      <w:pPr>
        <w:pStyle w:val="Heading2"/>
        <w:rPr>
          <w:color w:val="auto"/>
        </w:rPr>
      </w:pPr>
      <w:r w:rsidRPr="009D323B">
        <w:rPr>
          <w:color w:val="auto"/>
        </w:rPr>
        <w:t>2.2 Iconographic Analysis Without Decipherment</w:t>
      </w:r>
    </w:p>
    <w:p w14:paraId="7FE18B1C" w14:textId="77777777" w:rsidR="00C108C5" w:rsidRPr="009D323B" w:rsidRDefault="00000000">
      <w:pPr>
        <w:spacing w:before="80" w:after="80" w:line="320" w:lineRule="auto"/>
        <w:jc w:val="both"/>
      </w:pPr>
      <w:r w:rsidRPr="009D323B">
        <w:t xml:space="preserve">Kenoyer's objection — that the Pashupati figure cannot be linked to later Shiva iconography without deciphering the script — assumes that the seal's meaning is carried by its inscription. Under the DSSM iconic framework, the inscription is one element of a </w:t>
      </w:r>
      <w:proofErr w:type="spellStart"/>
      <w:r w:rsidRPr="009D323B">
        <w:t>standardised</w:t>
      </w:r>
      <w:proofErr w:type="spellEnd"/>
      <w:r w:rsidRPr="009D323B">
        <w:t xml:space="preserve"> symbolic unit whose primary communicative function is visual and structural. The iconographic content — the figure's posture, centrality, animal associations, and formal attributes — is analytically separable from the inscription and readable on its own terms.</w:t>
      </w:r>
    </w:p>
    <w:p w14:paraId="0AA2A7CA" w14:textId="77777777" w:rsidR="00C108C5" w:rsidRPr="009D323B" w:rsidRDefault="00000000">
      <w:pPr>
        <w:spacing w:before="80" w:after="80" w:line="320" w:lineRule="auto"/>
        <w:jc w:val="both"/>
      </w:pPr>
      <w:r w:rsidRPr="009D323B">
        <w:t xml:space="preserve">A seated figure in a posture structurally analogous to padmasana, placed at the </w:t>
      </w:r>
      <w:proofErr w:type="spellStart"/>
      <w:r w:rsidRPr="009D323B">
        <w:t>centre</w:t>
      </w:r>
      <w:proofErr w:type="spellEnd"/>
      <w:r w:rsidRPr="009D323B">
        <w:t xml:space="preserve"> of a bounded symbolic field, surrounded by four distinct animal species, elevated on a platform, and facing forward is a </w:t>
      </w:r>
      <w:proofErr w:type="spellStart"/>
      <w:r w:rsidRPr="009D323B">
        <w:t>stabilised</w:t>
      </w:r>
      <w:proofErr w:type="spellEnd"/>
      <w:r w:rsidRPr="009D323B">
        <w:t xml:space="preserve"> symbolic form. Its meaning is not carried by the inscription above it. Its meaning is encoded in the spatial and relational grammar of the depiction itself — precisely the kind of constraint system DSSM identifies as a symbolic primitive. Decipherment of the inscription would add information about the institutional context of the seal's use. It would not alter the iconographic content of the central figure.</w:t>
      </w:r>
    </w:p>
    <w:p w14:paraId="1D0B9D91" w14:textId="77777777" w:rsidR="00C108C5" w:rsidRPr="009D323B" w:rsidRDefault="00000000">
      <w:pPr>
        <w:spacing w:before="80" w:after="80" w:line="320" w:lineRule="auto"/>
        <w:jc w:val="both"/>
      </w:pPr>
      <w:r w:rsidRPr="009D323B">
        <w:t>The decipherment objection is therefore valid as a constraint on linguistic interpretation of the inscription. It does not apply to iconographic analysis of the figure. These are separate questions that have been conflated.</w:t>
      </w:r>
    </w:p>
    <w:p w14:paraId="61A88B75" w14:textId="77777777" w:rsidR="00C108C5" w:rsidRPr="009D323B" w:rsidRDefault="00000000">
      <w:pPr>
        <w:pStyle w:val="Heading1"/>
        <w:rPr>
          <w:color w:val="auto"/>
        </w:rPr>
      </w:pPr>
      <w:r w:rsidRPr="009D323B">
        <w:rPr>
          <w:color w:val="auto"/>
        </w:rPr>
        <w:t>3. The Rehearsed Sacred: Chaudhuri's Objection as Confirmation</w:t>
      </w:r>
    </w:p>
    <w:p w14:paraId="19FAE1CC" w14:textId="77777777" w:rsidR="00C108C5" w:rsidRPr="009D323B" w:rsidRDefault="00000000">
      <w:pPr>
        <w:pStyle w:val="Heading2"/>
        <w:rPr>
          <w:color w:val="auto"/>
        </w:rPr>
      </w:pPr>
      <w:r w:rsidRPr="009D323B">
        <w:rPr>
          <w:color w:val="auto"/>
        </w:rPr>
        <w:t>3.1 The Objection Stated</w:t>
      </w:r>
    </w:p>
    <w:p w14:paraId="48B4FDDD" w14:textId="77777777" w:rsidR="00C108C5" w:rsidRPr="009D323B" w:rsidRDefault="00000000">
      <w:pPr>
        <w:spacing w:before="80" w:after="80" w:line="320" w:lineRule="auto"/>
        <w:jc w:val="both"/>
      </w:pPr>
      <w:r w:rsidRPr="009D323B">
        <w:t>Chaudhuri's 1951 critique is precise and historically correct: the features that Marshall associates with Shiva — the trident-form headdress, the yogic posture, the lordship over animals — do not appear in consistent association with Shiva in the literary or iconographic record until the Puranas, which are composed between approximately 300 and 1200 CE. The Rigvedic Rudra, often identified as Shiva's Vedic predecessor, is a marginal and ambivalent figure who does not carry these attributes in combination. The systematic compilation of Shiva's iconographic attributes into a coherent tradition is a medieval achievement. Therefore, Chaudhuri argues, projecting those attributes backward onto a 2350 BCE seal is anachronistic.</w:t>
      </w:r>
    </w:p>
    <w:p w14:paraId="627BEE4F" w14:textId="77777777" w:rsidR="00C108C5" w:rsidRPr="009D323B" w:rsidRDefault="00000000">
      <w:pPr>
        <w:spacing w:before="80" w:after="80" w:line="320" w:lineRule="auto"/>
        <w:jc w:val="both"/>
      </w:pPr>
      <w:r w:rsidRPr="009D323B">
        <w:lastRenderedPageBreak/>
        <w:t xml:space="preserve">This is a sound philological objection within the framework of text-based religious history. The question is whether text-based religious history is the appropriate framework for </w:t>
      </w:r>
      <w:proofErr w:type="spellStart"/>
      <w:r w:rsidRPr="009D323B">
        <w:t>analysing</w:t>
      </w:r>
      <w:proofErr w:type="spellEnd"/>
      <w:r w:rsidRPr="009D323B">
        <w:t xml:space="preserve"> a symbolic tradition whose material evidence predates its textual </w:t>
      </w:r>
      <w:proofErr w:type="spellStart"/>
      <w:r w:rsidRPr="009D323B">
        <w:t>formalisation</w:t>
      </w:r>
      <w:proofErr w:type="spellEnd"/>
      <w:r w:rsidRPr="009D323B">
        <w:t xml:space="preserve"> by two thousand years.</w:t>
      </w:r>
    </w:p>
    <w:p w14:paraId="47724389" w14:textId="77777777" w:rsidR="00C108C5" w:rsidRPr="009D323B" w:rsidRDefault="00000000">
      <w:pPr>
        <w:pStyle w:val="Heading2"/>
        <w:rPr>
          <w:color w:val="auto"/>
        </w:rPr>
      </w:pPr>
      <w:r w:rsidRPr="009D323B">
        <w:rPr>
          <w:color w:val="auto"/>
        </w:rPr>
        <w:t>3.2 The Rehearsed Sacred Framework</w:t>
      </w:r>
    </w:p>
    <w:p w14:paraId="0595BBC2" w14:textId="77777777" w:rsidR="00C108C5" w:rsidRPr="009D323B" w:rsidRDefault="00000000">
      <w:pPr>
        <w:spacing w:before="80" w:after="80" w:line="320" w:lineRule="auto"/>
        <w:jc w:val="both"/>
      </w:pPr>
      <w:r w:rsidRPr="009D323B">
        <w:t xml:space="preserve">The Rehearsed Sacred (Vondoom, 2026d) proposes that religious belief is not invented but generated — continuously, universally, and inevitably — from the same cognitive hardware operating under the same existential conditions across every culture that has ever existed. The mechanism begins with grief and the REM dream state: the deceased appear in dreams with a phenomenological vividness indistinguishable from waking reality. The most rational available inference, in the absence of neuroscientific </w:t>
      </w:r>
      <w:proofErr w:type="gramStart"/>
      <w:r w:rsidRPr="009D323B">
        <w:t>counter-evidence</w:t>
      </w:r>
      <w:proofErr w:type="gramEnd"/>
      <w:r w:rsidRPr="009D323B">
        <w:t xml:space="preserve">, is that the dead continue to exist somewhere accessible through altered consciousness. The behavioral logic that follows — burial, ritual, sacred space, ancestor veneration — is emotionally coherent and socially productive. Over generations, the most frequently contacted and most reliably helpful dead are promoted: </w:t>
      </w:r>
      <w:proofErr w:type="gramStart"/>
      <w:r w:rsidRPr="009D323B">
        <w:t>from person,</w:t>
      </w:r>
      <w:proofErr w:type="gramEnd"/>
      <w:r w:rsidRPr="009D323B">
        <w:t xml:space="preserve"> to revered ancestor, to protective spirit, to deity.</w:t>
      </w:r>
    </w:p>
    <w:p w14:paraId="5C50C4E9" w14:textId="77777777" w:rsidR="00C108C5" w:rsidRPr="009D323B" w:rsidRDefault="00000000">
      <w:pPr>
        <w:spacing w:before="80" w:after="80" w:line="320" w:lineRule="auto"/>
        <w:jc w:val="both"/>
      </w:pPr>
      <w:r w:rsidRPr="009D323B">
        <w:t xml:space="preserve">When communities carrying different promoted-ancestor traditions come into contact through trade, migration, or conflict, deity traditions merge. The merger is </w:t>
      </w:r>
      <w:proofErr w:type="spellStart"/>
      <w:r w:rsidRPr="009D323B">
        <w:t>organised</w:t>
      </w:r>
      <w:proofErr w:type="spellEnd"/>
      <w:r w:rsidRPr="009D323B">
        <w:t xml:space="preserve"> through kinship — the only hierarchical template available for managing groups of powerful agents with differentiated but related functions. The result is a pantheon: a family of promoted dead, </w:t>
      </w:r>
      <w:proofErr w:type="spellStart"/>
      <w:r w:rsidRPr="009D323B">
        <w:t>organised</w:t>
      </w:r>
      <w:proofErr w:type="spellEnd"/>
      <w:r w:rsidRPr="009D323B">
        <w:t xml:space="preserve"> by the relational grammar of human kinship, scaled to cosmic proportion.</w:t>
      </w:r>
    </w:p>
    <w:p w14:paraId="219F0AC5" w14:textId="77777777" w:rsidR="00C108C5" w:rsidRPr="009D323B" w:rsidRDefault="00000000">
      <w:pPr>
        <w:spacing w:before="80" w:after="80" w:line="320" w:lineRule="auto"/>
        <w:jc w:val="both"/>
      </w:pPr>
      <w:r w:rsidRPr="009D323B">
        <w:t xml:space="preserve">The Puranas are not the origin of Shiva's iconographic attributes. They are the textual </w:t>
      </w:r>
      <w:proofErr w:type="spellStart"/>
      <w:r w:rsidRPr="009D323B">
        <w:t>formalisation</w:t>
      </w:r>
      <w:proofErr w:type="spellEnd"/>
      <w:r w:rsidRPr="009D323B">
        <w:t xml:space="preserve"> of a tradition that had been rehearsed for a very long time before anyone wrote it down. The question of when these attributes were first associated with a deity figure is not answered by asking when they first appear in texts. It is answered by asking when a </w:t>
      </w:r>
      <w:proofErr w:type="spellStart"/>
      <w:r w:rsidRPr="009D323B">
        <w:t>stabilised</w:t>
      </w:r>
      <w:proofErr w:type="spellEnd"/>
      <w:r w:rsidRPr="009D323B">
        <w:t xml:space="preserve"> symbolic archetype carrying those attributes first appears in the material record.</w:t>
      </w:r>
    </w:p>
    <w:p w14:paraId="6D6CDF29" w14:textId="77777777" w:rsidR="00C108C5" w:rsidRPr="009D323B" w:rsidRDefault="00000000">
      <w:pPr>
        <w:pStyle w:val="Heading2"/>
        <w:rPr>
          <w:color w:val="auto"/>
        </w:rPr>
      </w:pPr>
      <w:r w:rsidRPr="009D323B">
        <w:rPr>
          <w:color w:val="auto"/>
        </w:rPr>
        <w:t>3.3 Chaudhuri Confirms the Mechanism</w:t>
      </w:r>
    </w:p>
    <w:p w14:paraId="04BA1F8F" w14:textId="77777777" w:rsidR="00C108C5" w:rsidRPr="009D323B" w:rsidRDefault="00000000">
      <w:pPr>
        <w:spacing w:before="80" w:after="80" w:line="320" w:lineRule="auto"/>
        <w:jc w:val="both"/>
      </w:pPr>
      <w:r w:rsidRPr="009D323B">
        <w:t xml:space="preserve">Chaudhuri's objection — stated as a refutation — is, under the Rehearsed Sacred framework, a confirmation. He notes correctly that the Shaivite iconographic tradition was not </w:t>
      </w:r>
      <w:proofErr w:type="spellStart"/>
      <w:r w:rsidRPr="009D323B">
        <w:t>formalised</w:t>
      </w:r>
      <w:proofErr w:type="spellEnd"/>
      <w:r w:rsidRPr="009D323B">
        <w:t xml:space="preserve"> until medieval times. He infers from this that the Pashupati figure cannot be Shiva's precursor. But the inference does not follow. The late </w:t>
      </w:r>
      <w:proofErr w:type="spellStart"/>
      <w:r w:rsidRPr="009D323B">
        <w:t>formalisation</w:t>
      </w:r>
      <w:proofErr w:type="spellEnd"/>
      <w:r w:rsidRPr="009D323B">
        <w:t xml:space="preserve"> of the textual tradition is precisely what the Rehearsed Sacred mechanism predicts: a deity archetype generated through the promotion sequence and rehearsed across generations through oral transmission, ritual repetition, and material anchoring, eventually reaches a scale and institutional complexity that demands textual codification. The codification is late. The rehearsal is ancient.</w:t>
      </w:r>
    </w:p>
    <w:p w14:paraId="73596792" w14:textId="77777777" w:rsidR="00C108C5" w:rsidRPr="009D323B" w:rsidRDefault="00000000">
      <w:pPr>
        <w:spacing w:before="80" w:after="80" w:line="320" w:lineRule="auto"/>
        <w:jc w:val="both"/>
      </w:pPr>
      <w:r w:rsidRPr="009D323B">
        <w:t xml:space="preserve">The Pashupati seal does not need to depict Shiva as the Puranas describe him. It needs to depict a symbolic archetype — seated authority, animal lordship, meditative withdrawal — that is </w:t>
      </w:r>
      <w:r w:rsidRPr="009D323B">
        <w:lastRenderedPageBreak/>
        <w:t>structurally continuous with the later Shaivite tradition. The continuity does not require identity. It requires the rehearsal mechanism to have been running from the seal's material context forward through the centuries until the Puranas encoded what had already been known.</w:t>
      </w:r>
    </w:p>
    <w:p w14:paraId="47E735D6" w14:textId="77777777" w:rsidR="00C108C5" w:rsidRPr="009D323B" w:rsidRDefault="00000000">
      <w:pPr>
        <w:pStyle w:val="Heading1"/>
        <w:rPr>
          <w:color w:val="auto"/>
        </w:rPr>
      </w:pPr>
      <w:r w:rsidRPr="009D323B">
        <w:rPr>
          <w:color w:val="auto"/>
        </w:rPr>
        <w:t>4. The Deep-Time Scaffold: Population, Displacement, and Symbolic Continuity</w:t>
      </w:r>
    </w:p>
    <w:p w14:paraId="0C093EDE" w14:textId="77777777" w:rsidR="00C108C5" w:rsidRPr="009D323B" w:rsidRDefault="00000000">
      <w:pPr>
        <w:pStyle w:val="Heading2"/>
        <w:rPr>
          <w:color w:val="auto"/>
        </w:rPr>
      </w:pPr>
      <w:r w:rsidRPr="009D323B">
        <w:rPr>
          <w:color w:val="auto"/>
        </w:rPr>
        <w:t>4.1 The Gulf of Khambhat and Displaced Coastal Populations</w:t>
      </w:r>
    </w:p>
    <w:p w14:paraId="59BD823E" w14:textId="77777777" w:rsidR="00C108C5" w:rsidRPr="009D323B" w:rsidRDefault="00000000">
      <w:pPr>
        <w:spacing w:before="80" w:after="80" w:line="320" w:lineRule="auto"/>
        <w:jc w:val="both"/>
      </w:pPr>
      <w:r w:rsidRPr="009D323B">
        <w:t xml:space="preserve">DSSM Paper 65 (Vondoom, 2026e) establishes the following argument. The Gujarat coastal lowlands, including the terrain now occupied by the Gulf of Khambhat, were exposed, river-drained, habitable terrain during the Last Glacial Maximum. Post-LGM sea level rise proceeded at documented rates exceeding two </w:t>
      </w:r>
      <w:proofErr w:type="spellStart"/>
      <w:r w:rsidRPr="009D323B">
        <w:t>metres</w:t>
      </w:r>
      <w:proofErr w:type="spellEnd"/>
      <w:r w:rsidRPr="009D323B">
        <w:t xml:space="preserve"> per century between 10,800 and 9,200 years before present. NIOT sonar surveys between 2000 and 2004 identified geometric structural features at 30 to 40 </w:t>
      </w:r>
      <w:proofErr w:type="spellStart"/>
      <w:r w:rsidRPr="009D323B">
        <w:t>metres</w:t>
      </w:r>
      <w:proofErr w:type="spellEnd"/>
      <w:r w:rsidRPr="009D323B">
        <w:t xml:space="preserve"> depth approximately 20 </w:t>
      </w:r>
      <w:proofErr w:type="spellStart"/>
      <w:r w:rsidRPr="009D323B">
        <w:t>kilometres</w:t>
      </w:r>
      <w:proofErr w:type="spellEnd"/>
      <w:r w:rsidRPr="009D323B">
        <w:t xml:space="preserve"> from the current Gujarat coastline, with dredged material carbon-dated to 7190–7545 BCE by independent laboratories (Kathiroli et al., 2004).</w:t>
      </w:r>
    </w:p>
    <w:p w14:paraId="563A7C2F" w14:textId="77777777" w:rsidR="00C108C5" w:rsidRPr="009D323B" w:rsidRDefault="00000000">
      <w:pPr>
        <w:spacing w:before="80" w:after="80" w:line="320" w:lineRule="auto"/>
        <w:jc w:val="both"/>
      </w:pPr>
      <w:r w:rsidRPr="009D323B">
        <w:t>The methodological position is explicit: the GKCC is an unexcavated anomaly, and the structural features cannot be confirmed as human settlement without controlled underwater excavation. The argument does not depend on the GKCC being confirmed. It depends on the geological record, which independently establishes that a habitable coastal zone was progressively inundated over several millennia, and that any populations occupying that zone were subject to catastrophic displacement.</w:t>
      </w:r>
    </w:p>
    <w:p w14:paraId="1CBAF3FD" w14:textId="77777777" w:rsidR="00C108C5" w:rsidRPr="009D323B" w:rsidRDefault="00000000">
      <w:pPr>
        <w:spacing w:before="80" w:after="80" w:line="320" w:lineRule="auto"/>
        <w:jc w:val="both"/>
      </w:pPr>
      <w:r w:rsidRPr="009D323B">
        <w:t xml:space="preserve">The </w:t>
      </w:r>
      <w:proofErr w:type="spellStart"/>
      <w:r w:rsidRPr="009D323B">
        <w:t>behavioural</w:t>
      </w:r>
      <w:proofErr w:type="spellEnd"/>
      <w:r w:rsidRPr="009D323B">
        <w:t xml:space="preserve"> consequence of that displacement — established through validated analogs including the Persian Gulf Oasis inundation sequence and the Toba dispersal — is the forced migration of populations carrying accumulated symbolic infrastructure inland. Under DSSM, these are precisely the Stage 2–3 populations whose symbolic systems, refined under demographic pressure, contribute to the convergence events that produce anomalous </w:t>
      </w:r>
      <w:proofErr w:type="spellStart"/>
      <w:r w:rsidRPr="009D323B">
        <w:t>civilisational</w:t>
      </w:r>
      <w:proofErr w:type="spellEnd"/>
      <w:r w:rsidRPr="009D323B">
        <w:t xml:space="preserve"> complexity. The standard accounts trace IVC origins to pre-Harappan farming communities in </w:t>
      </w:r>
      <w:proofErr w:type="spellStart"/>
      <w:r w:rsidRPr="009D323B">
        <w:t>Balochistan</w:t>
      </w:r>
      <w:proofErr w:type="spellEnd"/>
      <w:r w:rsidRPr="009D323B">
        <w:t xml:space="preserve"> from the 7th millennium BCE, with the Mehrgarh sequence providing the most complete precursor record (</w:t>
      </w:r>
      <w:proofErr w:type="spellStart"/>
      <w:r w:rsidRPr="009D323B">
        <w:t>Jarrige</w:t>
      </w:r>
      <w:proofErr w:type="spellEnd"/>
      <w:r w:rsidRPr="009D323B">
        <w:t xml:space="preserve"> and Meadow, 2008; Vondoom, 2026a). IVC's appearance in the archaeological record already at high symbolic complexity, without a fully traceable inland trajectory, is structurally consistent with a coastal contribution that is now underwater.</w:t>
      </w:r>
    </w:p>
    <w:p w14:paraId="4B2EED60" w14:textId="77777777" w:rsidR="00C108C5" w:rsidRPr="009D323B" w:rsidRDefault="00000000">
      <w:pPr>
        <w:pStyle w:val="Heading2"/>
        <w:rPr>
          <w:color w:val="auto"/>
        </w:rPr>
      </w:pPr>
      <w:r w:rsidRPr="009D323B">
        <w:rPr>
          <w:color w:val="auto"/>
        </w:rPr>
        <w:t xml:space="preserve">4.2 Toba, </w:t>
      </w:r>
      <w:proofErr w:type="spellStart"/>
      <w:r w:rsidRPr="009D323B">
        <w:rPr>
          <w:color w:val="auto"/>
        </w:rPr>
        <w:t>Balangoda</w:t>
      </w:r>
      <w:proofErr w:type="spellEnd"/>
      <w:r w:rsidRPr="009D323B">
        <w:rPr>
          <w:color w:val="auto"/>
        </w:rPr>
        <w:t xml:space="preserve"> Man, and the South Asian Symbolic Baseline</w:t>
      </w:r>
    </w:p>
    <w:p w14:paraId="62556C1E" w14:textId="77777777" w:rsidR="00C108C5" w:rsidRPr="009D323B" w:rsidRDefault="00000000">
      <w:pPr>
        <w:spacing w:before="80" w:after="80" w:line="320" w:lineRule="auto"/>
        <w:jc w:val="both"/>
      </w:pPr>
      <w:r w:rsidRPr="009D323B">
        <w:t xml:space="preserve">The Toba </w:t>
      </w:r>
      <w:proofErr w:type="spellStart"/>
      <w:r w:rsidRPr="009D323B">
        <w:t>supervolcanic</w:t>
      </w:r>
      <w:proofErr w:type="spellEnd"/>
      <w:r w:rsidRPr="009D323B">
        <w:t xml:space="preserve"> eruption at approximately 74,000 BCE represents the most severe documented demographic bottleneck in H. sapiens history. DSSM Paper 2 (Vondoom, 2025b) establishes that bottleneck conditions, rather than erasing symbolic systems, concentrate and refine them: small surviving populations under existential pressure intensify ritual repetition, </w:t>
      </w:r>
      <w:r w:rsidRPr="009D323B">
        <w:lastRenderedPageBreak/>
        <w:t xml:space="preserve">portable symbolic anchors, and oral transmission — the Stage 2 </w:t>
      </w:r>
      <w:proofErr w:type="spellStart"/>
      <w:r w:rsidRPr="009D323B">
        <w:t>behaviours</w:t>
      </w:r>
      <w:proofErr w:type="spellEnd"/>
      <w:r w:rsidRPr="009D323B">
        <w:t xml:space="preserve"> that eventually </w:t>
      </w:r>
      <w:proofErr w:type="spellStart"/>
      <w:r w:rsidRPr="009D323B">
        <w:t>stabilise</w:t>
      </w:r>
      <w:proofErr w:type="spellEnd"/>
      <w:r w:rsidRPr="009D323B">
        <w:t xml:space="preserve"> into Stage 3 material culture.</w:t>
      </w:r>
    </w:p>
    <w:p w14:paraId="0221987D" w14:textId="77777777" w:rsidR="00C108C5" w:rsidRPr="009D323B" w:rsidRDefault="00000000">
      <w:pPr>
        <w:spacing w:before="80" w:after="80" w:line="320" w:lineRule="auto"/>
        <w:jc w:val="both"/>
      </w:pPr>
      <w:r w:rsidRPr="009D323B">
        <w:t>Fa Hien Cave in Sri Lanka documents anatomically modern H. sapiens presence in South Asia from approximately 48,000 BCE — post-</w:t>
      </w:r>
      <w:proofErr w:type="gramStart"/>
      <w:r w:rsidRPr="009D323B">
        <w:t>Toba, and</w:t>
      </w:r>
      <w:proofErr w:type="gramEnd"/>
      <w:r w:rsidRPr="009D323B">
        <w:t xml:space="preserve"> therefore representing survivors of the bottleneck event or their descendants. </w:t>
      </w:r>
      <w:proofErr w:type="spellStart"/>
      <w:r w:rsidRPr="009D323B">
        <w:t>Balangoda</w:t>
      </w:r>
      <w:proofErr w:type="spellEnd"/>
      <w:r w:rsidRPr="009D323B">
        <w:t xml:space="preserve"> Man's geometric microlithic toolkit, dated to 28,500 BCE, is among the earliest such assemblages recorded globally alongside comparable African examples. The cognitive infrastructure for symbolic </w:t>
      </w:r>
      <w:proofErr w:type="spellStart"/>
      <w:r w:rsidRPr="009D323B">
        <w:t>stabilisation</w:t>
      </w:r>
      <w:proofErr w:type="spellEnd"/>
      <w:r w:rsidRPr="009D323B">
        <w:t xml:space="preserve"> was therefore present in South Asia for tens of thousands of years before the IVC urban phase begins.</w:t>
      </w:r>
    </w:p>
    <w:p w14:paraId="5DE3A1DD" w14:textId="77777777" w:rsidR="00C108C5" w:rsidRPr="009D323B" w:rsidRDefault="00000000">
      <w:pPr>
        <w:spacing w:before="80" w:after="80" w:line="320" w:lineRule="auto"/>
        <w:jc w:val="both"/>
      </w:pPr>
      <w:r w:rsidRPr="009D323B">
        <w:t xml:space="preserve">What this establishes is not a direct lineage from </w:t>
      </w:r>
      <w:proofErr w:type="spellStart"/>
      <w:r w:rsidRPr="009D323B">
        <w:t>Balangoda</w:t>
      </w:r>
      <w:proofErr w:type="spellEnd"/>
      <w:r w:rsidRPr="009D323B">
        <w:t xml:space="preserve"> Man to the Pashupati seal. It establishes a symbolic baseline: H. sapiens populations with the full cognitive capacity for symbolic </w:t>
      </w:r>
      <w:proofErr w:type="spellStart"/>
      <w:r w:rsidRPr="009D323B">
        <w:t>stabilisation</w:t>
      </w:r>
      <w:proofErr w:type="spellEnd"/>
      <w:r w:rsidRPr="009D323B">
        <w:t xml:space="preserve"> were present in South Asia through the entire period under consideration. The archetype visible on the Pashupati seal did not arrive from nowhere. It arrived from a long history of symbolic rehearsal in a population with documented deep-time roots in the subcontinent.</w:t>
      </w:r>
    </w:p>
    <w:p w14:paraId="00C58CCF" w14:textId="77777777" w:rsidR="00C108C5" w:rsidRPr="009D323B" w:rsidRDefault="00000000">
      <w:pPr>
        <w:pStyle w:val="Heading2"/>
        <w:rPr>
          <w:color w:val="auto"/>
        </w:rPr>
      </w:pPr>
      <w:r w:rsidRPr="009D323B">
        <w:rPr>
          <w:color w:val="auto"/>
        </w:rPr>
        <w:t xml:space="preserve">4.3 The </w:t>
      </w:r>
      <w:proofErr w:type="spellStart"/>
      <w:r w:rsidRPr="009D323B">
        <w:rPr>
          <w:color w:val="auto"/>
        </w:rPr>
        <w:t>Sundaland</w:t>
      </w:r>
      <w:proofErr w:type="spellEnd"/>
      <w:r w:rsidRPr="009D323B">
        <w:rPr>
          <w:color w:val="auto"/>
        </w:rPr>
        <w:t xml:space="preserve"> Connection and Post-Glacial Displacement</w:t>
      </w:r>
    </w:p>
    <w:p w14:paraId="35B78C6F" w14:textId="77777777" w:rsidR="00C108C5" w:rsidRPr="009D323B" w:rsidRDefault="00000000">
      <w:pPr>
        <w:spacing w:before="80" w:after="80" w:line="320" w:lineRule="auto"/>
        <w:jc w:val="both"/>
      </w:pPr>
      <w:r w:rsidRPr="009D323B">
        <w:t xml:space="preserve">The Sunda Shelf — now the floor of the South China Sea and the shallow seas between the Indonesian islands — was exposed as a continuous landmass of approximately 1.8 million square </w:t>
      </w:r>
      <w:proofErr w:type="spellStart"/>
      <w:r w:rsidRPr="009D323B">
        <w:t>kilometres</w:t>
      </w:r>
      <w:proofErr w:type="spellEnd"/>
      <w:r w:rsidRPr="009D323B">
        <w:t xml:space="preserve"> during the Last Glacial Maximum. Post-glacial sea level rise progressively submerged this landmass between approximately 20,000 and 7,000 BCE. Indonesia's deep-time cave art record — documented in DSSM Paper 36 (Vondoom, 2026f) — provides a ≥67,800-year anchor for </w:t>
      </w:r>
      <w:proofErr w:type="spellStart"/>
      <w:r w:rsidRPr="009D323B">
        <w:t>stabilised</w:t>
      </w:r>
      <w:proofErr w:type="spellEnd"/>
      <w:r w:rsidRPr="009D323B">
        <w:t xml:space="preserve"> symbolic </w:t>
      </w:r>
      <w:proofErr w:type="spellStart"/>
      <w:r w:rsidRPr="009D323B">
        <w:t>behaviour</w:t>
      </w:r>
      <w:proofErr w:type="spellEnd"/>
      <w:r w:rsidRPr="009D323B">
        <w:t xml:space="preserve"> in Island Southeast Asia, with the ≥51,000-year figurative corpus demonstrating motif conservation, spatial anchoring, and cross-generational persistence consistent with full DSSM saturation.</w:t>
      </w:r>
    </w:p>
    <w:p w14:paraId="5D9350BF" w14:textId="77777777" w:rsidR="00C108C5" w:rsidRPr="009D323B" w:rsidRDefault="00000000">
      <w:pPr>
        <w:spacing w:before="80" w:after="80" w:line="320" w:lineRule="auto"/>
        <w:jc w:val="both"/>
      </w:pPr>
      <w:r w:rsidRPr="009D323B">
        <w:t>The hypothesis advanced here — framed explicitly at low to medium confidence — is that the populations responsible for this symbolic tradition were among those displaced by post-glacial inundation, and that their westward migration along the Indian Ocean rim contributed to the symbolic convergence visible in South Asia. This hypothesis is currently unverifiable from surface sites alone. It is structurally consistent with the available evidence and generates specific archaeological predictions: submerged sites in the Bay of Bengal and Andaman Sea transitional zone, if excavated, would either confirm or falsify the population movement implied.</w:t>
      </w:r>
    </w:p>
    <w:p w14:paraId="4EED0634" w14:textId="77777777" w:rsidR="00305547" w:rsidRPr="009D323B" w:rsidRDefault="00305547">
      <w:pPr>
        <w:pStyle w:val="Heading1"/>
        <w:rPr>
          <w:color w:val="auto"/>
        </w:rPr>
      </w:pPr>
    </w:p>
    <w:p w14:paraId="6FFB7373" w14:textId="77777777" w:rsidR="00305547" w:rsidRPr="009D323B" w:rsidRDefault="00305547">
      <w:pPr>
        <w:pStyle w:val="Heading1"/>
        <w:rPr>
          <w:color w:val="auto"/>
        </w:rPr>
      </w:pPr>
    </w:p>
    <w:p w14:paraId="4E303558" w14:textId="77777777" w:rsidR="00305547" w:rsidRPr="009D323B" w:rsidRDefault="00305547">
      <w:pPr>
        <w:pStyle w:val="Heading1"/>
        <w:rPr>
          <w:color w:val="auto"/>
        </w:rPr>
      </w:pPr>
    </w:p>
    <w:p w14:paraId="778D8D32" w14:textId="1C88FBCA" w:rsidR="00C108C5" w:rsidRPr="009D323B" w:rsidRDefault="00000000">
      <w:pPr>
        <w:pStyle w:val="Heading1"/>
        <w:rPr>
          <w:color w:val="auto"/>
        </w:rPr>
      </w:pPr>
      <w:r w:rsidRPr="009D323B">
        <w:rPr>
          <w:color w:val="auto"/>
        </w:rPr>
        <w:lastRenderedPageBreak/>
        <w:t>5. The Archetype and Its Recognition: Indian Ocean Symbolic Exchange</w:t>
      </w:r>
    </w:p>
    <w:p w14:paraId="0C6EA0E4" w14:textId="77777777" w:rsidR="00C108C5" w:rsidRPr="009D323B" w:rsidRDefault="00000000">
      <w:pPr>
        <w:pStyle w:val="Heading2"/>
        <w:rPr>
          <w:color w:val="auto"/>
        </w:rPr>
      </w:pPr>
      <w:r w:rsidRPr="009D323B">
        <w:rPr>
          <w:color w:val="auto"/>
        </w:rPr>
        <w:t>5.1 The Shaivite Tradition as Recognition System</w:t>
      </w:r>
    </w:p>
    <w:p w14:paraId="0B1F09B2" w14:textId="77777777" w:rsidR="00C108C5" w:rsidRPr="009D323B" w:rsidRDefault="00000000">
      <w:pPr>
        <w:spacing w:before="80" w:after="80" w:line="320" w:lineRule="auto"/>
        <w:jc w:val="both"/>
      </w:pPr>
      <w:r w:rsidRPr="009D323B">
        <w:t xml:space="preserve">The Shaivite tradition possesses, among its core theological categories, the concept of the </w:t>
      </w:r>
      <w:proofErr w:type="spellStart"/>
      <w:r w:rsidRPr="009D323B">
        <w:t>svayambhu</w:t>
      </w:r>
      <w:proofErr w:type="spellEnd"/>
      <w:r w:rsidRPr="009D323B">
        <w:t xml:space="preserve"> Lingam — the self-manifested form of Shiva, arising without human intervention in natural formations such as caves, rock outcrops, and geological features. This category is not a metaphor. It is an operational recognition system: a symbolic grammar equipped to identify naturally occurring forms as sacred manifestations of a specific deity archetype, across geographically diverse contexts, without requiring that the local population previously held Shaivite beliefs.</w:t>
      </w:r>
    </w:p>
    <w:p w14:paraId="40C3B45A" w14:textId="77777777" w:rsidR="00C108C5" w:rsidRPr="009D323B" w:rsidRDefault="00000000">
      <w:pPr>
        <w:spacing w:before="80" w:after="80" w:line="320" w:lineRule="auto"/>
        <w:jc w:val="both"/>
      </w:pPr>
      <w:r w:rsidRPr="009D323B">
        <w:t xml:space="preserve">This recognition system is documented in its operation at multiple sites across the Indian Ocean world. Borra Caves in Andhra Pradesh — where a naturally formed stalagmite in a limestone cave was identified as a </w:t>
      </w:r>
      <w:proofErr w:type="spellStart"/>
      <w:r w:rsidRPr="009D323B">
        <w:t>svayambhu</w:t>
      </w:r>
      <w:proofErr w:type="spellEnd"/>
      <w:r w:rsidRPr="009D323B">
        <w:t xml:space="preserve"> Lingam through a founding narrative involving anomalous bovine </w:t>
      </w:r>
      <w:proofErr w:type="spellStart"/>
      <w:r w:rsidRPr="009D323B">
        <w:t>behaviour</w:t>
      </w:r>
      <w:proofErr w:type="spellEnd"/>
      <w:r w:rsidRPr="009D323B">
        <w:t xml:space="preserve"> — has yielded Paleolithic tools, confirming Stone Age human presence at the site before any formal Shaivite association. The </w:t>
      </w:r>
      <w:proofErr w:type="spellStart"/>
      <w:r w:rsidRPr="009D323B">
        <w:t>Gombeshwar</w:t>
      </w:r>
      <w:proofErr w:type="spellEnd"/>
      <w:r w:rsidRPr="009D323B">
        <w:t xml:space="preserve"> cave in Mombasa, Kenya, presents a structurally identical case: a natural coral cave on the Indian Ocean coast, a naturally formed stalagmite, a founding narrative involving a cow releasing milk at a specific spot, and formal recognition by a Gujarati trading community already resident in Mombasa in the late 19th century (Vondoom, 2026g).</w:t>
      </w:r>
    </w:p>
    <w:p w14:paraId="2EEAAD80" w14:textId="77777777" w:rsidR="00C108C5" w:rsidRPr="009D323B" w:rsidRDefault="00000000">
      <w:pPr>
        <w:spacing w:before="80" w:after="80" w:line="320" w:lineRule="auto"/>
        <w:jc w:val="both"/>
      </w:pPr>
      <w:r w:rsidRPr="009D323B">
        <w:t>These cases do not prove that Shiva was worshipped at these locations in antiquity. They demonstrate that the Shaivite symbolic grammar is a functional recognition system capable of identifying and absorbing sacred sites across wide geographic and temporal ranges — operating through the Indian Ocean trade network that connected South Asia, the Arabian Peninsula, and East Africa for at least four thousand documented years.</w:t>
      </w:r>
    </w:p>
    <w:p w14:paraId="7C0EC1F1" w14:textId="77777777" w:rsidR="00C108C5" w:rsidRPr="009D323B" w:rsidRDefault="00000000">
      <w:pPr>
        <w:pStyle w:val="Heading2"/>
        <w:rPr>
          <w:color w:val="auto"/>
        </w:rPr>
      </w:pPr>
      <w:r w:rsidRPr="009D323B">
        <w:rPr>
          <w:color w:val="auto"/>
        </w:rPr>
        <w:t>5.2 The Pashupati Figure as Archetype, Not Portrait</w:t>
      </w:r>
    </w:p>
    <w:p w14:paraId="5D332E77" w14:textId="77777777" w:rsidR="00C108C5" w:rsidRPr="009D323B" w:rsidRDefault="00000000">
      <w:pPr>
        <w:spacing w:before="80" w:after="80" w:line="320" w:lineRule="auto"/>
        <w:jc w:val="both"/>
      </w:pPr>
      <w:r w:rsidRPr="009D323B">
        <w:t>The productive question about the Pashupati seal is not whether it depicts the Shiva of the Puranas. It is whether it depicts a symbolic archetype — seated authority, meditative withdrawal, lordship over the animal world — that is structurally continuous with what the Shaivite tradition later encoded. The Dravidian linguistic and cultural tradition, whose deep roots in South Asia predate Indo-Aryan arrival, provides the most plausible population substrate for this archetype's long-term transmission (</w:t>
      </w:r>
      <w:proofErr w:type="spellStart"/>
      <w:r w:rsidRPr="009D323B">
        <w:t>Zvelebil</w:t>
      </w:r>
      <w:proofErr w:type="spellEnd"/>
      <w:r w:rsidRPr="009D323B">
        <w:t xml:space="preserve">, 1990). Under the Rehearsed Sacred mechanism, the answer does not require identity between the IVC figure and the Puranic Shiva. It requires the rehearsal sequence to have been running: the archetype </w:t>
      </w:r>
      <w:proofErr w:type="spellStart"/>
      <w:r w:rsidRPr="009D323B">
        <w:t>stabilised</w:t>
      </w:r>
      <w:proofErr w:type="spellEnd"/>
      <w:r w:rsidRPr="009D323B">
        <w:t xml:space="preserve"> in the Dravidian symbolic world, carried through displacement and demographic pressure, rehearsed through oral transmission and material anchoring across the centuries, and eventually </w:t>
      </w:r>
      <w:proofErr w:type="spellStart"/>
      <w:r w:rsidRPr="009D323B">
        <w:t>formalised</w:t>
      </w:r>
      <w:proofErr w:type="spellEnd"/>
      <w:r w:rsidRPr="009D323B">
        <w:t xml:space="preserve"> in the textual tradition at the point when institutional complexity demanded written codification.</w:t>
      </w:r>
    </w:p>
    <w:p w14:paraId="0F8A6513" w14:textId="77777777" w:rsidR="00C108C5" w:rsidRPr="009D323B" w:rsidRDefault="00000000">
      <w:pPr>
        <w:spacing w:before="80" w:after="80" w:line="320" w:lineRule="auto"/>
        <w:jc w:val="both"/>
      </w:pPr>
      <w:r w:rsidRPr="009D323B">
        <w:lastRenderedPageBreak/>
        <w:t xml:space="preserve">The seal is the material evidence that the archetype was already </w:t>
      </w:r>
      <w:proofErr w:type="spellStart"/>
      <w:r w:rsidRPr="009D323B">
        <w:t>stabilised</w:t>
      </w:r>
      <w:proofErr w:type="spellEnd"/>
      <w:r w:rsidRPr="009D323B">
        <w:t xml:space="preserve"> by 2350 BCE. The Puranas are the evidence that the rehearsal ran all the way through. Chaudhuri's two-thousand-year gap between the seal and the Puranas is not a problem for the argument. It is the duration of the rehearsal.</w:t>
      </w:r>
    </w:p>
    <w:p w14:paraId="4B543536" w14:textId="77777777" w:rsidR="00C108C5" w:rsidRPr="009D323B" w:rsidRDefault="00000000">
      <w:pPr>
        <w:pStyle w:val="Heading1"/>
        <w:rPr>
          <w:color w:val="auto"/>
        </w:rPr>
      </w:pPr>
      <w:r w:rsidRPr="009D323B">
        <w:rPr>
          <w:color w:val="auto"/>
        </w:rPr>
        <w:t>6. Confidence Assessment</w:t>
      </w:r>
    </w:p>
    <w:p w14:paraId="788A3201" w14:textId="77777777" w:rsidR="00C108C5" w:rsidRPr="009D323B" w:rsidRDefault="00000000">
      <w:pPr>
        <w:spacing w:before="80" w:after="80" w:line="320" w:lineRule="auto"/>
        <w:jc w:val="both"/>
      </w:pPr>
      <w:r w:rsidRPr="009D323B">
        <w:t>Following DSSM methodological standards, claims are assessed at three confidence levels: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4680"/>
      </w:tblGrid>
      <w:tr w:rsidR="00C108C5" w:rsidRPr="009D323B" w14:paraId="7CCF8700" w14:textId="77777777">
        <w:tc>
          <w:tcPr>
            <w:tcW w:w="23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8AD44F3" w14:textId="77777777" w:rsidR="00C108C5" w:rsidRPr="009D323B" w:rsidRDefault="00000000">
            <w:r w:rsidRPr="009D323B">
              <w:rPr>
                <w:b/>
                <w:bCs/>
                <w:sz w:val="20"/>
                <w:szCs w:val="20"/>
              </w:rPr>
              <w:t>Confidence Level</w:t>
            </w:r>
          </w:p>
        </w:tc>
        <w:tc>
          <w:tcPr>
            <w:tcW w:w="23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5A3B1064" w14:textId="77777777" w:rsidR="00C108C5" w:rsidRPr="009D323B" w:rsidRDefault="00000000">
            <w:r w:rsidRPr="009D323B">
              <w:rPr>
                <w:b/>
                <w:bCs/>
                <w:sz w:val="20"/>
                <w:szCs w:val="20"/>
              </w:rPr>
              <w:t>Claim</w:t>
            </w:r>
          </w:p>
        </w:tc>
        <w:tc>
          <w:tcPr>
            <w:tcW w:w="46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26F0BEAC" w14:textId="77777777" w:rsidR="00C108C5" w:rsidRPr="009D323B" w:rsidRDefault="00000000">
            <w:r w:rsidRPr="009D323B">
              <w:rPr>
                <w:b/>
                <w:bCs/>
                <w:sz w:val="20"/>
                <w:szCs w:val="20"/>
              </w:rPr>
              <w:t>Basis</w:t>
            </w:r>
          </w:p>
        </w:tc>
      </w:tr>
      <w:tr w:rsidR="00C108C5" w:rsidRPr="009D323B" w14:paraId="7B06D537" w14:textId="77777777">
        <w:tc>
          <w:tcPr>
            <w:tcW w:w="2340" w:type="dxa"/>
            <w:tcBorders>
              <w:top w:val="single" w:sz="1" w:space="0" w:color="CCCCCC"/>
              <w:left w:val="single" w:sz="1" w:space="0" w:color="CCCCCC"/>
              <w:bottom w:val="single" w:sz="1" w:space="0" w:color="CCCCCC"/>
              <w:right w:val="single" w:sz="1" w:space="0" w:color="CCCCCC"/>
            </w:tcBorders>
            <w:shd w:val="clear" w:color="auto" w:fill="F0F7FF"/>
            <w:tcMar>
              <w:top w:w="80" w:type="dxa"/>
              <w:left w:w="120" w:type="dxa"/>
              <w:bottom w:w="80" w:type="dxa"/>
              <w:right w:w="120" w:type="dxa"/>
            </w:tcMar>
          </w:tcPr>
          <w:p w14:paraId="407B05E2" w14:textId="77777777" w:rsidR="00C108C5" w:rsidRPr="009D323B" w:rsidRDefault="00000000">
            <w:r w:rsidRPr="009D323B">
              <w:rPr>
                <w:sz w:val="20"/>
                <w:szCs w:val="20"/>
              </w:rPr>
              <w:t>High</w:t>
            </w:r>
          </w:p>
        </w:tc>
        <w:tc>
          <w:tcPr>
            <w:tcW w:w="2340" w:type="dxa"/>
            <w:tcBorders>
              <w:top w:val="single" w:sz="1" w:space="0" w:color="CCCCCC"/>
              <w:left w:val="single" w:sz="1" w:space="0" w:color="CCCCCC"/>
              <w:bottom w:val="single" w:sz="1" w:space="0" w:color="CCCCCC"/>
              <w:right w:val="single" w:sz="1" w:space="0" w:color="CCCCCC"/>
            </w:tcBorders>
            <w:shd w:val="clear" w:color="auto" w:fill="F0F7FF"/>
            <w:tcMar>
              <w:top w:w="80" w:type="dxa"/>
              <w:left w:w="120" w:type="dxa"/>
              <w:bottom w:w="80" w:type="dxa"/>
              <w:right w:w="120" w:type="dxa"/>
            </w:tcMar>
          </w:tcPr>
          <w:p w14:paraId="4A9D84BF" w14:textId="77777777" w:rsidR="00C108C5" w:rsidRPr="009D323B" w:rsidRDefault="00000000">
            <w:r w:rsidRPr="009D323B">
              <w:rPr>
                <w:sz w:val="20"/>
                <w:szCs w:val="20"/>
              </w:rPr>
              <w:t xml:space="preserve">IVC seals function as icons </w:t>
            </w:r>
            <w:proofErr w:type="gramStart"/>
            <w:r w:rsidRPr="009D323B">
              <w:rPr>
                <w:sz w:val="20"/>
                <w:szCs w:val="20"/>
              </w:rPr>
              <w:t>not script</w:t>
            </w:r>
            <w:proofErr w:type="gramEnd"/>
          </w:p>
        </w:tc>
        <w:tc>
          <w:tcPr>
            <w:tcW w:w="4680" w:type="dxa"/>
            <w:tcBorders>
              <w:top w:val="single" w:sz="1" w:space="0" w:color="CCCCCC"/>
              <w:left w:val="single" w:sz="1" w:space="0" w:color="CCCCCC"/>
              <w:bottom w:val="single" w:sz="1" w:space="0" w:color="CCCCCC"/>
              <w:right w:val="single" w:sz="1" w:space="0" w:color="CCCCCC"/>
            </w:tcBorders>
            <w:shd w:val="clear" w:color="auto" w:fill="F0F7FF"/>
            <w:tcMar>
              <w:top w:w="80" w:type="dxa"/>
              <w:left w:w="120" w:type="dxa"/>
              <w:bottom w:w="80" w:type="dxa"/>
              <w:right w:w="120" w:type="dxa"/>
            </w:tcMar>
          </w:tcPr>
          <w:p w14:paraId="17FA5E78" w14:textId="77777777" w:rsidR="00C108C5" w:rsidRPr="009D323B" w:rsidRDefault="00000000">
            <w:r w:rsidRPr="009D323B">
              <w:rPr>
                <w:sz w:val="20"/>
                <w:szCs w:val="20"/>
              </w:rPr>
              <w:t>Papers 34, 37; structural analysis of seal corpus</w:t>
            </w:r>
          </w:p>
        </w:tc>
      </w:tr>
      <w:tr w:rsidR="00C108C5" w:rsidRPr="009D323B" w14:paraId="39242F22" w14:textId="77777777">
        <w:tc>
          <w:tcPr>
            <w:tcW w:w="2340" w:type="dxa"/>
            <w:tcBorders>
              <w:top w:val="single" w:sz="1" w:space="0" w:color="CCCCCC"/>
              <w:left w:val="single" w:sz="1" w:space="0" w:color="CCCCCC"/>
              <w:bottom w:val="single" w:sz="1" w:space="0" w:color="CCCCCC"/>
              <w:right w:val="single" w:sz="1" w:space="0" w:color="CCCCCC"/>
            </w:tcBorders>
            <w:shd w:val="clear" w:color="auto" w:fill="F0F7FF"/>
            <w:tcMar>
              <w:top w:w="80" w:type="dxa"/>
              <w:left w:w="120" w:type="dxa"/>
              <w:bottom w:w="80" w:type="dxa"/>
              <w:right w:w="120" w:type="dxa"/>
            </w:tcMar>
          </w:tcPr>
          <w:p w14:paraId="502EA4F4" w14:textId="77777777" w:rsidR="00C108C5" w:rsidRPr="009D323B" w:rsidRDefault="00000000">
            <w:r w:rsidRPr="009D323B">
              <w:rPr>
                <w:sz w:val="20"/>
                <w:szCs w:val="20"/>
              </w:rPr>
              <w:t>High</w:t>
            </w:r>
          </w:p>
        </w:tc>
        <w:tc>
          <w:tcPr>
            <w:tcW w:w="2340" w:type="dxa"/>
            <w:tcBorders>
              <w:top w:val="single" w:sz="1" w:space="0" w:color="CCCCCC"/>
              <w:left w:val="single" w:sz="1" w:space="0" w:color="CCCCCC"/>
              <w:bottom w:val="single" w:sz="1" w:space="0" w:color="CCCCCC"/>
              <w:right w:val="single" w:sz="1" w:space="0" w:color="CCCCCC"/>
            </w:tcBorders>
            <w:shd w:val="clear" w:color="auto" w:fill="F0F7FF"/>
            <w:tcMar>
              <w:top w:w="80" w:type="dxa"/>
              <w:left w:w="120" w:type="dxa"/>
              <w:bottom w:w="80" w:type="dxa"/>
              <w:right w:w="120" w:type="dxa"/>
            </w:tcMar>
          </w:tcPr>
          <w:p w14:paraId="287AF5CA" w14:textId="77777777" w:rsidR="00C108C5" w:rsidRPr="009D323B" w:rsidRDefault="00000000">
            <w:r w:rsidRPr="009D323B">
              <w:rPr>
                <w:sz w:val="20"/>
                <w:szCs w:val="20"/>
              </w:rPr>
              <w:t>Iconographic analysis of Pashupati does not require decipherment</w:t>
            </w:r>
          </w:p>
        </w:tc>
        <w:tc>
          <w:tcPr>
            <w:tcW w:w="4680" w:type="dxa"/>
            <w:tcBorders>
              <w:top w:val="single" w:sz="1" w:space="0" w:color="CCCCCC"/>
              <w:left w:val="single" w:sz="1" w:space="0" w:color="CCCCCC"/>
              <w:bottom w:val="single" w:sz="1" w:space="0" w:color="CCCCCC"/>
              <w:right w:val="single" w:sz="1" w:space="0" w:color="CCCCCC"/>
            </w:tcBorders>
            <w:shd w:val="clear" w:color="auto" w:fill="F0F7FF"/>
            <w:tcMar>
              <w:top w:w="80" w:type="dxa"/>
              <w:left w:w="120" w:type="dxa"/>
              <w:bottom w:w="80" w:type="dxa"/>
              <w:right w:w="120" w:type="dxa"/>
            </w:tcMar>
          </w:tcPr>
          <w:p w14:paraId="1034155C" w14:textId="77777777" w:rsidR="00C108C5" w:rsidRPr="009D323B" w:rsidRDefault="00000000">
            <w:r w:rsidRPr="009D323B">
              <w:rPr>
                <w:sz w:val="20"/>
                <w:szCs w:val="20"/>
              </w:rPr>
              <w:t>Follows from icons-not-script argument; iconographic content is visually encoded</w:t>
            </w:r>
          </w:p>
        </w:tc>
      </w:tr>
      <w:tr w:rsidR="00C108C5" w:rsidRPr="009D323B" w14:paraId="0319C058" w14:textId="77777777">
        <w:tc>
          <w:tcPr>
            <w:tcW w:w="2340" w:type="dxa"/>
            <w:tcBorders>
              <w:top w:val="single" w:sz="1" w:space="0" w:color="CCCCCC"/>
              <w:left w:val="single" w:sz="1" w:space="0" w:color="CCCCCC"/>
              <w:bottom w:val="single" w:sz="1" w:space="0" w:color="CCCCCC"/>
              <w:right w:val="single" w:sz="1" w:space="0" w:color="CCCCCC"/>
            </w:tcBorders>
            <w:shd w:val="clear" w:color="auto" w:fill="F0F7FF"/>
            <w:tcMar>
              <w:top w:w="80" w:type="dxa"/>
              <w:left w:w="120" w:type="dxa"/>
              <w:bottom w:w="80" w:type="dxa"/>
              <w:right w:w="120" w:type="dxa"/>
            </w:tcMar>
          </w:tcPr>
          <w:p w14:paraId="3C30F47B" w14:textId="77777777" w:rsidR="00C108C5" w:rsidRPr="009D323B" w:rsidRDefault="00000000">
            <w:r w:rsidRPr="009D323B">
              <w:rPr>
                <w:sz w:val="20"/>
                <w:szCs w:val="20"/>
              </w:rPr>
              <w:t>High</w:t>
            </w:r>
          </w:p>
        </w:tc>
        <w:tc>
          <w:tcPr>
            <w:tcW w:w="2340" w:type="dxa"/>
            <w:tcBorders>
              <w:top w:val="single" w:sz="1" w:space="0" w:color="CCCCCC"/>
              <w:left w:val="single" w:sz="1" w:space="0" w:color="CCCCCC"/>
              <w:bottom w:val="single" w:sz="1" w:space="0" w:color="CCCCCC"/>
              <w:right w:val="single" w:sz="1" w:space="0" w:color="CCCCCC"/>
            </w:tcBorders>
            <w:shd w:val="clear" w:color="auto" w:fill="F0F7FF"/>
            <w:tcMar>
              <w:top w:w="80" w:type="dxa"/>
              <w:left w:w="120" w:type="dxa"/>
              <w:bottom w:w="80" w:type="dxa"/>
              <w:right w:w="120" w:type="dxa"/>
            </w:tcMar>
          </w:tcPr>
          <w:p w14:paraId="3D1FF750" w14:textId="77777777" w:rsidR="00C108C5" w:rsidRPr="009D323B" w:rsidRDefault="00000000">
            <w:r w:rsidRPr="009D323B">
              <w:rPr>
                <w:sz w:val="20"/>
                <w:szCs w:val="20"/>
              </w:rPr>
              <w:t>Rehearsed Sacred mechanism generates deity archetypes through promotion sequence</w:t>
            </w:r>
          </w:p>
        </w:tc>
        <w:tc>
          <w:tcPr>
            <w:tcW w:w="4680" w:type="dxa"/>
            <w:tcBorders>
              <w:top w:val="single" w:sz="1" w:space="0" w:color="CCCCCC"/>
              <w:left w:val="single" w:sz="1" w:space="0" w:color="CCCCCC"/>
              <w:bottom w:val="single" w:sz="1" w:space="0" w:color="CCCCCC"/>
              <w:right w:val="single" w:sz="1" w:space="0" w:color="CCCCCC"/>
            </w:tcBorders>
            <w:shd w:val="clear" w:color="auto" w:fill="F0F7FF"/>
            <w:tcMar>
              <w:top w:w="80" w:type="dxa"/>
              <w:left w:w="120" w:type="dxa"/>
              <w:bottom w:w="80" w:type="dxa"/>
              <w:right w:w="120" w:type="dxa"/>
            </w:tcMar>
          </w:tcPr>
          <w:p w14:paraId="0E5F8FBB" w14:textId="77777777" w:rsidR="00C108C5" w:rsidRPr="009D323B" w:rsidRDefault="00000000">
            <w:r w:rsidRPr="009D323B">
              <w:rPr>
                <w:sz w:val="20"/>
                <w:szCs w:val="20"/>
              </w:rPr>
              <w:t>Paper on Rehearsed Sacred; cross-cultural burial and ancestor veneration record</w:t>
            </w:r>
          </w:p>
        </w:tc>
      </w:tr>
      <w:tr w:rsidR="00C108C5" w:rsidRPr="009D323B" w14:paraId="7CDA8FF1" w14:textId="77777777">
        <w:tc>
          <w:tcPr>
            <w:tcW w:w="2340" w:type="dxa"/>
            <w:tcBorders>
              <w:top w:val="single" w:sz="1" w:space="0" w:color="CCCCCC"/>
              <w:left w:val="single" w:sz="1" w:space="0" w:color="CCCCCC"/>
              <w:bottom w:val="single" w:sz="1" w:space="0" w:color="CCCCCC"/>
              <w:right w:val="single" w:sz="1" w:space="0" w:color="CCCCCC"/>
            </w:tcBorders>
            <w:shd w:val="clear" w:color="auto" w:fill="F0F7FF"/>
            <w:tcMar>
              <w:top w:w="80" w:type="dxa"/>
              <w:left w:w="120" w:type="dxa"/>
              <w:bottom w:w="80" w:type="dxa"/>
              <w:right w:w="120" w:type="dxa"/>
            </w:tcMar>
          </w:tcPr>
          <w:p w14:paraId="0DF4A76B" w14:textId="77777777" w:rsidR="00C108C5" w:rsidRPr="009D323B" w:rsidRDefault="00000000">
            <w:r w:rsidRPr="009D323B">
              <w:rPr>
                <w:sz w:val="20"/>
                <w:szCs w:val="20"/>
              </w:rPr>
              <w:t>High</w:t>
            </w:r>
          </w:p>
        </w:tc>
        <w:tc>
          <w:tcPr>
            <w:tcW w:w="2340" w:type="dxa"/>
            <w:tcBorders>
              <w:top w:val="single" w:sz="1" w:space="0" w:color="CCCCCC"/>
              <w:left w:val="single" w:sz="1" w:space="0" w:color="CCCCCC"/>
              <w:bottom w:val="single" w:sz="1" w:space="0" w:color="CCCCCC"/>
              <w:right w:val="single" w:sz="1" w:space="0" w:color="CCCCCC"/>
            </w:tcBorders>
            <w:shd w:val="clear" w:color="auto" w:fill="F0F7FF"/>
            <w:tcMar>
              <w:top w:w="80" w:type="dxa"/>
              <w:left w:w="120" w:type="dxa"/>
              <w:bottom w:w="80" w:type="dxa"/>
              <w:right w:w="120" w:type="dxa"/>
            </w:tcMar>
          </w:tcPr>
          <w:p w14:paraId="7DC7773B" w14:textId="77777777" w:rsidR="00C108C5" w:rsidRPr="009D323B" w:rsidRDefault="00000000">
            <w:r w:rsidRPr="009D323B">
              <w:rPr>
                <w:sz w:val="20"/>
                <w:szCs w:val="20"/>
              </w:rPr>
              <w:t>Gujarat coastal lowlands were habitable terrain submerged by post-LGM sea level rise</w:t>
            </w:r>
          </w:p>
        </w:tc>
        <w:tc>
          <w:tcPr>
            <w:tcW w:w="4680" w:type="dxa"/>
            <w:tcBorders>
              <w:top w:val="single" w:sz="1" w:space="0" w:color="CCCCCC"/>
              <w:left w:val="single" w:sz="1" w:space="0" w:color="CCCCCC"/>
              <w:bottom w:val="single" w:sz="1" w:space="0" w:color="CCCCCC"/>
              <w:right w:val="single" w:sz="1" w:space="0" w:color="CCCCCC"/>
            </w:tcBorders>
            <w:shd w:val="clear" w:color="auto" w:fill="F0F7FF"/>
            <w:tcMar>
              <w:top w:w="80" w:type="dxa"/>
              <w:left w:w="120" w:type="dxa"/>
              <w:bottom w:w="80" w:type="dxa"/>
              <w:right w:w="120" w:type="dxa"/>
            </w:tcMar>
          </w:tcPr>
          <w:p w14:paraId="68360E96" w14:textId="77777777" w:rsidR="00C108C5" w:rsidRPr="009D323B" w:rsidRDefault="00000000">
            <w:r w:rsidRPr="009D323B">
              <w:rPr>
                <w:sz w:val="20"/>
                <w:szCs w:val="20"/>
              </w:rPr>
              <w:t>GKCC paper; independent geological record; published SLIPs data</w:t>
            </w:r>
          </w:p>
        </w:tc>
      </w:tr>
      <w:tr w:rsidR="00C108C5" w:rsidRPr="009D323B" w14:paraId="5BF3A454" w14:textId="77777777">
        <w:tc>
          <w:tcPr>
            <w:tcW w:w="2340" w:type="dxa"/>
            <w:tcBorders>
              <w:top w:val="single" w:sz="1" w:space="0" w:color="CCCCCC"/>
              <w:left w:val="single" w:sz="1" w:space="0" w:color="CCCCCC"/>
              <w:bottom w:val="single" w:sz="1" w:space="0" w:color="CCCCCC"/>
              <w:right w:val="single" w:sz="1" w:space="0" w:color="CCCCCC"/>
            </w:tcBorders>
            <w:shd w:val="clear" w:color="auto" w:fill="FFFBF0"/>
            <w:tcMar>
              <w:top w:w="80" w:type="dxa"/>
              <w:left w:w="120" w:type="dxa"/>
              <w:bottom w:w="80" w:type="dxa"/>
              <w:right w:w="120" w:type="dxa"/>
            </w:tcMar>
          </w:tcPr>
          <w:p w14:paraId="67D10FA1" w14:textId="77777777" w:rsidR="00C108C5" w:rsidRPr="009D323B" w:rsidRDefault="00000000">
            <w:r w:rsidRPr="009D323B">
              <w:rPr>
                <w:sz w:val="20"/>
                <w:szCs w:val="20"/>
              </w:rPr>
              <w:t>Medium</w:t>
            </w:r>
          </w:p>
        </w:tc>
        <w:tc>
          <w:tcPr>
            <w:tcW w:w="2340" w:type="dxa"/>
            <w:tcBorders>
              <w:top w:val="single" w:sz="1" w:space="0" w:color="CCCCCC"/>
              <w:left w:val="single" w:sz="1" w:space="0" w:color="CCCCCC"/>
              <w:bottom w:val="single" w:sz="1" w:space="0" w:color="CCCCCC"/>
              <w:right w:val="single" w:sz="1" w:space="0" w:color="CCCCCC"/>
            </w:tcBorders>
            <w:shd w:val="clear" w:color="auto" w:fill="FFFBF0"/>
            <w:tcMar>
              <w:top w:w="80" w:type="dxa"/>
              <w:left w:w="120" w:type="dxa"/>
              <w:bottom w:w="80" w:type="dxa"/>
              <w:right w:w="120" w:type="dxa"/>
            </w:tcMar>
          </w:tcPr>
          <w:p w14:paraId="5A516FB9" w14:textId="77777777" w:rsidR="00C108C5" w:rsidRPr="009D323B" w:rsidRDefault="00000000">
            <w:r w:rsidRPr="009D323B">
              <w:rPr>
                <w:sz w:val="20"/>
                <w:szCs w:val="20"/>
              </w:rPr>
              <w:t>Displaced coastal populations contributed symbolic infrastructure to IVC emergence</w:t>
            </w:r>
          </w:p>
        </w:tc>
        <w:tc>
          <w:tcPr>
            <w:tcW w:w="4680" w:type="dxa"/>
            <w:tcBorders>
              <w:top w:val="single" w:sz="1" w:space="0" w:color="CCCCCC"/>
              <w:left w:val="single" w:sz="1" w:space="0" w:color="CCCCCC"/>
              <w:bottom w:val="single" w:sz="1" w:space="0" w:color="CCCCCC"/>
              <w:right w:val="single" w:sz="1" w:space="0" w:color="CCCCCC"/>
            </w:tcBorders>
            <w:shd w:val="clear" w:color="auto" w:fill="FFFBF0"/>
            <w:tcMar>
              <w:top w:w="80" w:type="dxa"/>
              <w:left w:w="120" w:type="dxa"/>
              <w:bottom w:w="80" w:type="dxa"/>
              <w:right w:w="120" w:type="dxa"/>
            </w:tcMar>
          </w:tcPr>
          <w:p w14:paraId="0137FD0E" w14:textId="77777777" w:rsidR="00C108C5" w:rsidRPr="009D323B" w:rsidRDefault="00000000">
            <w:r w:rsidRPr="009D323B">
              <w:rPr>
                <w:sz w:val="20"/>
                <w:szCs w:val="20"/>
              </w:rPr>
              <w:t>GKCC paper; Persian Gulf Oasis analog; Toba dispersal analog; IVC anomalous complexity</w:t>
            </w:r>
          </w:p>
        </w:tc>
      </w:tr>
      <w:tr w:rsidR="00C108C5" w:rsidRPr="009D323B" w14:paraId="2DEC43AA" w14:textId="77777777">
        <w:tc>
          <w:tcPr>
            <w:tcW w:w="2340" w:type="dxa"/>
            <w:tcBorders>
              <w:top w:val="single" w:sz="1" w:space="0" w:color="CCCCCC"/>
              <w:left w:val="single" w:sz="1" w:space="0" w:color="CCCCCC"/>
              <w:bottom w:val="single" w:sz="1" w:space="0" w:color="CCCCCC"/>
              <w:right w:val="single" w:sz="1" w:space="0" w:color="CCCCCC"/>
            </w:tcBorders>
            <w:shd w:val="clear" w:color="auto" w:fill="FFFBF0"/>
            <w:tcMar>
              <w:top w:w="80" w:type="dxa"/>
              <w:left w:w="120" w:type="dxa"/>
              <w:bottom w:w="80" w:type="dxa"/>
              <w:right w:w="120" w:type="dxa"/>
            </w:tcMar>
          </w:tcPr>
          <w:p w14:paraId="2CF404BB" w14:textId="77777777" w:rsidR="00C108C5" w:rsidRPr="009D323B" w:rsidRDefault="00000000">
            <w:r w:rsidRPr="009D323B">
              <w:rPr>
                <w:sz w:val="20"/>
                <w:szCs w:val="20"/>
              </w:rPr>
              <w:t>Medium</w:t>
            </w:r>
          </w:p>
        </w:tc>
        <w:tc>
          <w:tcPr>
            <w:tcW w:w="2340" w:type="dxa"/>
            <w:tcBorders>
              <w:top w:val="single" w:sz="1" w:space="0" w:color="CCCCCC"/>
              <w:left w:val="single" w:sz="1" w:space="0" w:color="CCCCCC"/>
              <w:bottom w:val="single" w:sz="1" w:space="0" w:color="CCCCCC"/>
              <w:right w:val="single" w:sz="1" w:space="0" w:color="CCCCCC"/>
            </w:tcBorders>
            <w:shd w:val="clear" w:color="auto" w:fill="FFFBF0"/>
            <w:tcMar>
              <w:top w:w="80" w:type="dxa"/>
              <w:left w:w="120" w:type="dxa"/>
              <w:bottom w:w="80" w:type="dxa"/>
              <w:right w:w="120" w:type="dxa"/>
            </w:tcMar>
          </w:tcPr>
          <w:p w14:paraId="2866538D" w14:textId="77777777" w:rsidR="00C108C5" w:rsidRPr="009D323B" w:rsidRDefault="00000000">
            <w:r w:rsidRPr="009D323B">
              <w:rPr>
                <w:sz w:val="20"/>
                <w:szCs w:val="20"/>
              </w:rPr>
              <w:t xml:space="preserve">Pashupati figure encodes a </w:t>
            </w:r>
            <w:proofErr w:type="spellStart"/>
            <w:r w:rsidRPr="009D323B">
              <w:rPr>
                <w:sz w:val="20"/>
                <w:szCs w:val="20"/>
              </w:rPr>
              <w:t>stabilised</w:t>
            </w:r>
            <w:proofErr w:type="spellEnd"/>
            <w:r w:rsidRPr="009D323B">
              <w:rPr>
                <w:sz w:val="20"/>
                <w:szCs w:val="20"/>
              </w:rPr>
              <w:t xml:space="preserve"> archetype continuous with Shaivite tradition</w:t>
            </w:r>
          </w:p>
        </w:tc>
        <w:tc>
          <w:tcPr>
            <w:tcW w:w="4680" w:type="dxa"/>
            <w:tcBorders>
              <w:top w:val="single" w:sz="1" w:space="0" w:color="CCCCCC"/>
              <w:left w:val="single" w:sz="1" w:space="0" w:color="CCCCCC"/>
              <w:bottom w:val="single" w:sz="1" w:space="0" w:color="CCCCCC"/>
              <w:right w:val="single" w:sz="1" w:space="0" w:color="CCCCCC"/>
            </w:tcBorders>
            <w:shd w:val="clear" w:color="auto" w:fill="FFFBF0"/>
            <w:tcMar>
              <w:top w:w="80" w:type="dxa"/>
              <w:left w:w="120" w:type="dxa"/>
              <w:bottom w:w="80" w:type="dxa"/>
              <w:right w:w="120" w:type="dxa"/>
            </w:tcMar>
          </w:tcPr>
          <w:p w14:paraId="78A004FD" w14:textId="77777777" w:rsidR="00C108C5" w:rsidRPr="009D323B" w:rsidRDefault="00000000">
            <w:r w:rsidRPr="009D323B">
              <w:rPr>
                <w:sz w:val="20"/>
                <w:szCs w:val="20"/>
              </w:rPr>
              <w:t>Iconographic analysis; Rehearsed Sacred mechanism; Chaudhuri reframing</w:t>
            </w:r>
          </w:p>
        </w:tc>
      </w:tr>
      <w:tr w:rsidR="00C108C5" w:rsidRPr="009D323B" w14:paraId="1E81D61F" w14:textId="77777777">
        <w:tc>
          <w:tcPr>
            <w:tcW w:w="2340" w:type="dxa"/>
            <w:tcBorders>
              <w:top w:val="single" w:sz="1" w:space="0" w:color="CCCCCC"/>
              <w:left w:val="single" w:sz="1" w:space="0" w:color="CCCCCC"/>
              <w:bottom w:val="single" w:sz="1" w:space="0" w:color="CCCCCC"/>
              <w:right w:val="single" w:sz="1" w:space="0" w:color="CCCCCC"/>
            </w:tcBorders>
            <w:shd w:val="clear" w:color="auto" w:fill="FFF0F0"/>
            <w:tcMar>
              <w:top w:w="80" w:type="dxa"/>
              <w:left w:w="120" w:type="dxa"/>
              <w:bottom w:w="80" w:type="dxa"/>
              <w:right w:w="120" w:type="dxa"/>
            </w:tcMar>
          </w:tcPr>
          <w:p w14:paraId="5BEC9DDC" w14:textId="77777777" w:rsidR="00C108C5" w:rsidRPr="009D323B" w:rsidRDefault="00000000">
            <w:r w:rsidRPr="009D323B">
              <w:rPr>
                <w:sz w:val="20"/>
                <w:szCs w:val="20"/>
              </w:rPr>
              <w:t>Low / Hypothesis</w:t>
            </w:r>
          </w:p>
        </w:tc>
        <w:tc>
          <w:tcPr>
            <w:tcW w:w="2340" w:type="dxa"/>
            <w:tcBorders>
              <w:top w:val="single" w:sz="1" w:space="0" w:color="CCCCCC"/>
              <w:left w:val="single" w:sz="1" w:space="0" w:color="CCCCCC"/>
              <w:bottom w:val="single" w:sz="1" w:space="0" w:color="CCCCCC"/>
              <w:right w:val="single" w:sz="1" w:space="0" w:color="CCCCCC"/>
            </w:tcBorders>
            <w:shd w:val="clear" w:color="auto" w:fill="FFF0F0"/>
            <w:tcMar>
              <w:top w:w="80" w:type="dxa"/>
              <w:left w:w="120" w:type="dxa"/>
              <w:bottom w:w="80" w:type="dxa"/>
              <w:right w:w="120" w:type="dxa"/>
            </w:tcMar>
          </w:tcPr>
          <w:p w14:paraId="1F70D73E" w14:textId="77777777" w:rsidR="00C108C5" w:rsidRPr="009D323B" w:rsidRDefault="00000000">
            <w:proofErr w:type="spellStart"/>
            <w:r w:rsidRPr="009D323B">
              <w:rPr>
                <w:sz w:val="20"/>
                <w:szCs w:val="20"/>
              </w:rPr>
              <w:t>Sundaland</w:t>
            </w:r>
            <w:proofErr w:type="spellEnd"/>
            <w:r w:rsidRPr="009D323B">
              <w:rPr>
                <w:sz w:val="20"/>
                <w:szCs w:val="20"/>
              </w:rPr>
              <w:t xml:space="preserve"> populations contributed to South Asian symbolic convergence via Indian Ocean migration</w:t>
            </w:r>
          </w:p>
        </w:tc>
        <w:tc>
          <w:tcPr>
            <w:tcW w:w="4680" w:type="dxa"/>
            <w:tcBorders>
              <w:top w:val="single" w:sz="1" w:space="0" w:color="CCCCCC"/>
              <w:left w:val="single" w:sz="1" w:space="0" w:color="CCCCCC"/>
              <w:bottom w:val="single" w:sz="1" w:space="0" w:color="CCCCCC"/>
              <w:right w:val="single" w:sz="1" w:space="0" w:color="CCCCCC"/>
            </w:tcBorders>
            <w:shd w:val="clear" w:color="auto" w:fill="FFF0F0"/>
            <w:tcMar>
              <w:top w:w="80" w:type="dxa"/>
              <w:left w:w="120" w:type="dxa"/>
              <w:bottom w:w="80" w:type="dxa"/>
              <w:right w:w="120" w:type="dxa"/>
            </w:tcMar>
          </w:tcPr>
          <w:p w14:paraId="46FE2297" w14:textId="77777777" w:rsidR="00C108C5" w:rsidRPr="009D323B" w:rsidRDefault="00000000">
            <w:r w:rsidRPr="009D323B">
              <w:rPr>
                <w:sz w:val="20"/>
                <w:szCs w:val="20"/>
              </w:rPr>
              <w:t xml:space="preserve">Indonesia Paper 36; </w:t>
            </w:r>
            <w:proofErr w:type="spellStart"/>
            <w:r w:rsidRPr="009D323B">
              <w:rPr>
                <w:sz w:val="20"/>
                <w:szCs w:val="20"/>
              </w:rPr>
              <w:t>Sundaland</w:t>
            </w:r>
            <w:proofErr w:type="spellEnd"/>
            <w:r w:rsidRPr="009D323B">
              <w:rPr>
                <w:sz w:val="20"/>
                <w:szCs w:val="20"/>
              </w:rPr>
              <w:t xml:space="preserve"> geology; plausible but unverified without submerged site excavation</w:t>
            </w:r>
          </w:p>
        </w:tc>
      </w:tr>
      <w:tr w:rsidR="00C108C5" w:rsidRPr="009D323B" w14:paraId="62168E1A" w14:textId="77777777">
        <w:tc>
          <w:tcPr>
            <w:tcW w:w="2340" w:type="dxa"/>
            <w:tcBorders>
              <w:top w:val="single" w:sz="1" w:space="0" w:color="CCCCCC"/>
              <w:left w:val="single" w:sz="1" w:space="0" w:color="CCCCCC"/>
              <w:bottom w:val="single" w:sz="1" w:space="0" w:color="CCCCCC"/>
              <w:right w:val="single" w:sz="1" w:space="0" w:color="CCCCCC"/>
            </w:tcBorders>
            <w:shd w:val="clear" w:color="auto" w:fill="FFF0F0"/>
            <w:tcMar>
              <w:top w:w="80" w:type="dxa"/>
              <w:left w:w="120" w:type="dxa"/>
              <w:bottom w:w="80" w:type="dxa"/>
              <w:right w:w="120" w:type="dxa"/>
            </w:tcMar>
          </w:tcPr>
          <w:p w14:paraId="76001FE0" w14:textId="77777777" w:rsidR="00C108C5" w:rsidRPr="009D323B" w:rsidRDefault="00000000">
            <w:r w:rsidRPr="009D323B">
              <w:rPr>
                <w:sz w:val="20"/>
                <w:szCs w:val="20"/>
              </w:rPr>
              <w:t>Low / Hypothesis</w:t>
            </w:r>
          </w:p>
        </w:tc>
        <w:tc>
          <w:tcPr>
            <w:tcW w:w="2340" w:type="dxa"/>
            <w:tcBorders>
              <w:top w:val="single" w:sz="1" w:space="0" w:color="CCCCCC"/>
              <w:left w:val="single" w:sz="1" w:space="0" w:color="CCCCCC"/>
              <w:bottom w:val="single" w:sz="1" w:space="0" w:color="CCCCCC"/>
              <w:right w:val="single" w:sz="1" w:space="0" w:color="CCCCCC"/>
            </w:tcBorders>
            <w:shd w:val="clear" w:color="auto" w:fill="FFF0F0"/>
            <w:tcMar>
              <w:top w:w="80" w:type="dxa"/>
              <w:left w:w="120" w:type="dxa"/>
              <w:bottom w:w="80" w:type="dxa"/>
              <w:right w:w="120" w:type="dxa"/>
            </w:tcMar>
          </w:tcPr>
          <w:p w14:paraId="7DD3D28D" w14:textId="77777777" w:rsidR="00C108C5" w:rsidRPr="009D323B" w:rsidRDefault="00000000">
            <w:r w:rsidRPr="009D323B">
              <w:rPr>
                <w:sz w:val="20"/>
                <w:szCs w:val="20"/>
              </w:rPr>
              <w:t>Proto-Shiva worship existed in the IVC world in a form traceable to pre-Toba symbolic traditions</w:t>
            </w:r>
          </w:p>
        </w:tc>
        <w:tc>
          <w:tcPr>
            <w:tcW w:w="4680" w:type="dxa"/>
            <w:tcBorders>
              <w:top w:val="single" w:sz="1" w:space="0" w:color="CCCCCC"/>
              <w:left w:val="single" w:sz="1" w:space="0" w:color="CCCCCC"/>
              <w:bottom w:val="single" w:sz="1" w:space="0" w:color="CCCCCC"/>
              <w:right w:val="single" w:sz="1" w:space="0" w:color="CCCCCC"/>
            </w:tcBorders>
            <w:shd w:val="clear" w:color="auto" w:fill="FFF0F0"/>
            <w:tcMar>
              <w:top w:w="80" w:type="dxa"/>
              <w:left w:w="120" w:type="dxa"/>
              <w:bottom w:w="80" w:type="dxa"/>
              <w:right w:w="120" w:type="dxa"/>
            </w:tcMar>
          </w:tcPr>
          <w:p w14:paraId="424166EE" w14:textId="77777777" w:rsidR="00C108C5" w:rsidRPr="009D323B" w:rsidRDefault="00000000">
            <w:r w:rsidRPr="009D323B">
              <w:rPr>
                <w:sz w:val="20"/>
                <w:szCs w:val="20"/>
              </w:rPr>
              <w:t>Synthesis of above; structurally consistent with all evidence; unverifiable without decipherment or new excavation</w:t>
            </w:r>
          </w:p>
        </w:tc>
      </w:tr>
    </w:tbl>
    <w:p w14:paraId="59B7B8ED" w14:textId="77777777" w:rsidR="00305547" w:rsidRPr="009D323B" w:rsidRDefault="00305547">
      <w:pPr>
        <w:pStyle w:val="Heading1"/>
        <w:rPr>
          <w:color w:val="auto"/>
        </w:rPr>
      </w:pPr>
    </w:p>
    <w:p w14:paraId="16566CE4" w14:textId="2A7B5D51" w:rsidR="00C108C5" w:rsidRPr="009D323B" w:rsidRDefault="00000000">
      <w:pPr>
        <w:pStyle w:val="Heading1"/>
        <w:rPr>
          <w:color w:val="auto"/>
        </w:rPr>
      </w:pPr>
      <w:r w:rsidRPr="009D323B">
        <w:rPr>
          <w:color w:val="auto"/>
        </w:rPr>
        <w:lastRenderedPageBreak/>
        <w:t>7. Research Agenda</w:t>
      </w:r>
    </w:p>
    <w:p w14:paraId="0C9C1A75" w14:textId="77777777" w:rsidR="00C108C5" w:rsidRPr="009D323B" w:rsidRDefault="00000000">
      <w:pPr>
        <w:spacing w:before="80" w:after="80" w:line="320" w:lineRule="auto"/>
        <w:jc w:val="both"/>
      </w:pPr>
      <w:r w:rsidRPr="009D323B">
        <w:t>The hypothesis advanced here generates the following specific and falsifiable research predictions:</w:t>
      </w:r>
    </w:p>
    <w:p w14:paraId="5BAFB3BF" w14:textId="77777777" w:rsidR="00C108C5" w:rsidRPr="009D323B" w:rsidRDefault="00000000">
      <w:pPr>
        <w:pStyle w:val="ListParagraph"/>
        <w:numPr>
          <w:ilvl w:val="0"/>
          <w:numId w:val="2"/>
        </w:numPr>
        <w:spacing w:before="60" w:after="60" w:line="300" w:lineRule="auto"/>
      </w:pPr>
      <w:r w:rsidRPr="009D323B">
        <w:t>Controlled underwater excavation of the Gulf of Khambhat structural features would either confirm or falsify the displaced coastal population hypothesis and with it the symbolic contribution argument</w:t>
      </w:r>
    </w:p>
    <w:p w14:paraId="7E8F9DE5" w14:textId="77777777" w:rsidR="00C108C5" w:rsidRPr="009D323B" w:rsidRDefault="00000000">
      <w:pPr>
        <w:pStyle w:val="ListParagraph"/>
        <w:numPr>
          <w:ilvl w:val="0"/>
          <w:numId w:val="2"/>
        </w:numPr>
        <w:spacing w:before="60" w:after="60" w:line="300" w:lineRule="auto"/>
      </w:pPr>
      <w:r w:rsidRPr="009D323B">
        <w:t xml:space="preserve">Systematic analysis of IVC seal iconographic corpus for recurrent posture, animal association, and spatial grammar types would either confirm or challenge the </w:t>
      </w:r>
      <w:proofErr w:type="spellStart"/>
      <w:r w:rsidRPr="009D323B">
        <w:t>stabilised</w:t>
      </w:r>
      <w:proofErr w:type="spellEnd"/>
      <w:r w:rsidRPr="009D323B">
        <w:t xml:space="preserve"> archetype argument without requiring script decipherment</w:t>
      </w:r>
    </w:p>
    <w:p w14:paraId="66A94F87" w14:textId="77777777" w:rsidR="00C108C5" w:rsidRPr="009D323B" w:rsidRDefault="00000000">
      <w:pPr>
        <w:pStyle w:val="ListParagraph"/>
        <w:numPr>
          <w:ilvl w:val="0"/>
          <w:numId w:val="2"/>
        </w:numPr>
        <w:spacing w:before="60" w:after="60" w:line="300" w:lineRule="auto"/>
      </w:pPr>
      <w:r w:rsidRPr="009D323B">
        <w:t xml:space="preserve">Genetic analysis of Vedda populations of Sri Lanka for Denisovan admixture and population continuity markers would establish or challenge the </w:t>
      </w:r>
      <w:proofErr w:type="spellStart"/>
      <w:r w:rsidRPr="009D323B">
        <w:t>Balangoda</w:t>
      </w:r>
      <w:proofErr w:type="spellEnd"/>
      <w:r w:rsidRPr="009D323B">
        <w:t xml:space="preserve"> Man to IVC symbolic continuity hypothesis</w:t>
      </w:r>
    </w:p>
    <w:p w14:paraId="085CD91F" w14:textId="77777777" w:rsidR="00C108C5" w:rsidRPr="009D323B" w:rsidRDefault="00000000">
      <w:pPr>
        <w:pStyle w:val="ListParagraph"/>
        <w:numPr>
          <w:ilvl w:val="0"/>
          <w:numId w:val="2"/>
        </w:numPr>
        <w:spacing w:before="60" w:after="60" w:line="300" w:lineRule="auto"/>
      </w:pPr>
      <w:r w:rsidRPr="009D323B">
        <w:t>Submerged site survey of the Bay of Bengal and Andaman Sea transitional zone for evidence of post-</w:t>
      </w:r>
      <w:proofErr w:type="spellStart"/>
      <w:r w:rsidRPr="009D323B">
        <w:t>Sundaland</w:t>
      </w:r>
      <w:proofErr w:type="spellEnd"/>
      <w:r w:rsidRPr="009D323B">
        <w:t xml:space="preserve"> population movement toward South Asia</w:t>
      </w:r>
    </w:p>
    <w:p w14:paraId="6D021D07" w14:textId="77777777" w:rsidR="00C108C5" w:rsidRPr="009D323B" w:rsidRDefault="00000000">
      <w:pPr>
        <w:pStyle w:val="ListParagraph"/>
        <w:numPr>
          <w:ilvl w:val="0"/>
          <w:numId w:val="2"/>
        </w:numPr>
        <w:spacing w:before="60" w:after="60" w:line="300" w:lineRule="auto"/>
      </w:pPr>
      <w:r w:rsidRPr="009D323B">
        <w:t xml:space="preserve">Comparative iconographic analysis of Shaivite </w:t>
      </w:r>
      <w:proofErr w:type="spellStart"/>
      <w:r w:rsidRPr="009D323B">
        <w:t>svayambhu</w:t>
      </w:r>
      <w:proofErr w:type="spellEnd"/>
      <w:r w:rsidRPr="009D323B">
        <w:t xml:space="preserve"> site founding narratives across the Indian Ocean world — Borra Caves, </w:t>
      </w:r>
      <w:proofErr w:type="spellStart"/>
      <w:r w:rsidRPr="009D323B">
        <w:t>Gombeshwar</w:t>
      </w:r>
      <w:proofErr w:type="spellEnd"/>
      <w:r w:rsidRPr="009D323B">
        <w:t>, and analogous sites — for structural patterns consistent with a shared symbolic recognition protocol</w:t>
      </w:r>
    </w:p>
    <w:p w14:paraId="05207A2D" w14:textId="77777777" w:rsidR="00C108C5" w:rsidRPr="009D323B" w:rsidRDefault="00000000">
      <w:pPr>
        <w:pStyle w:val="Heading1"/>
        <w:rPr>
          <w:color w:val="auto"/>
        </w:rPr>
      </w:pPr>
      <w:r w:rsidRPr="009D323B">
        <w:rPr>
          <w:color w:val="auto"/>
        </w:rPr>
        <w:t>8. SDG Alignment</w:t>
      </w:r>
    </w:p>
    <w:p w14:paraId="49FBC1BA" w14:textId="77777777" w:rsidR="00C108C5" w:rsidRPr="009D323B" w:rsidRDefault="00000000">
      <w:pPr>
        <w:pStyle w:val="ListParagraph"/>
        <w:numPr>
          <w:ilvl w:val="0"/>
          <w:numId w:val="2"/>
        </w:numPr>
        <w:spacing w:before="60" w:after="60" w:line="300" w:lineRule="auto"/>
      </w:pPr>
      <w:r w:rsidRPr="009D323B">
        <w:t>SDG 4 (Quality Education): Recovering the deep-time roots of South Asian religious tradition contributes to more accurate and inclusive global cultural history</w:t>
      </w:r>
    </w:p>
    <w:p w14:paraId="5A43CAF2" w14:textId="77777777" w:rsidR="00C108C5" w:rsidRPr="009D323B" w:rsidRDefault="00000000">
      <w:pPr>
        <w:pStyle w:val="ListParagraph"/>
        <w:numPr>
          <w:ilvl w:val="0"/>
          <w:numId w:val="2"/>
        </w:numPr>
        <w:spacing w:before="60" w:after="60" w:line="300" w:lineRule="auto"/>
      </w:pPr>
      <w:r w:rsidRPr="009D323B">
        <w:t xml:space="preserve">SDG 10 (Reduced Inequalities): Establishing the Dravidian symbolic world as a deep origin culture of global significance addresses systematic underrepresentation in </w:t>
      </w:r>
      <w:proofErr w:type="spellStart"/>
      <w:r w:rsidRPr="009D323B">
        <w:t>civilisational</w:t>
      </w:r>
      <w:proofErr w:type="spellEnd"/>
      <w:r w:rsidRPr="009D323B">
        <w:t xml:space="preserve"> origin narratives</w:t>
      </w:r>
    </w:p>
    <w:p w14:paraId="75CD7F9A" w14:textId="77777777" w:rsidR="00C108C5" w:rsidRPr="009D323B" w:rsidRDefault="00000000">
      <w:pPr>
        <w:pStyle w:val="ListParagraph"/>
        <w:numPr>
          <w:ilvl w:val="0"/>
          <w:numId w:val="2"/>
        </w:numPr>
        <w:spacing w:before="60" w:after="60" w:line="300" w:lineRule="auto"/>
      </w:pPr>
      <w:r w:rsidRPr="009D323B">
        <w:t>SDG 11 (Sustainable Cities and Communities): Understanding how ancient coastal populations responded to catastrophic sea level displacement provides models relevant to contemporary climate-vulnerable coastal communities</w:t>
      </w:r>
    </w:p>
    <w:p w14:paraId="67A5210B" w14:textId="77777777" w:rsidR="00C108C5" w:rsidRPr="009D323B" w:rsidRDefault="00000000">
      <w:pPr>
        <w:pStyle w:val="ListParagraph"/>
        <w:numPr>
          <w:ilvl w:val="0"/>
          <w:numId w:val="2"/>
        </w:numPr>
        <w:spacing w:before="60" w:after="60" w:line="300" w:lineRule="auto"/>
      </w:pPr>
      <w:r w:rsidRPr="009D323B">
        <w:t xml:space="preserve">SDG 13 (Climate Action): The paper documents </w:t>
      </w:r>
      <w:proofErr w:type="spellStart"/>
      <w:r w:rsidRPr="009D323B">
        <w:t>civilisational</w:t>
      </w:r>
      <w:proofErr w:type="spellEnd"/>
      <w:r w:rsidRPr="009D323B">
        <w:t xml:space="preserve"> consequences of climatic stress — Toba, post-LGM inundation, IVC climate decline — as a long-term record relevant to current climate discourse</w:t>
      </w:r>
    </w:p>
    <w:p w14:paraId="44F184A1" w14:textId="77777777" w:rsidR="00C108C5" w:rsidRPr="009D323B" w:rsidRDefault="00000000">
      <w:pPr>
        <w:pStyle w:val="ListParagraph"/>
        <w:numPr>
          <w:ilvl w:val="0"/>
          <w:numId w:val="2"/>
        </w:numPr>
        <w:spacing w:before="60" w:after="60" w:line="300" w:lineRule="auto"/>
      </w:pPr>
      <w:r w:rsidRPr="009D323B">
        <w:t>SDG 17 (Partnerships for the Goals): The research agenda requires international archaeological collaboration across India, Sri Lanka, Indonesia, and Kenya</w:t>
      </w:r>
    </w:p>
    <w:p w14:paraId="0845CBBB" w14:textId="77777777" w:rsidR="00305547" w:rsidRPr="009D323B" w:rsidRDefault="00305547">
      <w:pPr>
        <w:pStyle w:val="Heading1"/>
        <w:rPr>
          <w:color w:val="auto"/>
        </w:rPr>
      </w:pPr>
    </w:p>
    <w:p w14:paraId="7ECFA866" w14:textId="77777777" w:rsidR="00305547" w:rsidRPr="009D323B" w:rsidRDefault="00305547">
      <w:pPr>
        <w:pStyle w:val="Heading1"/>
        <w:rPr>
          <w:color w:val="auto"/>
        </w:rPr>
      </w:pPr>
    </w:p>
    <w:p w14:paraId="600F59AB" w14:textId="77777777" w:rsidR="00305547" w:rsidRPr="009D323B" w:rsidRDefault="00305547">
      <w:pPr>
        <w:pStyle w:val="Heading1"/>
        <w:rPr>
          <w:color w:val="auto"/>
        </w:rPr>
      </w:pPr>
    </w:p>
    <w:p w14:paraId="0079E1F8" w14:textId="7F7C5680" w:rsidR="00C108C5" w:rsidRPr="009D323B" w:rsidRDefault="00000000">
      <w:pPr>
        <w:pStyle w:val="Heading1"/>
        <w:rPr>
          <w:color w:val="auto"/>
        </w:rPr>
      </w:pPr>
      <w:r w:rsidRPr="009D323B">
        <w:rPr>
          <w:color w:val="auto"/>
        </w:rPr>
        <w:lastRenderedPageBreak/>
        <w:t>9. Conclusion</w:t>
      </w:r>
    </w:p>
    <w:p w14:paraId="5EDE9386" w14:textId="77777777" w:rsidR="00C108C5" w:rsidRPr="009D323B" w:rsidRDefault="00000000">
      <w:pPr>
        <w:spacing w:before="80" w:after="80" w:line="320" w:lineRule="auto"/>
        <w:jc w:val="both"/>
      </w:pPr>
      <w:r w:rsidRPr="009D323B">
        <w:t>The Pashupati seal has been caught in the wrong debate for nearly a century. The question of whether it depicts the Shiva of the Puranas is unanswerable and, more importantly, uninteresting. The Puranas are medieval. The seal is Bronze Age. No amount of iconographic comparison across that temporal gap will resolve a question that depends on the content of an undeciphered script.</w:t>
      </w:r>
    </w:p>
    <w:p w14:paraId="1BCE70DF" w14:textId="77777777" w:rsidR="00C108C5" w:rsidRPr="009D323B" w:rsidRDefault="00000000">
      <w:pPr>
        <w:spacing w:before="80" w:after="80" w:line="320" w:lineRule="auto"/>
        <w:jc w:val="both"/>
      </w:pPr>
      <w:r w:rsidRPr="009D323B">
        <w:t xml:space="preserve">The productive question is different: what </w:t>
      </w:r>
      <w:proofErr w:type="spellStart"/>
      <w:r w:rsidRPr="009D323B">
        <w:t>stabilised</w:t>
      </w:r>
      <w:proofErr w:type="spellEnd"/>
      <w:r w:rsidRPr="009D323B">
        <w:t xml:space="preserve"> symbolic archetype does the figure encode, and what tradition later </w:t>
      </w:r>
      <w:proofErr w:type="spellStart"/>
      <w:r w:rsidRPr="009D323B">
        <w:t>recognised</w:t>
      </w:r>
      <w:proofErr w:type="spellEnd"/>
      <w:r w:rsidRPr="009D323B">
        <w:t xml:space="preserve"> and absorbed it? The DSSM framework, applied to the IVC seal corpus, establishes that decipherment is irrelevant to iconographic analysis — the seals are icons, not text, and their visual content is readable on its own terms. The Rehearsed Sacred mechanism establishes that the late appearance of Shiva's attributes in the textual record is not evidence against deep-time rehearsal — it is evidence that the tradition was successfully transmitted orally and ritually for two thousand years before anyone wrote it down. The Gulf of Khambhat geology establishes that a displaced coastal population carrying accumulated symbolic infrastructure contributed to IVC's anomalous emergence. And the Indonesian cave art record anchors symbolic </w:t>
      </w:r>
      <w:proofErr w:type="spellStart"/>
      <w:r w:rsidRPr="009D323B">
        <w:t>stabilisation</w:t>
      </w:r>
      <w:proofErr w:type="spellEnd"/>
      <w:r w:rsidRPr="009D323B">
        <w:t xml:space="preserve"> in the South and Southeast Asian world at 67,800 years before the present.</w:t>
      </w:r>
    </w:p>
    <w:p w14:paraId="59CCDD3F" w14:textId="77777777" w:rsidR="00C108C5" w:rsidRPr="009D323B" w:rsidRDefault="00000000">
      <w:pPr>
        <w:spacing w:before="80" w:after="80" w:line="320" w:lineRule="auto"/>
        <w:jc w:val="both"/>
      </w:pPr>
      <w:r w:rsidRPr="009D323B">
        <w:t xml:space="preserve">None of this proves proto-Shiva worship in the IVC. It establishes that the evidence is structurally consistent with a </w:t>
      </w:r>
      <w:proofErr w:type="spellStart"/>
      <w:r w:rsidRPr="009D323B">
        <w:t>stabilised</w:t>
      </w:r>
      <w:proofErr w:type="spellEnd"/>
      <w:r w:rsidRPr="009D323B">
        <w:t xml:space="preserve"> deity archetype of significant temporal depth — a seated, yogic, animal-lord figure, rehearsed across generations, carried through displacement and demographic pressure, and eventually </w:t>
      </w:r>
      <w:proofErr w:type="spellStart"/>
      <w:r w:rsidRPr="009D323B">
        <w:t>formalised</w:t>
      </w:r>
      <w:proofErr w:type="spellEnd"/>
      <w:r w:rsidRPr="009D323B">
        <w:t xml:space="preserve"> in the Shaivite tradition at the point when institutional complexity demanded it be written down.</w:t>
      </w:r>
    </w:p>
    <w:p w14:paraId="2350A99B" w14:textId="77777777" w:rsidR="00C108C5" w:rsidRPr="009D323B" w:rsidRDefault="00000000">
      <w:pPr>
        <w:spacing w:before="80" w:after="80" w:line="320" w:lineRule="auto"/>
        <w:jc w:val="both"/>
      </w:pPr>
      <w:r w:rsidRPr="009D323B">
        <w:t>The archetype was not invented by the Puranas. It was finally named there. The rehearsal had been running for a very long time before that.</w:t>
      </w:r>
    </w:p>
    <w:p w14:paraId="6887727A" w14:textId="77777777" w:rsidR="00C108C5" w:rsidRPr="009D323B" w:rsidRDefault="00C108C5">
      <w:pPr>
        <w:pBdr>
          <w:bottom w:val="single" w:sz="4" w:space="1" w:color="2E5FA3"/>
        </w:pBdr>
        <w:spacing w:before="120" w:after="120"/>
      </w:pPr>
    </w:p>
    <w:p w14:paraId="2F3FA3FD" w14:textId="77777777" w:rsidR="00C108C5" w:rsidRPr="009D323B" w:rsidRDefault="00000000">
      <w:pPr>
        <w:pStyle w:val="Heading1"/>
        <w:rPr>
          <w:color w:val="auto"/>
        </w:rPr>
      </w:pPr>
      <w:r w:rsidRPr="009D323B">
        <w:rPr>
          <w:color w:val="auto"/>
        </w:rPr>
        <w:t>References</w:t>
      </w:r>
    </w:p>
    <w:p w14:paraId="3782E971" w14:textId="77777777" w:rsidR="00C108C5" w:rsidRPr="009D323B" w:rsidRDefault="00000000">
      <w:pPr>
        <w:spacing w:before="80" w:after="80" w:line="320" w:lineRule="auto"/>
        <w:jc w:val="both"/>
      </w:pPr>
      <w:r w:rsidRPr="009D323B">
        <w:t>Chaudhuri, N. (1951). Indus People and the Indus Religion I. [Review of Pashupati seal iconography.]</w:t>
      </w:r>
    </w:p>
    <w:p w14:paraId="3442674C" w14:textId="77777777" w:rsidR="00C108C5" w:rsidRPr="009D323B" w:rsidRDefault="00000000">
      <w:pPr>
        <w:spacing w:before="80" w:after="80" w:line="320" w:lineRule="auto"/>
        <w:jc w:val="both"/>
      </w:pPr>
      <w:r w:rsidRPr="009D323B">
        <w:t>Jarrige, J.-F., and Meadow, R. (2008). Mehrgarh: Field Reports and Excavation Summaries. CNRS Press.</w:t>
      </w:r>
    </w:p>
    <w:p w14:paraId="7281A0E1" w14:textId="77777777" w:rsidR="00C108C5" w:rsidRPr="009D323B" w:rsidRDefault="00000000">
      <w:pPr>
        <w:spacing w:before="80" w:after="80" w:line="320" w:lineRule="auto"/>
        <w:jc w:val="both"/>
      </w:pPr>
      <w:r w:rsidRPr="009D323B">
        <w:t>Kathiroli, S., et al. (2004). Recent Marine Archaeological Finds in the Gulf of Khambhat, India. Journal of Indian Ocean Archaeology, 1, 141–149.</w:t>
      </w:r>
    </w:p>
    <w:p w14:paraId="7205C282" w14:textId="77777777" w:rsidR="00C108C5" w:rsidRPr="009D323B" w:rsidRDefault="00000000">
      <w:pPr>
        <w:spacing w:before="80" w:after="80" w:line="320" w:lineRule="auto"/>
        <w:jc w:val="both"/>
      </w:pPr>
      <w:r w:rsidRPr="009D323B">
        <w:t>Kenoyer, J.M. (1998). Ancient Cities of the Indus Valley Civilization. Oxford University Press.</w:t>
      </w:r>
    </w:p>
    <w:p w14:paraId="6203EF48" w14:textId="77777777" w:rsidR="00C108C5" w:rsidRPr="009D323B" w:rsidRDefault="00000000">
      <w:pPr>
        <w:spacing w:before="80" w:after="80" w:line="320" w:lineRule="auto"/>
        <w:jc w:val="both"/>
      </w:pPr>
      <w:r w:rsidRPr="009D323B">
        <w:t xml:space="preserve">Marshall, J. (1931). Mohenjo-daro and the Indus Civilization. Arthur </w:t>
      </w:r>
      <w:proofErr w:type="spellStart"/>
      <w:r w:rsidRPr="009D323B">
        <w:t>Probsthain</w:t>
      </w:r>
      <w:proofErr w:type="spellEnd"/>
      <w:r w:rsidRPr="009D323B">
        <w:t>.</w:t>
      </w:r>
    </w:p>
    <w:p w14:paraId="4BFF9950" w14:textId="77777777" w:rsidR="00C108C5" w:rsidRPr="009D323B" w:rsidRDefault="00000000">
      <w:pPr>
        <w:spacing w:before="80" w:after="80" w:line="320" w:lineRule="auto"/>
        <w:jc w:val="both"/>
      </w:pPr>
      <w:r w:rsidRPr="009D323B">
        <w:lastRenderedPageBreak/>
        <w:t>Possehl, G.L. (2002). The Indus Civilization: A Contemporary Perspective. Rowman and Littlefield.</w:t>
      </w:r>
    </w:p>
    <w:p w14:paraId="27A96B14" w14:textId="77777777" w:rsidR="00C108C5" w:rsidRPr="009D323B" w:rsidRDefault="00000000">
      <w:pPr>
        <w:spacing w:before="80" w:after="80" w:line="320" w:lineRule="auto"/>
        <w:jc w:val="both"/>
      </w:pPr>
      <w:r w:rsidRPr="009D323B">
        <w:t>Vondoom, A. (2025a). The Deep Symbolic Systems Model (DSSM): A Cognitive-Ritual Framework for Early Monumentality and Cultural Continuity. OSF. https://doi.org/10.17605/OSF.IO/YW5GM</w:t>
      </w:r>
    </w:p>
    <w:p w14:paraId="297DB004" w14:textId="77777777" w:rsidR="00C108C5" w:rsidRPr="009D323B" w:rsidRDefault="00000000">
      <w:pPr>
        <w:spacing w:before="80" w:after="80" w:line="320" w:lineRule="auto"/>
        <w:jc w:val="both"/>
      </w:pPr>
      <w:r w:rsidRPr="009D323B">
        <w:t>Vondoom, A. (2025b). Cognitive Preconditions for the Deep Symbolic Systems Model (DSSM). OSF. https://doi.org/10.17605/OSF.IO/25AJW</w:t>
      </w:r>
    </w:p>
    <w:p w14:paraId="55D64372" w14:textId="77777777" w:rsidR="00C108C5" w:rsidRPr="009D323B" w:rsidRDefault="00000000">
      <w:pPr>
        <w:spacing w:before="80" w:after="80" w:line="320" w:lineRule="auto"/>
        <w:jc w:val="both"/>
      </w:pPr>
      <w:r w:rsidRPr="009D323B">
        <w:t xml:space="preserve">Vondoom, A. (2026a). Mehrgarh Culture and the Origins of Deep Symbolic Stabilization. </w:t>
      </w:r>
      <w:proofErr w:type="spellStart"/>
      <w:r w:rsidRPr="009D323B">
        <w:t>Figshare</w:t>
      </w:r>
      <w:proofErr w:type="spellEnd"/>
      <w:r w:rsidRPr="009D323B">
        <w:t>.</w:t>
      </w:r>
    </w:p>
    <w:p w14:paraId="17E65CE2" w14:textId="77777777" w:rsidR="00C108C5" w:rsidRPr="009D323B" w:rsidRDefault="00000000">
      <w:pPr>
        <w:spacing w:before="80" w:after="80" w:line="320" w:lineRule="auto"/>
        <w:jc w:val="both"/>
      </w:pPr>
      <w:r w:rsidRPr="009D323B">
        <w:t xml:space="preserve">Vondoom, A. (2026b). Cognitive Foundations of Early Indus Valley Civilization: Distributed Mercantile Symbolic Stabilization Along the Indus. </w:t>
      </w:r>
      <w:proofErr w:type="spellStart"/>
      <w:r w:rsidRPr="009D323B">
        <w:t>Zenodo</w:t>
      </w:r>
      <w:proofErr w:type="spellEnd"/>
      <w:r w:rsidRPr="009D323B">
        <w:t>. https://doi.org/10.5281/zenodo.18406654</w:t>
      </w:r>
    </w:p>
    <w:p w14:paraId="7B86163A" w14:textId="77777777" w:rsidR="00C108C5" w:rsidRPr="009D323B" w:rsidRDefault="00000000">
      <w:pPr>
        <w:spacing w:before="80" w:after="80" w:line="320" w:lineRule="auto"/>
        <w:jc w:val="both"/>
      </w:pPr>
      <w:r w:rsidRPr="009D323B">
        <w:t xml:space="preserve">Vondoom, A. (2026c). </w:t>
      </w:r>
      <w:proofErr w:type="spellStart"/>
      <w:r w:rsidRPr="009D323B">
        <w:t>Vinča</w:t>
      </w:r>
      <w:proofErr w:type="spellEnd"/>
      <w:r w:rsidRPr="009D323B">
        <w:t xml:space="preserve"> Symbols, Distributed Symbolic Stabilization, and the Contingent Emergence of Writing. </w:t>
      </w:r>
      <w:proofErr w:type="spellStart"/>
      <w:r w:rsidRPr="009D323B">
        <w:t>Zenodo</w:t>
      </w:r>
      <w:proofErr w:type="spellEnd"/>
      <w:r w:rsidRPr="009D323B">
        <w:t>. https://doi.org/10.5281/zenodo.18479570</w:t>
      </w:r>
    </w:p>
    <w:p w14:paraId="620F9DE3" w14:textId="77777777" w:rsidR="00C108C5" w:rsidRPr="009D323B" w:rsidRDefault="00000000">
      <w:pPr>
        <w:spacing w:before="80" w:after="80" w:line="320" w:lineRule="auto"/>
        <w:jc w:val="both"/>
      </w:pPr>
      <w:r w:rsidRPr="009D323B">
        <w:t xml:space="preserve">Vondoom, A. (2026d). The Rehearsed Sacred: Belief as the Cognitive Foundation of Human Civilization. </w:t>
      </w:r>
      <w:proofErr w:type="spellStart"/>
      <w:r w:rsidRPr="009D323B">
        <w:t>Zenodo</w:t>
      </w:r>
      <w:proofErr w:type="spellEnd"/>
      <w:r w:rsidRPr="009D323B">
        <w:t>. https://doi.org/10.5281/zenodo.19595013</w:t>
      </w:r>
    </w:p>
    <w:p w14:paraId="0C29002F" w14:textId="77777777" w:rsidR="00C108C5" w:rsidRPr="009D323B" w:rsidRDefault="00000000">
      <w:pPr>
        <w:spacing w:before="80" w:after="80" w:line="320" w:lineRule="auto"/>
        <w:jc w:val="both"/>
      </w:pPr>
      <w:r w:rsidRPr="009D323B">
        <w:t xml:space="preserve">Vondoom, A. (2026e). Before the Brick: The Gulf of Khambhat Cultural Complex, Post-LGM Coastal Displacement, and the Origins of Indus Valley Civilization Complexity. </w:t>
      </w:r>
      <w:proofErr w:type="spellStart"/>
      <w:r w:rsidRPr="009D323B">
        <w:t>Figshare</w:t>
      </w:r>
      <w:proofErr w:type="spellEnd"/>
      <w:r w:rsidRPr="009D323B">
        <w:t>.</w:t>
      </w:r>
    </w:p>
    <w:p w14:paraId="1BF8C213" w14:textId="77777777" w:rsidR="00C108C5" w:rsidRPr="009D323B" w:rsidRDefault="00000000">
      <w:pPr>
        <w:spacing w:before="80" w:after="80" w:line="320" w:lineRule="auto"/>
        <w:jc w:val="both"/>
      </w:pPr>
      <w:r w:rsidRPr="009D323B">
        <w:t xml:space="preserve">Vondoom, A. (2026f). Indonesia's Deep-Time Cave Art as a DSSM Stress Test: The ≥67.8 ka Sulawesi Anchor Case and the ≥51 ka Regional Symbolic Field. </w:t>
      </w:r>
      <w:proofErr w:type="spellStart"/>
      <w:r w:rsidRPr="009D323B">
        <w:t>Zenodo</w:t>
      </w:r>
      <w:proofErr w:type="spellEnd"/>
      <w:r w:rsidRPr="009D323B">
        <w:t>. https://doi.org/10.5281/zenodo.18421711</w:t>
      </w:r>
    </w:p>
    <w:p w14:paraId="313A12D1" w14:textId="77777777" w:rsidR="00C108C5" w:rsidRPr="009D323B" w:rsidRDefault="00000000">
      <w:pPr>
        <w:spacing w:before="80" w:after="80" w:line="320" w:lineRule="auto"/>
        <w:jc w:val="both"/>
      </w:pPr>
      <w:r w:rsidRPr="009D323B">
        <w:t xml:space="preserve">Vondoom, A. (2026g). Sacred Coastal Formations and Symbolic Trade Networks: The </w:t>
      </w:r>
      <w:proofErr w:type="spellStart"/>
      <w:r w:rsidRPr="009D323B">
        <w:t>Gombeshwar</w:t>
      </w:r>
      <w:proofErr w:type="spellEnd"/>
      <w:r w:rsidRPr="009D323B">
        <w:t xml:space="preserve"> Cave as a Case Study in Indian Ocean Symbolic Exchange. [Working Paper]</w:t>
      </w:r>
    </w:p>
    <w:p w14:paraId="1BF0B372" w14:textId="77777777" w:rsidR="00C108C5" w:rsidRPr="009D323B" w:rsidRDefault="00000000">
      <w:pPr>
        <w:spacing w:before="80" w:after="80" w:line="320" w:lineRule="auto"/>
        <w:jc w:val="both"/>
      </w:pPr>
      <w:r w:rsidRPr="009D323B">
        <w:t>Wright, R.P. (2010). The Ancient Indus: Urbanism, Economy, and Society. Cambridge University Press.</w:t>
      </w:r>
    </w:p>
    <w:p w14:paraId="7C20D5E1" w14:textId="77777777" w:rsidR="00C108C5" w:rsidRPr="009D323B" w:rsidRDefault="00000000">
      <w:pPr>
        <w:spacing w:before="80" w:after="80" w:line="320" w:lineRule="auto"/>
        <w:jc w:val="both"/>
      </w:pPr>
      <w:proofErr w:type="spellStart"/>
      <w:r w:rsidRPr="009D323B">
        <w:t>Zvelebil</w:t>
      </w:r>
      <w:proofErr w:type="spellEnd"/>
      <w:r w:rsidRPr="009D323B">
        <w:t>, K.V. (1990). Dravidian Linguistics: An Introduction. Pondicherry Institute of Linguistics and Culture.</w:t>
      </w:r>
    </w:p>
    <w:p w14:paraId="76007B46" w14:textId="47EFE7FC" w:rsidR="00C108C5" w:rsidRPr="009D323B" w:rsidRDefault="00C108C5">
      <w:pPr>
        <w:spacing w:before="80" w:after="80" w:line="320" w:lineRule="auto"/>
        <w:jc w:val="center"/>
      </w:pPr>
    </w:p>
    <w:sectPr w:rsidR="00C108C5" w:rsidRPr="009D323B">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86E03" w14:textId="77777777" w:rsidR="002D445E" w:rsidRDefault="002D445E">
      <w:r>
        <w:separator/>
      </w:r>
    </w:p>
  </w:endnote>
  <w:endnote w:type="continuationSeparator" w:id="0">
    <w:p w14:paraId="6173EA2D" w14:textId="77777777" w:rsidR="002D445E" w:rsidRDefault="002D4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A6C6" w14:textId="758B1834" w:rsidR="00C108C5" w:rsidRDefault="00000000">
    <w:pPr>
      <w:jc w:val="center"/>
    </w:pPr>
    <w:r>
      <w:rPr>
        <w:color w:val="666666"/>
        <w:sz w:val="18"/>
        <w:szCs w:val="18"/>
      </w:rPr>
      <w:t xml:space="preserve">Vondoom, A. (2026). DSSM — The Rehearsed </w:t>
    </w:r>
    <w:proofErr w:type="gramStart"/>
    <w:r>
      <w:rPr>
        <w:color w:val="666666"/>
        <w:sz w:val="18"/>
        <w:szCs w:val="18"/>
      </w:rPr>
      <w:t>Deity  |</w:t>
    </w:r>
    <w:proofErr w:type="gramEnd"/>
    <w:r>
      <w:rPr>
        <w:color w:val="666666"/>
        <w:sz w:val="18"/>
        <w:szCs w:val="18"/>
      </w:rPr>
      <w:t xml:space="preserve">   </w:t>
    </w:r>
    <w:r>
      <w:rPr>
        <w:color w:val="666666"/>
        <w:sz w:val="18"/>
        <w:szCs w:val="18"/>
      </w:rPr>
      <w:fldChar w:fldCharType="begin"/>
    </w:r>
    <w:r>
      <w:rPr>
        <w:color w:val="666666"/>
        <w:sz w:val="18"/>
        <w:szCs w:val="18"/>
      </w:rPr>
      <w:instrText>PAGE</w:instrText>
    </w:r>
    <w:r>
      <w:rPr>
        <w:color w:val="666666"/>
        <w:sz w:val="18"/>
        <w:szCs w:val="18"/>
      </w:rPr>
      <w:fldChar w:fldCharType="separate"/>
    </w:r>
    <w:r w:rsidR="00305547">
      <w:rPr>
        <w:noProof/>
        <w:color w:val="666666"/>
        <w:sz w:val="18"/>
        <w:szCs w:val="18"/>
      </w:rPr>
      <w:t>1</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18013" w14:textId="77777777" w:rsidR="002D445E" w:rsidRDefault="002D445E">
      <w:r>
        <w:separator/>
      </w:r>
    </w:p>
  </w:footnote>
  <w:footnote w:type="continuationSeparator" w:id="0">
    <w:p w14:paraId="44AFAD8B" w14:textId="77777777" w:rsidR="002D445E" w:rsidRDefault="002D4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D703B"/>
    <w:multiLevelType w:val="hybridMultilevel"/>
    <w:tmpl w:val="9510F43C"/>
    <w:lvl w:ilvl="0" w:tplc="48428066">
      <w:start w:val="1"/>
      <w:numFmt w:val="bullet"/>
      <w:lvlText w:val="•"/>
      <w:lvlJc w:val="left"/>
      <w:pPr>
        <w:ind w:left="720" w:hanging="360"/>
      </w:pPr>
    </w:lvl>
    <w:lvl w:ilvl="1" w:tplc="5156BFD6">
      <w:numFmt w:val="decimal"/>
      <w:lvlText w:val=""/>
      <w:lvlJc w:val="left"/>
    </w:lvl>
    <w:lvl w:ilvl="2" w:tplc="1A103524">
      <w:numFmt w:val="decimal"/>
      <w:lvlText w:val=""/>
      <w:lvlJc w:val="left"/>
    </w:lvl>
    <w:lvl w:ilvl="3" w:tplc="2F808C02">
      <w:numFmt w:val="decimal"/>
      <w:lvlText w:val=""/>
      <w:lvlJc w:val="left"/>
    </w:lvl>
    <w:lvl w:ilvl="4" w:tplc="9B548B02">
      <w:numFmt w:val="decimal"/>
      <w:lvlText w:val=""/>
      <w:lvlJc w:val="left"/>
    </w:lvl>
    <w:lvl w:ilvl="5" w:tplc="581461A2">
      <w:numFmt w:val="decimal"/>
      <w:lvlText w:val=""/>
      <w:lvlJc w:val="left"/>
    </w:lvl>
    <w:lvl w:ilvl="6" w:tplc="1F821486">
      <w:numFmt w:val="decimal"/>
      <w:lvlText w:val=""/>
      <w:lvlJc w:val="left"/>
    </w:lvl>
    <w:lvl w:ilvl="7" w:tplc="A5D43A30">
      <w:numFmt w:val="decimal"/>
      <w:lvlText w:val=""/>
      <w:lvlJc w:val="left"/>
    </w:lvl>
    <w:lvl w:ilvl="8" w:tplc="A36033BE">
      <w:numFmt w:val="decimal"/>
      <w:lvlText w:val=""/>
      <w:lvlJc w:val="left"/>
    </w:lvl>
  </w:abstractNum>
  <w:abstractNum w:abstractNumId="1" w15:restartNumberingAfterBreak="0">
    <w:nsid w:val="42492E53"/>
    <w:multiLevelType w:val="hybridMultilevel"/>
    <w:tmpl w:val="BD94577A"/>
    <w:lvl w:ilvl="0" w:tplc="5C3CCE46">
      <w:start w:val="1"/>
      <w:numFmt w:val="bullet"/>
      <w:lvlText w:val="●"/>
      <w:lvlJc w:val="left"/>
      <w:pPr>
        <w:ind w:left="720" w:hanging="360"/>
      </w:pPr>
    </w:lvl>
    <w:lvl w:ilvl="1" w:tplc="E8163B72">
      <w:start w:val="1"/>
      <w:numFmt w:val="bullet"/>
      <w:lvlText w:val="○"/>
      <w:lvlJc w:val="left"/>
      <w:pPr>
        <w:ind w:left="1440" w:hanging="360"/>
      </w:pPr>
    </w:lvl>
    <w:lvl w:ilvl="2" w:tplc="DE4E0690">
      <w:start w:val="1"/>
      <w:numFmt w:val="bullet"/>
      <w:lvlText w:val="■"/>
      <w:lvlJc w:val="left"/>
      <w:pPr>
        <w:ind w:left="2160" w:hanging="360"/>
      </w:pPr>
    </w:lvl>
    <w:lvl w:ilvl="3" w:tplc="382A1658">
      <w:start w:val="1"/>
      <w:numFmt w:val="bullet"/>
      <w:lvlText w:val="●"/>
      <w:lvlJc w:val="left"/>
      <w:pPr>
        <w:ind w:left="2880" w:hanging="360"/>
      </w:pPr>
    </w:lvl>
    <w:lvl w:ilvl="4" w:tplc="9392AF36">
      <w:start w:val="1"/>
      <w:numFmt w:val="bullet"/>
      <w:lvlText w:val="○"/>
      <w:lvlJc w:val="left"/>
      <w:pPr>
        <w:ind w:left="3600" w:hanging="360"/>
      </w:pPr>
    </w:lvl>
    <w:lvl w:ilvl="5" w:tplc="46F0B520">
      <w:start w:val="1"/>
      <w:numFmt w:val="bullet"/>
      <w:lvlText w:val="■"/>
      <w:lvlJc w:val="left"/>
      <w:pPr>
        <w:ind w:left="4320" w:hanging="360"/>
      </w:pPr>
    </w:lvl>
    <w:lvl w:ilvl="6" w:tplc="FB06A9A0">
      <w:start w:val="1"/>
      <w:numFmt w:val="bullet"/>
      <w:lvlText w:val="●"/>
      <w:lvlJc w:val="left"/>
      <w:pPr>
        <w:ind w:left="5040" w:hanging="360"/>
      </w:pPr>
    </w:lvl>
    <w:lvl w:ilvl="7" w:tplc="FC44735C">
      <w:start w:val="1"/>
      <w:numFmt w:val="bullet"/>
      <w:lvlText w:val="●"/>
      <w:lvlJc w:val="left"/>
      <w:pPr>
        <w:ind w:left="5760" w:hanging="360"/>
      </w:pPr>
    </w:lvl>
    <w:lvl w:ilvl="8" w:tplc="F2261EE4">
      <w:start w:val="1"/>
      <w:numFmt w:val="bullet"/>
      <w:lvlText w:val="●"/>
      <w:lvlJc w:val="left"/>
      <w:pPr>
        <w:ind w:left="6480" w:hanging="360"/>
      </w:pPr>
    </w:lvl>
  </w:abstractNum>
  <w:num w:numId="1" w16cid:durableId="334916089">
    <w:abstractNumId w:val="1"/>
    <w:lvlOverride w:ilvl="0">
      <w:startOverride w:val="1"/>
    </w:lvlOverride>
  </w:num>
  <w:num w:numId="2" w16cid:durableId="20138750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8C5"/>
    <w:rsid w:val="000A0A22"/>
    <w:rsid w:val="001A1805"/>
    <w:rsid w:val="002D445E"/>
    <w:rsid w:val="00305547"/>
    <w:rsid w:val="009D323B"/>
    <w:rsid w:val="00C108C5"/>
    <w:rsid w:val="00C402FB"/>
    <w:rsid w:val="00CC5284"/>
    <w:rsid w:val="00F27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D7BBBC"/>
  <w15:docId w15:val="{148DC80C-5E36-BC4D-9374-E7576CFF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40"/>
      <w:outlineLvl w:val="0"/>
    </w:pPr>
    <w:rPr>
      <w:b/>
      <w:bCs/>
      <w:color w:val="1F3864"/>
      <w:sz w:val="28"/>
      <w:szCs w:val="28"/>
    </w:rPr>
  </w:style>
  <w:style w:type="paragraph" w:styleId="Heading2">
    <w:name w:val="heading 2"/>
    <w:uiPriority w:val="9"/>
    <w:unhideWhenUsed/>
    <w:qFormat/>
    <w:pPr>
      <w:spacing w:before="200" w:after="100"/>
      <w:outlineLvl w:val="1"/>
    </w:pPr>
    <w:rPr>
      <w:b/>
      <w:bCs/>
      <w:color w:val="2E5FA3"/>
      <w:sz w:val="24"/>
      <w:szCs w:val="24"/>
    </w:rPr>
  </w:style>
  <w:style w:type="paragraph" w:styleId="Heading3">
    <w:name w:val="heading 3"/>
    <w:uiPriority w:val="9"/>
    <w:semiHidden/>
    <w:unhideWhenUsed/>
    <w:qFormat/>
    <w:pPr>
      <w:spacing w:before="160" w:after="80"/>
      <w:outlineLvl w:val="2"/>
    </w:pPr>
    <w:rPr>
      <w:b/>
      <w:bCs/>
      <w:i/>
      <w:iCs/>
      <w:color w:val="2E5FA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05547"/>
    <w:pPr>
      <w:tabs>
        <w:tab w:val="center" w:pos="4680"/>
        <w:tab w:val="right" w:pos="9360"/>
      </w:tabs>
    </w:pPr>
  </w:style>
  <w:style w:type="character" w:customStyle="1" w:styleId="HeaderChar">
    <w:name w:val="Header Char"/>
    <w:basedOn w:val="DefaultParagraphFont"/>
    <w:link w:val="Header"/>
    <w:uiPriority w:val="99"/>
    <w:rsid w:val="00305547"/>
  </w:style>
  <w:style w:type="paragraph" w:styleId="Footer">
    <w:name w:val="footer"/>
    <w:basedOn w:val="Normal"/>
    <w:link w:val="FooterChar"/>
    <w:uiPriority w:val="99"/>
    <w:unhideWhenUsed/>
    <w:rsid w:val="00305547"/>
    <w:pPr>
      <w:tabs>
        <w:tab w:val="center" w:pos="4680"/>
        <w:tab w:val="right" w:pos="9360"/>
      </w:tabs>
    </w:pPr>
  </w:style>
  <w:style w:type="character" w:customStyle="1" w:styleId="FooterChar">
    <w:name w:val="Footer Char"/>
    <w:basedOn w:val="DefaultParagraphFont"/>
    <w:link w:val="Footer"/>
    <w:uiPriority w:val="99"/>
    <w:rsid w:val="00305547"/>
  </w:style>
  <w:style w:type="paragraph" w:customStyle="1" w:styleId="font-claude-response-body">
    <w:name w:val="font-claude-response-body"/>
    <w:basedOn w:val="Normal"/>
    <w:rsid w:val="00CC5284"/>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C5284"/>
    <w:rPr>
      <w:b/>
      <w:bCs/>
    </w:rPr>
  </w:style>
  <w:style w:type="character" w:styleId="UnresolvedMention">
    <w:name w:val="Unresolved Mention"/>
    <w:basedOn w:val="DefaultParagraphFont"/>
    <w:uiPriority w:val="99"/>
    <w:semiHidden/>
    <w:unhideWhenUsed/>
    <w:rsid w:val="009D3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6084/m9.figshare.323907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4100</Words>
  <Characters>25099</Characters>
  <Application>Microsoft Office Word</Application>
  <DocSecurity>0</DocSecurity>
  <Lines>440</Lines>
  <Paragraphs>140</Paragraphs>
  <ScaleCrop>false</ScaleCrop>
  <Company/>
  <LinksUpToDate>false</LinksUpToDate>
  <CharactersWithSpaces>29059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anthony vondoom</cp:lastModifiedBy>
  <cp:revision>4</cp:revision>
  <dcterms:created xsi:type="dcterms:W3CDTF">2026-05-24T07:40:00Z</dcterms:created>
  <dcterms:modified xsi:type="dcterms:W3CDTF">2026-05-24T08:16:00Z</dcterms:modified>
</cp:coreProperties>
</file>