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8F9AF" w14:textId="77777777" w:rsidR="00B649E0" w:rsidRPr="004E14BB" w:rsidRDefault="00B649E0">
      <w:pPr>
        <w:spacing w:before="160" w:after="80" w:line="320" w:lineRule="auto"/>
        <w:jc w:val="center"/>
        <w:rPr>
          <w:b/>
          <w:bCs/>
          <w:sz w:val="36"/>
          <w:szCs w:val="36"/>
        </w:rPr>
      </w:pPr>
      <w:r w:rsidRPr="004E14BB">
        <w:rPr>
          <w:b/>
          <w:bCs/>
          <w:sz w:val="36"/>
          <w:szCs w:val="36"/>
        </w:rPr>
        <w:t xml:space="preserve">The Drowned Record: Submerged </w:t>
      </w:r>
      <w:proofErr w:type="spellStart"/>
      <w:r w:rsidRPr="004E14BB">
        <w:rPr>
          <w:b/>
          <w:bCs/>
          <w:sz w:val="36"/>
          <w:szCs w:val="36"/>
        </w:rPr>
        <w:t>Civilisation</w:t>
      </w:r>
      <w:proofErr w:type="spellEnd"/>
      <w:r w:rsidRPr="004E14BB">
        <w:rPr>
          <w:b/>
          <w:bCs/>
          <w:sz w:val="36"/>
          <w:szCs w:val="36"/>
        </w:rPr>
        <w:t xml:space="preserve"> and Symbolic Deep Time in Tamil Nadu</w:t>
      </w:r>
    </w:p>
    <w:p w14:paraId="60B47939" w14:textId="6080F08B" w:rsidR="00EE4420" w:rsidRPr="004E14BB" w:rsidRDefault="00000000">
      <w:pPr>
        <w:spacing w:before="160" w:after="80" w:line="320" w:lineRule="auto"/>
        <w:jc w:val="center"/>
      </w:pPr>
      <w:r w:rsidRPr="004E14BB">
        <w:rPr>
          <w:b/>
          <w:bCs/>
          <w:sz w:val="26"/>
          <w:szCs w:val="26"/>
        </w:rPr>
        <w:t xml:space="preserve">Evidence from the IVC, </w:t>
      </w:r>
      <w:proofErr w:type="spellStart"/>
      <w:r w:rsidRPr="004E14BB">
        <w:rPr>
          <w:b/>
          <w:bCs/>
          <w:sz w:val="26"/>
          <w:szCs w:val="26"/>
        </w:rPr>
        <w:t>Vinča</w:t>
      </w:r>
      <w:proofErr w:type="spellEnd"/>
      <w:r w:rsidRPr="004E14BB">
        <w:rPr>
          <w:b/>
          <w:bCs/>
          <w:sz w:val="26"/>
          <w:szCs w:val="26"/>
        </w:rPr>
        <w:t>, and Indian Ocean Contact Zones</w:t>
      </w:r>
    </w:p>
    <w:p w14:paraId="42C119B3" w14:textId="77777777" w:rsidR="00B649E0" w:rsidRPr="004E14BB" w:rsidRDefault="00B649E0">
      <w:pPr>
        <w:spacing w:before="80" w:after="80" w:line="320" w:lineRule="auto"/>
        <w:jc w:val="center"/>
        <w:rPr>
          <w:b/>
          <w:bCs/>
        </w:rPr>
      </w:pPr>
    </w:p>
    <w:p w14:paraId="6C1DA54E" w14:textId="77777777" w:rsidR="00B649E0" w:rsidRPr="004E14BB" w:rsidRDefault="00B649E0">
      <w:pPr>
        <w:spacing w:before="80" w:after="80" w:line="320" w:lineRule="auto"/>
        <w:jc w:val="center"/>
        <w:rPr>
          <w:b/>
          <w:bCs/>
        </w:rPr>
      </w:pPr>
    </w:p>
    <w:p w14:paraId="7AA7FDF7" w14:textId="77777777" w:rsidR="00B649E0" w:rsidRPr="004E14BB" w:rsidRDefault="00B649E0">
      <w:pPr>
        <w:spacing w:before="80" w:after="80" w:line="320" w:lineRule="auto"/>
        <w:jc w:val="center"/>
        <w:rPr>
          <w:b/>
          <w:bCs/>
        </w:rPr>
      </w:pPr>
    </w:p>
    <w:p w14:paraId="7E2C0DA0" w14:textId="77777777" w:rsidR="00B649E0" w:rsidRPr="004E14BB" w:rsidRDefault="00B649E0">
      <w:pPr>
        <w:spacing w:before="80" w:after="80" w:line="320" w:lineRule="auto"/>
        <w:jc w:val="center"/>
        <w:rPr>
          <w:b/>
          <w:bCs/>
        </w:rPr>
      </w:pPr>
    </w:p>
    <w:p w14:paraId="3B46EC8C" w14:textId="77777777" w:rsidR="00B649E0" w:rsidRPr="004E14BB" w:rsidRDefault="00B649E0">
      <w:pPr>
        <w:spacing w:before="80" w:after="80" w:line="320" w:lineRule="auto"/>
        <w:jc w:val="center"/>
        <w:rPr>
          <w:b/>
          <w:bCs/>
        </w:rPr>
      </w:pPr>
    </w:p>
    <w:p w14:paraId="733D1E15" w14:textId="77777777" w:rsidR="00B649E0" w:rsidRPr="004E14BB" w:rsidRDefault="00B649E0">
      <w:pPr>
        <w:spacing w:before="80" w:after="80" w:line="320" w:lineRule="auto"/>
        <w:jc w:val="center"/>
        <w:rPr>
          <w:b/>
          <w:bCs/>
        </w:rPr>
      </w:pPr>
    </w:p>
    <w:p w14:paraId="4E01A649" w14:textId="411B6D28" w:rsidR="00B649E0" w:rsidRPr="004E14BB" w:rsidRDefault="004E14BB">
      <w:pPr>
        <w:spacing w:before="80" w:after="80" w:line="320" w:lineRule="auto"/>
        <w:jc w:val="center"/>
        <w:rPr>
          <w:b/>
          <w:bCs/>
        </w:rPr>
      </w:pPr>
      <w:proofErr w:type="spellStart"/>
      <w:r w:rsidRPr="004E14BB">
        <w:rPr>
          <w:b/>
          <w:bCs/>
        </w:rPr>
        <w:t>Figshare</w:t>
      </w:r>
      <w:proofErr w:type="spellEnd"/>
      <w:r w:rsidRPr="004E14BB">
        <w:rPr>
          <w:b/>
          <w:bCs/>
        </w:rPr>
        <w:t xml:space="preserve"> 2026 </w:t>
      </w:r>
    </w:p>
    <w:p w14:paraId="6AD1E00A" w14:textId="508A4386" w:rsidR="004E14BB" w:rsidRPr="004E14BB" w:rsidRDefault="004E14BB">
      <w:pPr>
        <w:spacing w:before="80" w:after="80" w:line="320" w:lineRule="auto"/>
        <w:jc w:val="center"/>
        <w:rPr>
          <w:b/>
          <w:bCs/>
        </w:rPr>
      </w:pPr>
      <w:hyperlink r:id="rId7" w:history="1">
        <w:r w:rsidRPr="004E14BB">
          <w:rPr>
            <w:rStyle w:val="Hyperlink"/>
            <w:b/>
            <w:bCs/>
            <w:color w:val="auto"/>
          </w:rPr>
          <w:t>https://doi.org/10.6084/m9.figshare.32390757</w:t>
        </w:r>
      </w:hyperlink>
      <w:r w:rsidRPr="004E14BB">
        <w:rPr>
          <w:b/>
          <w:bCs/>
        </w:rPr>
        <w:t xml:space="preserve">  </w:t>
      </w:r>
    </w:p>
    <w:p w14:paraId="4CAB268C" w14:textId="77777777" w:rsidR="00B649E0" w:rsidRPr="004E14BB" w:rsidRDefault="00B649E0">
      <w:pPr>
        <w:spacing w:before="80" w:after="80" w:line="320" w:lineRule="auto"/>
        <w:jc w:val="center"/>
        <w:rPr>
          <w:b/>
          <w:bCs/>
        </w:rPr>
      </w:pPr>
    </w:p>
    <w:p w14:paraId="669CF910" w14:textId="77777777" w:rsidR="00B649E0" w:rsidRPr="004E14BB" w:rsidRDefault="00B649E0">
      <w:pPr>
        <w:spacing w:before="80" w:after="80" w:line="320" w:lineRule="auto"/>
        <w:jc w:val="center"/>
        <w:rPr>
          <w:b/>
          <w:bCs/>
        </w:rPr>
      </w:pPr>
    </w:p>
    <w:p w14:paraId="734E6C19" w14:textId="77777777" w:rsidR="00B649E0" w:rsidRPr="004E14BB" w:rsidRDefault="00B649E0">
      <w:pPr>
        <w:spacing w:before="80" w:after="80" w:line="320" w:lineRule="auto"/>
        <w:jc w:val="center"/>
        <w:rPr>
          <w:b/>
          <w:bCs/>
        </w:rPr>
      </w:pPr>
    </w:p>
    <w:p w14:paraId="6E60167E" w14:textId="77777777" w:rsidR="00B649E0" w:rsidRPr="004E14BB" w:rsidRDefault="00B649E0">
      <w:pPr>
        <w:spacing w:before="80" w:after="80" w:line="320" w:lineRule="auto"/>
        <w:jc w:val="center"/>
        <w:rPr>
          <w:b/>
          <w:bCs/>
        </w:rPr>
      </w:pPr>
    </w:p>
    <w:p w14:paraId="315E53B7" w14:textId="77777777" w:rsidR="00B649E0" w:rsidRPr="004E14BB" w:rsidRDefault="00B649E0">
      <w:pPr>
        <w:spacing w:before="80" w:after="80" w:line="320" w:lineRule="auto"/>
        <w:jc w:val="center"/>
        <w:rPr>
          <w:b/>
          <w:bCs/>
        </w:rPr>
      </w:pPr>
    </w:p>
    <w:p w14:paraId="42FF5C4B" w14:textId="77777777" w:rsidR="00B649E0" w:rsidRPr="004E14BB" w:rsidRDefault="00B649E0">
      <w:pPr>
        <w:spacing w:before="80" w:after="80" w:line="320" w:lineRule="auto"/>
        <w:jc w:val="center"/>
        <w:rPr>
          <w:b/>
          <w:bCs/>
        </w:rPr>
      </w:pPr>
    </w:p>
    <w:p w14:paraId="4C12EFC0" w14:textId="77777777" w:rsidR="00B649E0" w:rsidRPr="004E14BB" w:rsidRDefault="00B649E0">
      <w:pPr>
        <w:spacing w:before="80" w:after="80" w:line="320" w:lineRule="auto"/>
        <w:jc w:val="center"/>
        <w:rPr>
          <w:b/>
          <w:bCs/>
        </w:rPr>
      </w:pPr>
    </w:p>
    <w:p w14:paraId="7B6F66D0" w14:textId="77777777" w:rsidR="00B649E0" w:rsidRPr="004E14BB" w:rsidRDefault="00B649E0" w:rsidP="004E14BB">
      <w:pPr>
        <w:spacing w:before="80" w:after="80" w:line="320" w:lineRule="auto"/>
        <w:rPr>
          <w:b/>
          <w:bCs/>
        </w:rPr>
      </w:pPr>
    </w:p>
    <w:p w14:paraId="4B96635D" w14:textId="77777777" w:rsidR="00B649E0" w:rsidRPr="004E14BB" w:rsidRDefault="00B649E0">
      <w:pPr>
        <w:spacing w:before="80" w:after="80" w:line="320" w:lineRule="auto"/>
        <w:jc w:val="center"/>
        <w:rPr>
          <w:b/>
          <w:bCs/>
        </w:rPr>
      </w:pPr>
    </w:p>
    <w:p w14:paraId="2B030A3F" w14:textId="77777777" w:rsidR="00B649E0" w:rsidRPr="004E14BB" w:rsidRDefault="00B649E0">
      <w:pPr>
        <w:spacing w:before="80" w:after="80" w:line="320" w:lineRule="auto"/>
        <w:jc w:val="center"/>
        <w:rPr>
          <w:b/>
          <w:bCs/>
        </w:rPr>
      </w:pPr>
    </w:p>
    <w:p w14:paraId="3947C129" w14:textId="77777777" w:rsidR="00B649E0" w:rsidRPr="004E14BB" w:rsidRDefault="00B649E0">
      <w:pPr>
        <w:spacing w:before="80" w:after="80" w:line="320" w:lineRule="auto"/>
        <w:jc w:val="center"/>
        <w:rPr>
          <w:b/>
          <w:bCs/>
        </w:rPr>
      </w:pPr>
    </w:p>
    <w:p w14:paraId="31E4EC02" w14:textId="77777777" w:rsidR="00B649E0" w:rsidRPr="004E14BB" w:rsidRDefault="00B649E0">
      <w:pPr>
        <w:spacing w:before="80" w:after="80" w:line="320" w:lineRule="auto"/>
        <w:jc w:val="center"/>
        <w:rPr>
          <w:b/>
          <w:bCs/>
        </w:rPr>
      </w:pPr>
    </w:p>
    <w:p w14:paraId="069B6F94" w14:textId="10CA09C1" w:rsidR="00EE4420" w:rsidRPr="004E14BB" w:rsidRDefault="00000000">
      <w:pPr>
        <w:spacing w:before="80" w:after="80" w:line="320" w:lineRule="auto"/>
        <w:jc w:val="center"/>
      </w:pPr>
      <w:r w:rsidRPr="004E14BB">
        <w:rPr>
          <w:b/>
          <w:bCs/>
        </w:rPr>
        <w:t>Anthony Vondoom</w:t>
      </w:r>
    </w:p>
    <w:p w14:paraId="14143B83" w14:textId="77777777" w:rsidR="00EE4420" w:rsidRPr="004E14BB" w:rsidRDefault="00000000">
      <w:pPr>
        <w:spacing w:before="80" w:after="80" w:line="320" w:lineRule="auto"/>
        <w:jc w:val="center"/>
      </w:pPr>
      <w:r w:rsidRPr="004E14BB">
        <w:rPr>
          <w:sz w:val="20"/>
          <w:szCs w:val="20"/>
        </w:rPr>
        <w:t>Independent Researcher | ORCID: 0009-0003-4953-1427</w:t>
      </w:r>
    </w:p>
    <w:p w14:paraId="673BD3A6" w14:textId="77777777" w:rsidR="00EE4420" w:rsidRPr="004E14BB" w:rsidRDefault="00000000">
      <w:pPr>
        <w:spacing w:before="80" w:after="80" w:line="320" w:lineRule="auto"/>
        <w:jc w:val="center"/>
      </w:pPr>
      <w:r w:rsidRPr="004E14BB">
        <w:rPr>
          <w:i/>
          <w:iCs/>
          <w:sz w:val="20"/>
          <w:szCs w:val="20"/>
        </w:rPr>
        <w:t>Deep Symbolic Systems Model (DSSM) Working Paper Series</w:t>
      </w:r>
    </w:p>
    <w:p w14:paraId="7D3376F2" w14:textId="77777777" w:rsidR="00EE4420" w:rsidRPr="004E14BB" w:rsidRDefault="00000000">
      <w:pPr>
        <w:spacing w:before="80" w:after="200" w:line="320" w:lineRule="auto"/>
        <w:jc w:val="center"/>
      </w:pPr>
      <w:r w:rsidRPr="004E14BB">
        <w:rPr>
          <w:sz w:val="20"/>
          <w:szCs w:val="20"/>
        </w:rPr>
        <w:t>2026</w:t>
      </w:r>
    </w:p>
    <w:p w14:paraId="3A67147B" w14:textId="77777777" w:rsidR="00EE4420" w:rsidRPr="004E14BB" w:rsidRDefault="00000000">
      <w:pPr>
        <w:pBdr>
          <w:top w:val="single" w:sz="2" w:space="0" w:color="CCCCCC"/>
          <w:bottom w:val="single" w:sz="2" w:space="0" w:color="CCCCCC"/>
        </w:pBdr>
        <w:spacing w:before="100" w:after="200"/>
      </w:pPr>
      <w:r w:rsidRPr="004E14BB">
        <w:rPr>
          <w:i/>
          <w:iCs/>
          <w:sz w:val="18"/>
          <w:szCs w:val="18"/>
        </w:rPr>
        <w:t>AI Disclosure: The author used Claude (Anthropic) to assist with drafting, editing, and improving clarity of certain sections. The author takes full intellectual responsibility for all theoretical claims, frameworks, and conclusions presented herein.</w:t>
      </w:r>
    </w:p>
    <w:p w14:paraId="1F89822F" w14:textId="77777777" w:rsidR="00EE4420" w:rsidRPr="004E14BB" w:rsidRDefault="00000000">
      <w:pPr>
        <w:pStyle w:val="Heading1"/>
        <w:rPr>
          <w:color w:val="auto"/>
        </w:rPr>
      </w:pPr>
      <w:r w:rsidRPr="004E14BB">
        <w:rPr>
          <w:color w:val="auto"/>
        </w:rPr>
        <w:lastRenderedPageBreak/>
        <w:t>Abstract</w:t>
      </w:r>
    </w:p>
    <w:p w14:paraId="79541432" w14:textId="77777777" w:rsidR="00EE4420" w:rsidRPr="004E14BB" w:rsidRDefault="00000000">
      <w:pPr>
        <w:spacing w:before="80" w:after="80" w:line="320" w:lineRule="auto"/>
        <w:jc w:val="both"/>
      </w:pPr>
      <w:r w:rsidRPr="004E14BB">
        <w:t xml:space="preserve">This paper proposes a hypothesis — explicitly framed as such — that the Dravidian </w:t>
      </w:r>
      <w:proofErr w:type="spellStart"/>
      <w:r w:rsidRPr="004E14BB">
        <w:t>civilisational</w:t>
      </w:r>
      <w:proofErr w:type="spellEnd"/>
      <w:r w:rsidRPr="004E14BB">
        <w:t xml:space="preserve"> tradition, with </w:t>
      </w:r>
      <w:proofErr w:type="gramStart"/>
      <w:r w:rsidRPr="004E14BB">
        <w:t>particular reference</w:t>
      </w:r>
      <w:proofErr w:type="gramEnd"/>
      <w:r w:rsidRPr="004E14BB">
        <w:t xml:space="preserve"> to Tamil Nadu and the broader South Asian coastal world, constitutes a deep symbolic origin culture comparable in cognitive and </w:t>
      </w:r>
      <w:proofErr w:type="spellStart"/>
      <w:r w:rsidRPr="004E14BB">
        <w:t>organisational</w:t>
      </w:r>
      <w:proofErr w:type="spellEnd"/>
      <w:r w:rsidRPr="004E14BB">
        <w:t xml:space="preserve"> complexity to Egypt and Mesopotamia. Rather than a sudden emergence, the evidence suggests a long arc of symbolic development extending from the pre-Toba period (~74,000 BCE) through the Indus Valley </w:t>
      </w:r>
      <w:proofErr w:type="spellStart"/>
      <w:r w:rsidRPr="004E14BB">
        <w:t>Civilisation</w:t>
      </w:r>
      <w:proofErr w:type="spellEnd"/>
      <w:r w:rsidRPr="004E14BB">
        <w:t xml:space="preserve"> (IVC, ~3300–1300 BCE) and into historical Tamil literary culture. The paper argues that this </w:t>
      </w:r>
      <w:proofErr w:type="spellStart"/>
      <w:r w:rsidRPr="004E14BB">
        <w:t>civilisation</w:t>
      </w:r>
      <w:proofErr w:type="spellEnd"/>
      <w:r w:rsidRPr="004E14BB">
        <w:t xml:space="preserve"> was not lost but shattered by climatic stress and absorbed into successor cultures — a process analogous to the dispersal documented in the </w:t>
      </w:r>
      <w:proofErr w:type="spellStart"/>
      <w:r w:rsidRPr="004E14BB">
        <w:t>Vinča</w:t>
      </w:r>
      <w:proofErr w:type="spellEnd"/>
      <w:r w:rsidRPr="004E14BB">
        <w:t xml:space="preserve"> culture of the Balkans. The </w:t>
      </w:r>
      <w:proofErr w:type="spellStart"/>
      <w:r w:rsidRPr="004E14BB">
        <w:t>Gombeshwar</w:t>
      </w:r>
      <w:proofErr w:type="spellEnd"/>
      <w:r w:rsidRPr="004E14BB">
        <w:t xml:space="preserve"> cave in Mombasa, Kenya, is examined as a case study in symbolic portability and Indian Ocean contact zone dynamics, with explicit acknowledgement of the limits of current archaeological evidence. The paper calls for targeted archaeological investigation of submerged coastal sites in the Bay of Bengal, the Gulf of Mannar, and the East African coast as a priority research agenda.</w:t>
      </w:r>
    </w:p>
    <w:p w14:paraId="2997BB2D" w14:textId="77777777" w:rsidR="00EE4420" w:rsidRPr="004E14BB" w:rsidRDefault="00000000">
      <w:pPr>
        <w:spacing w:before="80" w:after="80" w:line="320" w:lineRule="auto"/>
        <w:jc w:val="both"/>
      </w:pPr>
      <w:r w:rsidRPr="004E14BB">
        <w:rPr>
          <w:i/>
          <w:iCs/>
        </w:rPr>
        <w:t xml:space="preserve">Keywords: Tamil Nadu, Deep Symbolic Systems Model, Indus Valley </w:t>
      </w:r>
      <w:proofErr w:type="spellStart"/>
      <w:r w:rsidRPr="004E14BB">
        <w:rPr>
          <w:i/>
          <w:iCs/>
        </w:rPr>
        <w:t>Civilisation</w:t>
      </w:r>
      <w:proofErr w:type="spellEnd"/>
      <w:r w:rsidRPr="004E14BB">
        <w:rPr>
          <w:i/>
          <w:iCs/>
        </w:rPr>
        <w:t xml:space="preserve">, </w:t>
      </w:r>
      <w:proofErr w:type="spellStart"/>
      <w:r w:rsidRPr="004E14BB">
        <w:rPr>
          <w:i/>
          <w:iCs/>
        </w:rPr>
        <w:t>Vinča</w:t>
      </w:r>
      <w:proofErr w:type="spellEnd"/>
      <w:r w:rsidRPr="004E14BB">
        <w:rPr>
          <w:i/>
          <w:iCs/>
        </w:rPr>
        <w:t xml:space="preserve">, Indian Ocean, </w:t>
      </w:r>
      <w:proofErr w:type="spellStart"/>
      <w:r w:rsidRPr="004E14BB">
        <w:rPr>
          <w:i/>
          <w:iCs/>
        </w:rPr>
        <w:t>Sundaland</w:t>
      </w:r>
      <w:proofErr w:type="spellEnd"/>
      <w:r w:rsidRPr="004E14BB">
        <w:rPr>
          <w:i/>
          <w:iCs/>
        </w:rPr>
        <w:t xml:space="preserve">, Dravidian, symbolic continuity, climatic stress, </w:t>
      </w:r>
      <w:proofErr w:type="spellStart"/>
      <w:r w:rsidRPr="004E14BB">
        <w:rPr>
          <w:i/>
          <w:iCs/>
        </w:rPr>
        <w:t>Gombeshwar</w:t>
      </w:r>
      <w:proofErr w:type="spellEnd"/>
    </w:p>
    <w:p w14:paraId="789273F8" w14:textId="77777777" w:rsidR="00B649E0" w:rsidRPr="004E14BB" w:rsidRDefault="00B649E0">
      <w:pPr>
        <w:pStyle w:val="Heading1"/>
        <w:rPr>
          <w:color w:val="auto"/>
        </w:rPr>
      </w:pPr>
    </w:p>
    <w:p w14:paraId="071A2F38" w14:textId="77777777" w:rsidR="00B649E0" w:rsidRPr="004E14BB" w:rsidRDefault="00B649E0">
      <w:pPr>
        <w:pStyle w:val="Heading1"/>
        <w:rPr>
          <w:color w:val="auto"/>
        </w:rPr>
      </w:pPr>
    </w:p>
    <w:p w14:paraId="0E1119FD" w14:textId="77777777" w:rsidR="00B649E0" w:rsidRPr="004E14BB" w:rsidRDefault="00B649E0">
      <w:pPr>
        <w:pStyle w:val="Heading1"/>
        <w:rPr>
          <w:color w:val="auto"/>
        </w:rPr>
      </w:pPr>
    </w:p>
    <w:p w14:paraId="5201ADE3" w14:textId="77777777" w:rsidR="00B649E0" w:rsidRPr="004E14BB" w:rsidRDefault="00B649E0">
      <w:pPr>
        <w:pStyle w:val="Heading1"/>
        <w:rPr>
          <w:color w:val="auto"/>
        </w:rPr>
      </w:pPr>
    </w:p>
    <w:p w14:paraId="2262256B" w14:textId="77777777" w:rsidR="00B649E0" w:rsidRPr="004E14BB" w:rsidRDefault="00B649E0">
      <w:pPr>
        <w:pStyle w:val="Heading1"/>
        <w:rPr>
          <w:color w:val="auto"/>
        </w:rPr>
      </w:pPr>
    </w:p>
    <w:p w14:paraId="47A762F2" w14:textId="77777777" w:rsidR="00B649E0" w:rsidRPr="004E14BB" w:rsidRDefault="00B649E0">
      <w:pPr>
        <w:pStyle w:val="Heading1"/>
        <w:rPr>
          <w:color w:val="auto"/>
        </w:rPr>
      </w:pPr>
    </w:p>
    <w:p w14:paraId="37C7F34C" w14:textId="77777777" w:rsidR="00B649E0" w:rsidRPr="004E14BB" w:rsidRDefault="00B649E0">
      <w:pPr>
        <w:pStyle w:val="Heading1"/>
        <w:rPr>
          <w:color w:val="auto"/>
        </w:rPr>
      </w:pPr>
    </w:p>
    <w:p w14:paraId="550F4E50" w14:textId="77777777" w:rsidR="00DC7948" w:rsidRPr="004E14BB" w:rsidRDefault="00DC7948" w:rsidP="00DC7948">
      <w:pPr>
        <w:pStyle w:val="font-claude-response-body"/>
      </w:pPr>
      <w:r w:rsidRPr="004E14BB">
        <w:rPr>
          <w:rStyle w:val="Strong"/>
        </w:rPr>
        <w:t>Acknowledgements</w:t>
      </w:r>
    </w:p>
    <w:p w14:paraId="473C3286" w14:textId="4593130C" w:rsidR="00DC7948" w:rsidRPr="004E14BB" w:rsidRDefault="00DC7948" w:rsidP="00DC7948">
      <w:pPr>
        <w:pStyle w:val="font-claude-response-body"/>
      </w:pPr>
      <w:r w:rsidRPr="004E14BB">
        <w:t xml:space="preserve">The author wishes to thank </w:t>
      </w:r>
      <w:proofErr w:type="spellStart"/>
      <w:r w:rsidRPr="004E14BB">
        <w:t>Mr</w:t>
      </w:r>
      <w:proofErr w:type="spellEnd"/>
      <w:r w:rsidRPr="004E14BB">
        <w:t xml:space="preserve"> Lijesh Kunath for his generosity in sharing videos, photographs, and — most importantly — his original intellectual input on the Tamil Nadu </w:t>
      </w:r>
      <w:proofErr w:type="spellStart"/>
      <w:r w:rsidRPr="004E14BB">
        <w:t>civilisation</w:t>
      </w:r>
      <w:proofErr w:type="spellEnd"/>
      <w:r w:rsidRPr="004E14BB">
        <w:t>. His research and observations provided the initial direction for this paper and contributed meaningfully to the lines of inquiry developed here. The author takes full responsibility for all theoretical claims, interpretations, and conclusions.</w:t>
      </w:r>
    </w:p>
    <w:p w14:paraId="6E7413AE" w14:textId="77777777" w:rsidR="00B649E0" w:rsidRPr="004E14BB" w:rsidRDefault="00B649E0">
      <w:pPr>
        <w:pStyle w:val="Heading1"/>
        <w:rPr>
          <w:color w:val="auto"/>
        </w:rPr>
      </w:pPr>
    </w:p>
    <w:p w14:paraId="3CF46E50" w14:textId="6E347B88" w:rsidR="00EE4420" w:rsidRPr="004E14BB" w:rsidRDefault="00000000">
      <w:pPr>
        <w:pStyle w:val="Heading1"/>
        <w:rPr>
          <w:color w:val="auto"/>
        </w:rPr>
      </w:pPr>
      <w:r w:rsidRPr="004E14BB">
        <w:rPr>
          <w:color w:val="auto"/>
        </w:rPr>
        <w:lastRenderedPageBreak/>
        <w:t xml:space="preserve">1. Introduction: The Problem of the Missing </w:t>
      </w:r>
      <w:proofErr w:type="spellStart"/>
      <w:r w:rsidRPr="004E14BB">
        <w:rPr>
          <w:color w:val="auto"/>
        </w:rPr>
        <w:t>Civilisation</w:t>
      </w:r>
      <w:proofErr w:type="spellEnd"/>
    </w:p>
    <w:p w14:paraId="0838B90D" w14:textId="77777777" w:rsidR="00EE4420" w:rsidRPr="004E14BB" w:rsidRDefault="00000000">
      <w:pPr>
        <w:spacing w:before="80" w:after="80" w:line="320" w:lineRule="auto"/>
        <w:jc w:val="both"/>
      </w:pPr>
      <w:r w:rsidRPr="004E14BB">
        <w:t xml:space="preserve">The standard narrative of early </w:t>
      </w:r>
      <w:proofErr w:type="spellStart"/>
      <w:r w:rsidRPr="004E14BB">
        <w:t>civilisation</w:t>
      </w:r>
      <w:proofErr w:type="spellEnd"/>
      <w:r w:rsidRPr="004E14BB">
        <w:t xml:space="preserve"> identifies three primary origin nodes: Egypt (~3100 BCE), Mesopotamia (~3500 BCE), and the Indus Valley </w:t>
      </w:r>
      <w:proofErr w:type="spellStart"/>
      <w:r w:rsidRPr="004E14BB">
        <w:t>Civilisation</w:t>
      </w:r>
      <w:proofErr w:type="spellEnd"/>
      <w:r w:rsidRPr="004E14BB">
        <w:t xml:space="preserve"> (~3300 BCE). A fourth node — the Dravidian cultural world, </w:t>
      </w:r>
      <w:proofErr w:type="spellStart"/>
      <w:r w:rsidRPr="004E14BB">
        <w:t>centred</w:t>
      </w:r>
      <w:proofErr w:type="spellEnd"/>
      <w:r w:rsidRPr="004E14BB">
        <w:t xml:space="preserve"> on what is now Tamil Nadu and the broader South Indian coastal zone — receives comparatively little attention as a </w:t>
      </w:r>
      <w:proofErr w:type="spellStart"/>
      <w:r w:rsidRPr="004E14BB">
        <w:t>civilisational</w:t>
      </w:r>
      <w:proofErr w:type="spellEnd"/>
      <w:r w:rsidRPr="004E14BB">
        <w:t xml:space="preserve"> </w:t>
      </w:r>
      <w:proofErr w:type="gramStart"/>
      <w:r w:rsidRPr="004E14BB">
        <w:t>origin in its own right</w:t>
      </w:r>
      <w:proofErr w:type="gramEnd"/>
      <w:r w:rsidRPr="004E14BB">
        <w:t>. This paper argues that this absence reflects an evidential problem rather than an historical reality.</w:t>
      </w:r>
    </w:p>
    <w:p w14:paraId="031FCDDD" w14:textId="77777777" w:rsidR="00EE4420" w:rsidRPr="004E14BB" w:rsidRDefault="00000000">
      <w:pPr>
        <w:spacing w:before="80" w:after="80" w:line="320" w:lineRule="auto"/>
        <w:jc w:val="both"/>
      </w:pPr>
      <w:r w:rsidRPr="004E14BB">
        <w:t xml:space="preserve">The DSSM framework (Vondoom, 2025a; 2025b) proposes that </w:t>
      </w:r>
      <w:proofErr w:type="spellStart"/>
      <w:r w:rsidRPr="004E14BB">
        <w:t>civilisational</w:t>
      </w:r>
      <w:proofErr w:type="spellEnd"/>
      <w:r w:rsidRPr="004E14BB">
        <w:t xml:space="preserve"> complexity arises not from agriculture or writing but from the prior </w:t>
      </w:r>
      <w:proofErr w:type="spellStart"/>
      <w:r w:rsidRPr="004E14BB">
        <w:t>stabilisation</w:t>
      </w:r>
      <w:proofErr w:type="spellEnd"/>
      <w:r w:rsidRPr="004E14BB">
        <w:t xml:space="preserve"> of symbolic systems through ritual repetition, spatial constraint, and intergenerational transmission. Applied to South Asia, this framework generates a testable hypothesis: that the Dravidian world reached advanced stages of symbolic </w:t>
      </w:r>
      <w:proofErr w:type="spellStart"/>
      <w:r w:rsidRPr="004E14BB">
        <w:t>stabilisation</w:t>
      </w:r>
      <w:proofErr w:type="spellEnd"/>
      <w:r w:rsidRPr="004E14BB">
        <w:t xml:space="preserve"> long before the IVC urban phase, and that the apparent absence of earlier material evidence reflects not absence of </w:t>
      </w:r>
      <w:proofErr w:type="spellStart"/>
      <w:r w:rsidRPr="004E14BB">
        <w:t>civilisation</w:t>
      </w:r>
      <w:proofErr w:type="spellEnd"/>
      <w:r w:rsidRPr="004E14BB">
        <w:t xml:space="preserve"> but absence of preserved sites — specifically due to the systematic submersion of coastal habitation zones through post-glacial sea level rise.</w:t>
      </w:r>
    </w:p>
    <w:p w14:paraId="76295C37" w14:textId="77777777" w:rsidR="00EE4420" w:rsidRPr="004E14BB" w:rsidRDefault="00000000">
      <w:pPr>
        <w:spacing w:before="80" w:after="80" w:line="320" w:lineRule="auto"/>
        <w:jc w:val="both"/>
      </w:pPr>
      <w:r w:rsidRPr="004E14BB">
        <w:t>This is a hypothesis paper. Its claims are framed accordingly.</w:t>
      </w:r>
    </w:p>
    <w:p w14:paraId="2BC3AE62" w14:textId="77777777" w:rsidR="00EE4420" w:rsidRPr="004E14BB" w:rsidRDefault="00000000">
      <w:pPr>
        <w:pStyle w:val="Heading1"/>
        <w:rPr>
          <w:color w:val="auto"/>
        </w:rPr>
      </w:pPr>
      <w:r w:rsidRPr="004E14BB">
        <w:rPr>
          <w:color w:val="auto"/>
        </w:rPr>
        <w:t xml:space="preserve">2. The Temporal Architecture: Placing Dravidian </w:t>
      </w:r>
      <w:proofErr w:type="spellStart"/>
      <w:r w:rsidRPr="004E14BB">
        <w:rPr>
          <w:color w:val="auto"/>
        </w:rPr>
        <w:t>Civilisation</w:t>
      </w:r>
      <w:proofErr w:type="spellEnd"/>
      <w:r w:rsidRPr="004E14BB">
        <w:rPr>
          <w:color w:val="auto"/>
        </w:rPr>
        <w:t xml:space="preserve"> in Deep Time</w:t>
      </w:r>
    </w:p>
    <w:p w14:paraId="0D05AE83" w14:textId="77777777" w:rsidR="00EE4420" w:rsidRPr="004E14BB" w:rsidRDefault="00000000">
      <w:pPr>
        <w:pStyle w:val="Heading2"/>
        <w:rPr>
          <w:color w:val="auto"/>
        </w:rPr>
      </w:pPr>
      <w:r w:rsidRPr="004E14BB">
        <w:rPr>
          <w:color w:val="auto"/>
        </w:rPr>
        <w:t xml:space="preserve">2.1 </w:t>
      </w:r>
      <w:proofErr w:type="spellStart"/>
      <w:r w:rsidRPr="004E14BB">
        <w:rPr>
          <w:color w:val="auto"/>
        </w:rPr>
        <w:t>Balangoda</w:t>
      </w:r>
      <w:proofErr w:type="spellEnd"/>
      <w:r w:rsidRPr="004E14BB">
        <w:rPr>
          <w:color w:val="auto"/>
        </w:rPr>
        <w:t xml:space="preserve"> Man and the South Asian Baseline</w:t>
      </w:r>
    </w:p>
    <w:p w14:paraId="2E0480F4" w14:textId="77777777" w:rsidR="00EE4420" w:rsidRPr="004E14BB" w:rsidRDefault="00000000">
      <w:pPr>
        <w:spacing w:before="80" w:after="80" w:line="320" w:lineRule="auto"/>
        <w:jc w:val="both"/>
      </w:pPr>
      <w:r w:rsidRPr="004E14BB">
        <w:t xml:space="preserve">The earliest anatomically modern H. sapiens in South Asia are documented at Fa Hien Cave, Sri Lanka, with occupation spanning approximately 48,000 to 4,000 BP (Langley et al., 2020). </w:t>
      </w:r>
      <w:proofErr w:type="spellStart"/>
      <w:r w:rsidRPr="004E14BB">
        <w:t>Balangoda</w:t>
      </w:r>
      <w:proofErr w:type="spellEnd"/>
      <w:r w:rsidRPr="004E14BB">
        <w:t xml:space="preserve"> Man — the designation for this prehistoric population — used geometric microliths dating to 28,500 BCE, among the earliest such tools recorded globally alongside comparable African assemblages (Deraniyagala, 1993).</w:t>
      </w:r>
    </w:p>
    <w:p w14:paraId="7DD3CE4E" w14:textId="77777777" w:rsidR="00EE4420" w:rsidRPr="004E14BB" w:rsidRDefault="00000000">
      <w:pPr>
        <w:spacing w:before="80" w:after="80" w:line="320" w:lineRule="auto"/>
        <w:jc w:val="both"/>
      </w:pPr>
      <w:r w:rsidRPr="004E14BB">
        <w:t xml:space="preserve">This establishes a baseline: anatomically modern humans with sophisticated lithic technology were present in the Indian Ocean island zone no later than 48,000 BCE. The cognitive infrastructure for symbolic </w:t>
      </w:r>
      <w:proofErr w:type="spellStart"/>
      <w:r w:rsidRPr="004E14BB">
        <w:t>stabilisation</w:t>
      </w:r>
      <w:proofErr w:type="spellEnd"/>
      <w:r w:rsidRPr="004E14BB">
        <w:t xml:space="preserve"> — as documented in DSSM Paper 2 (Vondoom, 2025b) — was therefore present in South Asia at the same period as comparable populations in Africa and the Levant.</w:t>
      </w:r>
    </w:p>
    <w:p w14:paraId="419E72FB" w14:textId="77777777" w:rsidR="00EE4420" w:rsidRPr="004E14BB" w:rsidRDefault="00000000">
      <w:pPr>
        <w:pStyle w:val="Heading2"/>
        <w:rPr>
          <w:color w:val="auto"/>
        </w:rPr>
      </w:pPr>
      <w:r w:rsidRPr="004E14BB">
        <w:rPr>
          <w:color w:val="auto"/>
        </w:rPr>
        <w:t>2.2 The Toba Bottleneck and Post-Catastrophe Consolidation</w:t>
      </w:r>
    </w:p>
    <w:p w14:paraId="76ADEF8E" w14:textId="77777777" w:rsidR="00EE4420" w:rsidRPr="004E14BB" w:rsidRDefault="00000000">
      <w:pPr>
        <w:spacing w:before="80" w:after="80" w:line="320" w:lineRule="auto"/>
        <w:jc w:val="both"/>
      </w:pPr>
      <w:r w:rsidRPr="004E14BB">
        <w:t xml:space="preserve">The Toba </w:t>
      </w:r>
      <w:proofErr w:type="spellStart"/>
      <w:r w:rsidRPr="004E14BB">
        <w:t>supervolcanic</w:t>
      </w:r>
      <w:proofErr w:type="spellEnd"/>
      <w:r w:rsidRPr="004E14BB">
        <w:t xml:space="preserve"> eruption (~74,000 BCE) represents the most severe known demographic bottleneck in H. sapiens history. Ash deposits across South Asia suggest catastrophic disruption to mainland populations. However, island and coastal populations in Southeast Asia and Sri Lanka may have been differentially affected — with some communities surviving in ecological refugia that the volcanic winter did not fully penetrate.</w:t>
      </w:r>
    </w:p>
    <w:p w14:paraId="09CC1BC4" w14:textId="77777777" w:rsidR="00EE4420" w:rsidRPr="004E14BB" w:rsidRDefault="00000000">
      <w:pPr>
        <w:spacing w:before="80" w:after="80" w:line="320" w:lineRule="auto"/>
        <w:jc w:val="both"/>
      </w:pPr>
      <w:r w:rsidRPr="004E14BB">
        <w:t xml:space="preserve">DSSM predicts that demographic bottlenecks, rather than eliminating symbolic systems, concentrate and refine them. Small surviving populations under existential pressure are precisely </w:t>
      </w:r>
      <w:r w:rsidRPr="004E14BB">
        <w:lastRenderedPageBreak/>
        <w:t xml:space="preserve">those most likely to intensify ritual repetition, portable symbolic anchors, and oral transmission systems — the Stage II </w:t>
      </w:r>
      <w:proofErr w:type="spellStart"/>
      <w:r w:rsidRPr="004E14BB">
        <w:t>behaviours</w:t>
      </w:r>
      <w:proofErr w:type="spellEnd"/>
      <w:r w:rsidRPr="004E14BB">
        <w:t xml:space="preserve"> that eventually </w:t>
      </w:r>
      <w:proofErr w:type="spellStart"/>
      <w:r w:rsidRPr="004E14BB">
        <w:t>stabilise</w:t>
      </w:r>
      <w:proofErr w:type="spellEnd"/>
      <w:r w:rsidRPr="004E14BB">
        <w:t xml:space="preserve"> into Stage III material culture. The post-Toba South Asian world is therefore, under the DSSM framework, a likely crucible for accelerated symbolic consolidation rather than a period of erasure.</w:t>
      </w:r>
    </w:p>
    <w:p w14:paraId="7651E75F" w14:textId="77777777" w:rsidR="00EE4420" w:rsidRPr="004E14BB" w:rsidRDefault="00000000">
      <w:pPr>
        <w:spacing w:before="80" w:after="80" w:line="320" w:lineRule="auto"/>
        <w:jc w:val="both"/>
      </w:pPr>
      <w:r w:rsidRPr="004E14BB">
        <w:t xml:space="preserve">This remains a hypothesis. Direct archaeological evidence for post-Toba symbolic </w:t>
      </w:r>
      <w:proofErr w:type="spellStart"/>
      <w:r w:rsidRPr="004E14BB">
        <w:t>behaviour</w:t>
      </w:r>
      <w:proofErr w:type="spellEnd"/>
      <w:r w:rsidRPr="004E14BB">
        <w:t xml:space="preserve"> in South Asia is sparse, reflecting the same preservation problem that affects all coastal and lowland sites from this period.</w:t>
      </w:r>
    </w:p>
    <w:p w14:paraId="3F26180E" w14:textId="77777777" w:rsidR="00EE4420" w:rsidRPr="004E14BB" w:rsidRDefault="00000000">
      <w:pPr>
        <w:pStyle w:val="Heading2"/>
        <w:rPr>
          <w:color w:val="auto"/>
        </w:rPr>
      </w:pPr>
      <w:r w:rsidRPr="004E14BB">
        <w:rPr>
          <w:color w:val="auto"/>
        </w:rPr>
        <w:t xml:space="preserve">2.3 </w:t>
      </w:r>
      <w:proofErr w:type="spellStart"/>
      <w:r w:rsidRPr="004E14BB">
        <w:rPr>
          <w:color w:val="auto"/>
        </w:rPr>
        <w:t>Sundaland</w:t>
      </w:r>
      <w:proofErr w:type="spellEnd"/>
      <w:r w:rsidRPr="004E14BB">
        <w:rPr>
          <w:color w:val="auto"/>
        </w:rPr>
        <w:t xml:space="preserve"> and the Submerged World</w:t>
      </w:r>
    </w:p>
    <w:p w14:paraId="3375A42F" w14:textId="77777777" w:rsidR="00EE4420" w:rsidRPr="004E14BB" w:rsidRDefault="00000000">
      <w:pPr>
        <w:spacing w:before="80" w:after="80" w:line="320" w:lineRule="auto"/>
        <w:jc w:val="both"/>
      </w:pPr>
      <w:r w:rsidRPr="004E14BB">
        <w:t xml:space="preserve">During the Last Glacial Maximum (~20,000 BCE), sea levels were approximately 120 </w:t>
      </w:r>
      <w:proofErr w:type="spellStart"/>
      <w:r w:rsidRPr="004E14BB">
        <w:t>metres</w:t>
      </w:r>
      <w:proofErr w:type="spellEnd"/>
      <w:r w:rsidRPr="004E14BB">
        <w:t xml:space="preserve"> lower than present. The Sunda Shelf — now the floor of the South China Sea and the shallow seas between the Indonesian islands — was exposed as a continuous landmass roughly the size of the Indian subcontinent. This landmass, referred to as </w:t>
      </w:r>
      <w:proofErr w:type="spellStart"/>
      <w:r w:rsidRPr="004E14BB">
        <w:t>Sundaland</w:t>
      </w:r>
      <w:proofErr w:type="spellEnd"/>
      <w:r w:rsidRPr="004E14BB">
        <w:t>, would have represented one of the most habitable environments on Earth during the glacial period: tropical, well-watered, biologically diverse, and connected to mainland Southeast Asia.</w:t>
      </w:r>
    </w:p>
    <w:p w14:paraId="43286369" w14:textId="77777777" w:rsidR="00EE4420" w:rsidRPr="004E14BB" w:rsidRDefault="00000000">
      <w:pPr>
        <w:spacing w:before="80" w:after="80" w:line="320" w:lineRule="auto"/>
        <w:jc w:val="both"/>
      </w:pPr>
      <w:r w:rsidRPr="004E14BB">
        <w:t xml:space="preserve">Post-glacial sea level rise between approximately 20,000 and 7,000 BCE progressively submerged this landmass. Any settlements, ritual sites, or material culture from this period now lie under 40 to 120 </w:t>
      </w:r>
      <w:proofErr w:type="spellStart"/>
      <w:r w:rsidRPr="004E14BB">
        <w:t>metres</w:t>
      </w:r>
      <w:proofErr w:type="spellEnd"/>
      <w:r w:rsidRPr="004E14BB">
        <w:t xml:space="preserve"> of water across an area of approximately 1.8 million square </w:t>
      </w:r>
      <w:proofErr w:type="spellStart"/>
      <w:r w:rsidRPr="004E14BB">
        <w:t>kilometres</w:t>
      </w:r>
      <w:proofErr w:type="spellEnd"/>
      <w:r w:rsidRPr="004E14BB">
        <w:t>. The archaeological record for this world is, by definition, incomplete — not because it did not exist but because it has not been systematically investigated.</w:t>
      </w:r>
    </w:p>
    <w:p w14:paraId="7F7A7FCB" w14:textId="77777777" w:rsidR="00EE4420" w:rsidRPr="004E14BB" w:rsidRDefault="00000000">
      <w:pPr>
        <w:spacing w:before="80" w:after="80" w:line="320" w:lineRule="auto"/>
        <w:jc w:val="both"/>
      </w:pPr>
      <w:r w:rsidRPr="004E14BB">
        <w:t xml:space="preserve">The hypothesis this paper advances is not that </w:t>
      </w:r>
      <w:proofErr w:type="spellStart"/>
      <w:r w:rsidRPr="004E14BB">
        <w:t>Sundaland</w:t>
      </w:r>
      <w:proofErr w:type="spellEnd"/>
      <w:r w:rsidRPr="004E14BB">
        <w:t xml:space="preserve"> was a lost </w:t>
      </w:r>
      <w:proofErr w:type="spellStart"/>
      <w:r w:rsidRPr="004E14BB">
        <w:t>civilisation</w:t>
      </w:r>
      <w:proofErr w:type="spellEnd"/>
      <w:r w:rsidRPr="004E14BB">
        <w:t xml:space="preserve"> in the popular sense. It is the more conservative claim that the absence of pre-8000 BCE archaeological evidence from South and Southeast Asia reflects a systematic bias toward sites above current sea level, and that submerged coastal zones represent a priority for future investigation.</w:t>
      </w:r>
    </w:p>
    <w:p w14:paraId="198587FC" w14:textId="77777777" w:rsidR="00EE4420" w:rsidRPr="004E14BB" w:rsidRDefault="00000000">
      <w:pPr>
        <w:pStyle w:val="Heading1"/>
        <w:rPr>
          <w:color w:val="auto"/>
        </w:rPr>
      </w:pPr>
      <w:r w:rsidRPr="004E14BB">
        <w:rPr>
          <w:color w:val="auto"/>
        </w:rPr>
        <w:t xml:space="preserve">3. The IVC as Stage III–IV Symbolic </w:t>
      </w:r>
      <w:proofErr w:type="spellStart"/>
      <w:r w:rsidRPr="004E14BB">
        <w:rPr>
          <w:color w:val="auto"/>
        </w:rPr>
        <w:t>Civilisation</w:t>
      </w:r>
      <w:proofErr w:type="spellEnd"/>
    </w:p>
    <w:p w14:paraId="32BE7DFA" w14:textId="77777777" w:rsidR="00EE4420" w:rsidRPr="004E14BB" w:rsidRDefault="00000000">
      <w:pPr>
        <w:pStyle w:val="Heading2"/>
        <w:rPr>
          <w:color w:val="auto"/>
        </w:rPr>
      </w:pPr>
      <w:r w:rsidRPr="004E14BB">
        <w:rPr>
          <w:color w:val="auto"/>
        </w:rPr>
        <w:t>3.1 The Symbolic Infrastructure of the IVC</w:t>
      </w:r>
    </w:p>
    <w:p w14:paraId="50F3B8D6" w14:textId="77777777" w:rsidR="00EE4420" w:rsidRPr="004E14BB" w:rsidRDefault="00000000">
      <w:pPr>
        <w:spacing w:before="80" w:after="80" w:line="320" w:lineRule="auto"/>
        <w:jc w:val="both"/>
      </w:pPr>
      <w:r w:rsidRPr="004E14BB">
        <w:t xml:space="preserve">The Indus Valley </w:t>
      </w:r>
      <w:proofErr w:type="spellStart"/>
      <w:r w:rsidRPr="004E14BB">
        <w:t>Civilisation</w:t>
      </w:r>
      <w:proofErr w:type="spellEnd"/>
      <w:r w:rsidRPr="004E14BB">
        <w:t xml:space="preserve"> (~3300–1300 BCE) is anomalous within standard archaeological frameworks in several respects. It was urban, </w:t>
      </w:r>
      <w:proofErr w:type="spellStart"/>
      <w:r w:rsidRPr="004E14BB">
        <w:t>standardised</w:t>
      </w:r>
      <w:proofErr w:type="spellEnd"/>
      <w:r w:rsidRPr="004E14BB">
        <w:t xml:space="preserve">, and geographically extensive — covering an area larger than Egypt and Mesopotamia combined at its peak — yet it left no deciphered writing, no confirmed royal tombs, no monumental religious architecture in the Egyptian or Mesopotamian sense, and no clear evidence of </w:t>
      </w:r>
      <w:proofErr w:type="spellStart"/>
      <w:r w:rsidRPr="004E14BB">
        <w:t>centralised</w:t>
      </w:r>
      <w:proofErr w:type="spellEnd"/>
      <w:r w:rsidRPr="004E14BB">
        <w:t xml:space="preserve"> military power.</w:t>
      </w:r>
    </w:p>
    <w:p w14:paraId="3106BB7D" w14:textId="77777777" w:rsidR="00EE4420" w:rsidRPr="004E14BB" w:rsidRDefault="00000000">
      <w:pPr>
        <w:spacing w:before="80" w:after="80" w:line="320" w:lineRule="auto"/>
        <w:jc w:val="both"/>
      </w:pPr>
      <w:r w:rsidRPr="004E14BB">
        <w:t xml:space="preserve">Under the DSSM framework, this is not anomalous. It is precisely what a Stage IV </w:t>
      </w:r>
      <w:proofErr w:type="spellStart"/>
      <w:r w:rsidRPr="004E14BB">
        <w:t>civilisation</w:t>
      </w:r>
      <w:proofErr w:type="spellEnd"/>
      <w:r w:rsidRPr="004E14BB">
        <w:t xml:space="preserve"> built on deep symbolic foundations rather than administrative coercion would look like. The IVC's </w:t>
      </w:r>
      <w:proofErr w:type="spellStart"/>
      <w:r w:rsidRPr="004E14BB">
        <w:t>standardised</w:t>
      </w:r>
      <w:proofErr w:type="spellEnd"/>
      <w:r w:rsidRPr="004E14BB">
        <w:t xml:space="preserve"> weights and measures, consistent urban planning across geographically distant sites, and sophisticated drainage infrastructure all reflect the operation of shared symbolic grammars — constraint systems enforced not by visible authority but by internalized norms.</w:t>
      </w:r>
    </w:p>
    <w:p w14:paraId="6A538AC4" w14:textId="77777777" w:rsidR="00EE4420" w:rsidRPr="004E14BB" w:rsidRDefault="00000000">
      <w:pPr>
        <w:spacing w:before="80" w:after="80" w:line="320" w:lineRule="auto"/>
        <w:jc w:val="both"/>
      </w:pPr>
      <w:r w:rsidRPr="004E14BB">
        <w:lastRenderedPageBreak/>
        <w:t xml:space="preserve">The IVC seal script — approximately 400 signs, found across the </w:t>
      </w:r>
      <w:proofErr w:type="spellStart"/>
      <w:r w:rsidRPr="004E14BB">
        <w:t>civilisation's</w:t>
      </w:r>
      <w:proofErr w:type="spellEnd"/>
      <w:r w:rsidRPr="004E14BB">
        <w:t xml:space="preserve"> full geographic range — functioned as a portable symbolic system. Critically, it did not develop into phonetic writing. This paper proposes that this reflects not cognitive limitation but absence of necessity: a population that already possessed a sophisticated spoken language — Proto-Dravidian — had no administrative pressure to encode speech in writing. The seals served coordination and identification functions that writing serves elsewhere, without requiring phonetic representation.</w:t>
      </w:r>
    </w:p>
    <w:p w14:paraId="21FF71AC" w14:textId="77777777" w:rsidR="00EE4420" w:rsidRPr="004E14BB" w:rsidRDefault="00000000">
      <w:pPr>
        <w:pStyle w:val="Heading2"/>
        <w:rPr>
          <w:color w:val="auto"/>
        </w:rPr>
      </w:pPr>
      <w:r w:rsidRPr="004E14BB">
        <w:rPr>
          <w:color w:val="auto"/>
        </w:rPr>
        <w:t>3.2 The Language Question</w:t>
      </w:r>
    </w:p>
    <w:p w14:paraId="5FB89F9C" w14:textId="77777777" w:rsidR="00EE4420" w:rsidRPr="004E14BB" w:rsidRDefault="00000000">
      <w:pPr>
        <w:spacing w:before="80" w:after="80" w:line="320" w:lineRule="auto"/>
        <w:jc w:val="both"/>
      </w:pPr>
      <w:r w:rsidRPr="004E14BB">
        <w:t xml:space="preserve">The relationship between the IVC and the Dravidian language family is contested but the most parsimonious reading of the evidence supports a connection. Dravidian languages are spoken today primarily in South India and Sri Lanka. Their presence in Brahui — a Dravidian language spoken in </w:t>
      </w:r>
      <w:proofErr w:type="spellStart"/>
      <w:r w:rsidRPr="004E14BB">
        <w:t>Balochistan</w:t>
      </w:r>
      <w:proofErr w:type="spellEnd"/>
      <w:r w:rsidRPr="004E14BB">
        <w:t>, at the heart of the former IVC geographic zone — is difficult to explain without positing a formerly wider Dravidian distribution that the IVC represented.</w:t>
      </w:r>
    </w:p>
    <w:p w14:paraId="48D0127E" w14:textId="77777777" w:rsidR="00EE4420" w:rsidRPr="004E14BB" w:rsidRDefault="00000000">
      <w:pPr>
        <w:spacing w:before="80" w:after="80" w:line="320" w:lineRule="auto"/>
        <w:jc w:val="both"/>
      </w:pPr>
      <w:r w:rsidRPr="004E14BB">
        <w:t>Tamil specifically preserves features of Proto-Dravidian reconstructions that other Dravidian languages have lost. Its literary tradition — documented continuously from approximately 300 BCE — is the oldest non-Sanskritic literary tradition in India. The argument advanced here is not that Tamil is older than Sanskrit in terms of written records, but that the spoken tradition from which Tamil emerges predates any written evidence by a very large and currently unquantifiable margin.</w:t>
      </w:r>
    </w:p>
    <w:p w14:paraId="7162380C" w14:textId="77777777" w:rsidR="00EE4420" w:rsidRPr="004E14BB" w:rsidRDefault="00000000">
      <w:pPr>
        <w:spacing w:before="80" w:after="80" w:line="320" w:lineRule="auto"/>
        <w:jc w:val="both"/>
      </w:pPr>
      <w:r w:rsidRPr="004E14BB">
        <w:t xml:space="preserve">Sanskrit and Tamil are not related. They derive from entirely separate language families — Indo-Aryan and Dravidian respectively — with no demonstrated common ancestor. Similarities between them are attributable to millennia of contact and borrowing. This means their parallel development represents independent symbolic traditions, not a common origin. Under DSSM, this is significant: two independently </w:t>
      </w:r>
      <w:proofErr w:type="spellStart"/>
      <w:r w:rsidRPr="004E14BB">
        <w:t>stabilised</w:t>
      </w:r>
      <w:proofErr w:type="spellEnd"/>
      <w:r w:rsidRPr="004E14BB">
        <w:t xml:space="preserve"> symbolic systems occupying the same geographic space without eliminating each other demonstrates a high degree of symbolic tolerance — itself a marker of advanced Stage III–IV integration.</w:t>
      </w:r>
    </w:p>
    <w:p w14:paraId="600D211D" w14:textId="77777777" w:rsidR="00EE4420" w:rsidRPr="004E14BB" w:rsidRDefault="00000000">
      <w:pPr>
        <w:pStyle w:val="Heading1"/>
        <w:rPr>
          <w:color w:val="auto"/>
        </w:rPr>
      </w:pPr>
      <w:r w:rsidRPr="004E14BB">
        <w:rPr>
          <w:color w:val="auto"/>
        </w:rPr>
        <w:t xml:space="preserve">4. The </w:t>
      </w:r>
      <w:proofErr w:type="spellStart"/>
      <w:r w:rsidRPr="004E14BB">
        <w:rPr>
          <w:color w:val="auto"/>
        </w:rPr>
        <w:t>Vinča</w:t>
      </w:r>
      <w:proofErr w:type="spellEnd"/>
      <w:r w:rsidRPr="004E14BB">
        <w:rPr>
          <w:color w:val="auto"/>
        </w:rPr>
        <w:t xml:space="preserve"> Parallel: </w:t>
      </w:r>
      <w:proofErr w:type="spellStart"/>
      <w:r w:rsidRPr="004E14BB">
        <w:rPr>
          <w:color w:val="auto"/>
        </w:rPr>
        <w:t>Civilisational</w:t>
      </w:r>
      <w:proofErr w:type="spellEnd"/>
      <w:r w:rsidRPr="004E14BB">
        <w:rPr>
          <w:color w:val="auto"/>
        </w:rPr>
        <w:t xml:space="preserve"> Dispersal Under Stress</w:t>
      </w:r>
    </w:p>
    <w:p w14:paraId="72BC4001" w14:textId="77777777" w:rsidR="00EE4420" w:rsidRPr="004E14BB" w:rsidRDefault="00000000">
      <w:pPr>
        <w:pStyle w:val="Heading2"/>
        <w:rPr>
          <w:color w:val="auto"/>
        </w:rPr>
      </w:pPr>
      <w:r w:rsidRPr="004E14BB">
        <w:rPr>
          <w:color w:val="auto"/>
        </w:rPr>
        <w:t xml:space="preserve">4.1 The </w:t>
      </w:r>
      <w:proofErr w:type="spellStart"/>
      <w:r w:rsidRPr="004E14BB">
        <w:rPr>
          <w:color w:val="auto"/>
        </w:rPr>
        <w:t>Vinča</w:t>
      </w:r>
      <w:proofErr w:type="spellEnd"/>
      <w:r w:rsidRPr="004E14BB">
        <w:rPr>
          <w:color w:val="auto"/>
        </w:rPr>
        <w:t xml:space="preserve"> Pattern</w:t>
      </w:r>
    </w:p>
    <w:p w14:paraId="3AF06AD6" w14:textId="77777777" w:rsidR="00EE4420" w:rsidRPr="004E14BB" w:rsidRDefault="00000000">
      <w:pPr>
        <w:spacing w:before="80" w:after="80" w:line="320" w:lineRule="auto"/>
        <w:jc w:val="both"/>
      </w:pPr>
      <w:r w:rsidRPr="004E14BB">
        <w:t xml:space="preserve">The </w:t>
      </w:r>
      <w:proofErr w:type="spellStart"/>
      <w:r w:rsidRPr="004E14BB">
        <w:t>Vinča</w:t>
      </w:r>
      <w:proofErr w:type="spellEnd"/>
      <w:r w:rsidRPr="004E14BB">
        <w:t xml:space="preserve"> culture of the central Balkans (~5700–4500 BCE) provides the closest documented parallel to the process this paper proposes for the Dravidian world. </w:t>
      </w:r>
      <w:proofErr w:type="spellStart"/>
      <w:r w:rsidRPr="004E14BB">
        <w:t>Vinča</w:t>
      </w:r>
      <w:proofErr w:type="spellEnd"/>
      <w:r w:rsidRPr="004E14BB">
        <w:t xml:space="preserve"> developed a sophisticated symbolic system — a proto-script of approximately 50 signs, </w:t>
      </w:r>
      <w:proofErr w:type="spellStart"/>
      <w:r w:rsidRPr="004E14BB">
        <w:t>standardised</w:t>
      </w:r>
      <w:proofErr w:type="spellEnd"/>
      <w:r w:rsidRPr="004E14BB">
        <w:t xml:space="preserve"> material culture, extensive trade networks, and evidence of complex social </w:t>
      </w:r>
      <w:proofErr w:type="spellStart"/>
      <w:r w:rsidRPr="004E14BB">
        <w:t>organisation</w:t>
      </w:r>
      <w:proofErr w:type="spellEnd"/>
      <w:r w:rsidRPr="004E14BB">
        <w:t xml:space="preserve"> — without transitioning to full urban </w:t>
      </w:r>
      <w:proofErr w:type="spellStart"/>
      <w:r w:rsidRPr="004E14BB">
        <w:t>civilisation</w:t>
      </w:r>
      <w:proofErr w:type="spellEnd"/>
      <w:r w:rsidRPr="004E14BB">
        <w:t xml:space="preserve"> or phonetic writing.</w:t>
      </w:r>
    </w:p>
    <w:p w14:paraId="343F72FA" w14:textId="77777777" w:rsidR="00EE4420" w:rsidRPr="004E14BB" w:rsidRDefault="00000000">
      <w:pPr>
        <w:spacing w:before="80" w:after="80" w:line="320" w:lineRule="auto"/>
        <w:jc w:val="both"/>
      </w:pPr>
      <w:proofErr w:type="spellStart"/>
      <w:r w:rsidRPr="004E14BB">
        <w:t>Vinča</w:t>
      </w:r>
      <w:proofErr w:type="spellEnd"/>
      <w:r w:rsidRPr="004E14BB">
        <w:t xml:space="preserve"> did not collapse. It dispersed. Under climatic and demographic pressure, its populations migrated across Europe and Anatolia, carrying symbolic elements that can be traced in successor </w:t>
      </w:r>
      <w:r w:rsidRPr="004E14BB">
        <w:lastRenderedPageBreak/>
        <w:t xml:space="preserve">cultures across a wide geographic range. The </w:t>
      </w:r>
      <w:proofErr w:type="spellStart"/>
      <w:r w:rsidRPr="004E14BB">
        <w:t>civilisation</w:t>
      </w:r>
      <w:proofErr w:type="spellEnd"/>
      <w:r w:rsidRPr="004E14BB">
        <w:t xml:space="preserve"> was not destroyed; it was absorbed and transformed, contributing symbolic vocabulary to the cultures that followed it.</w:t>
      </w:r>
    </w:p>
    <w:p w14:paraId="012AB57E" w14:textId="77777777" w:rsidR="00EE4420" w:rsidRPr="004E14BB" w:rsidRDefault="00000000">
      <w:pPr>
        <w:spacing w:before="80" w:after="80" w:line="320" w:lineRule="auto"/>
        <w:jc w:val="both"/>
      </w:pPr>
      <w:r w:rsidRPr="004E14BB">
        <w:t>DSSM Paper [</w:t>
      </w:r>
      <w:proofErr w:type="spellStart"/>
      <w:r w:rsidRPr="004E14BB">
        <w:t>Vinča</w:t>
      </w:r>
      <w:proofErr w:type="spellEnd"/>
      <w:r w:rsidRPr="004E14BB">
        <w:t xml:space="preserve"> paper reference] documents this process in detail. The key analytical point is that dispersal under stress does not erase symbolic heritage — it distributes it. Successor cultures inherit symbolic grammars they did not originate, often without awareness of the transmission.</w:t>
      </w:r>
    </w:p>
    <w:p w14:paraId="5E815FFD" w14:textId="77777777" w:rsidR="00EE4420" w:rsidRPr="004E14BB" w:rsidRDefault="00000000">
      <w:pPr>
        <w:pStyle w:val="Heading2"/>
        <w:rPr>
          <w:color w:val="auto"/>
        </w:rPr>
      </w:pPr>
      <w:r w:rsidRPr="004E14BB">
        <w:rPr>
          <w:color w:val="auto"/>
        </w:rPr>
        <w:t>4.2 The Dravidian Parallel</w:t>
      </w:r>
    </w:p>
    <w:p w14:paraId="244C561D" w14:textId="77777777" w:rsidR="00EE4420" w:rsidRPr="004E14BB" w:rsidRDefault="00000000">
      <w:pPr>
        <w:spacing w:before="80" w:after="80" w:line="320" w:lineRule="auto"/>
        <w:jc w:val="both"/>
      </w:pPr>
      <w:r w:rsidRPr="004E14BB">
        <w:t>The hypothesis advanced here is that the Dravidian world underwent a comparable process, but on a larger geographic scale and over a longer timeframe. The sequence proposed is:</w:t>
      </w:r>
    </w:p>
    <w:p w14:paraId="1F905660" w14:textId="77777777" w:rsidR="00EE4420" w:rsidRPr="004E14BB" w:rsidRDefault="00000000">
      <w:pPr>
        <w:pStyle w:val="ListParagraph"/>
        <w:numPr>
          <w:ilvl w:val="0"/>
          <w:numId w:val="2"/>
        </w:numPr>
        <w:spacing w:before="60" w:after="60" w:line="300" w:lineRule="auto"/>
      </w:pPr>
      <w:r w:rsidRPr="004E14BB">
        <w:t xml:space="preserve">Pre-Toba coastal and island populations in South and Southeast Asia develop Stage I–II symbolic </w:t>
      </w:r>
      <w:proofErr w:type="spellStart"/>
      <w:r w:rsidRPr="004E14BB">
        <w:t>behaviour</w:t>
      </w:r>
      <w:proofErr w:type="spellEnd"/>
      <w:r w:rsidRPr="004E14BB">
        <w:t xml:space="preserve"> in conditions of demographic pressure and ecological stress</w:t>
      </w:r>
    </w:p>
    <w:p w14:paraId="7F4E716B" w14:textId="77777777" w:rsidR="00EE4420" w:rsidRPr="004E14BB" w:rsidRDefault="00000000">
      <w:pPr>
        <w:pStyle w:val="ListParagraph"/>
        <w:numPr>
          <w:ilvl w:val="0"/>
          <w:numId w:val="2"/>
        </w:numPr>
        <w:spacing w:before="60" w:after="60" w:line="300" w:lineRule="auto"/>
      </w:pPr>
      <w:r w:rsidRPr="004E14BB">
        <w:t>Post-Toba survivors consolidate symbolic systems in refugia — Sri Lanka, coastal South India, island Southeast Asia — intensifying oral transmission and portable symbolic anchors</w:t>
      </w:r>
    </w:p>
    <w:p w14:paraId="7F62202F" w14:textId="77777777" w:rsidR="00EE4420" w:rsidRPr="004E14BB" w:rsidRDefault="00000000">
      <w:pPr>
        <w:pStyle w:val="ListParagraph"/>
        <w:numPr>
          <w:ilvl w:val="0"/>
          <w:numId w:val="2"/>
        </w:numPr>
        <w:spacing w:before="60" w:after="60" w:line="300" w:lineRule="auto"/>
      </w:pPr>
      <w:r w:rsidRPr="004E14BB">
        <w:t>Rising sea levels between 20,000 and 7,000 BCE progressively submerge the habitation zones of these populations, destroying the material record while the populations themselves migrate inland</w:t>
      </w:r>
    </w:p>
    <w:p w14:paraId="7279B71D" w14:textId="77777777" w:rsidR="00EE4420" w:rsidRPr="004E14BB" w:rsidRDefault="00000000">
      <w:pPr>
        <w:pStyle w:val="ListParagraph"/>
        <w:numPr>
          <w:ilvl w:val="0"/>
          <w:numId w:val="2"/>
        </w:numPr>
        <w:spacing w:before="60" w:after="60" w:line="300" w:lineRule="auto"/>
      </w:pPr>
      <w:r w:rsidRPr="004E14BB">
        <w:t xml:space="preserve">By the time the IVC urban phase begins (~3300 BCE), it represents the Stage III </w:t>
      </w:r>
      <w:proofErr w:type="spellStart"/>
      <w:r w:rsidRPr="004E14BB">
        <w:t>materialisation</w:t>
      </w:r>
      <w:proofErr w:type="spellEnd"/>
      <w:r w:rsidRPr="004E14BB">
        <w:t xml:space="preserve"> of symbolic systems with a much longer oral and ritual history — the archaeological record begins at a late stage of a much longer process</w:t>
      </w:r>
    </w:p>
    <w:p w14:paraId="4272C01B" w14:textId="77777777" w:rsidR="00EE4420" w:rsidRPr="004E14BB" w:rsidRDefault="00000000">
      <w:pPr>
        <w:pStyle w:val="ListParagraph"/>
        <w:numPr>
          <w:ilvl w:val="0"/>
          <w:numId w:val="2"/>
        </w:numPr>
        <w:spacing w:before="60" w:after="60" w:line="300" w:lineRule="auto"/>
      </w:pPr>
      <w:r w:rsidRPr="004E14BB">
        <w:t>IVC decline (~1900–1300 BCE), connected to documented climate shifts and river system changes, disperses IVC populations southward into the Deccan and Tamil Nadu — carrying symbolic vocabularies that become the substrate of historical Tamil culture</w:t>
      </w:r>
    </w:p>
    <w:p w14:paraId="4740AD4A" w14:textId="77777777" w:rsidR="00EE4420" w:rsidRPr="004E14BB" w:rsidRDefault="00000000">
      <w:pPr>
        <w:pStyle w:val="ListParagraph"/>
        <w:numPr>
          <w:ilvl w:val="0"/>
          <w:numId w:val="2"/>
        </w:numPr>
        <w:spacing w:before="60" w:after="60" w:line="300" w:lineRule="auto"/>
      </w:pPr>
      <w:r w:rsidRPr="004E14BB">
        <w:t>Indo-Aryan arrival introduces a parallel symbolic system. Rather than replacing the Dravidian tradition, the two coexist and interact — producing the complex layered symbolic world of historical South Asia</w:t>
      </w:r>
    </w:p>
    <w:p w14:paraId="1744D5CA" w14:textId="77777777" w:rsidR="00EE4420" w:rsidRPr="004E14BB" w:rsidRDefault="00000000">
      <w:pPr>
        <w:spacing w:before="80" w:after="80" w:line="320" w:lineRule="auto"/>
        <w:jc w:val="both"/>
      </w:pPr>
      <w:r w:rsidRPr="004E14BB">
        <w:t>This sequence is a hypothesis. Each step is plausible given current evidence. None is demonstrated beyond reasonable doubt. The paper frames it explicitly as a research agenda rather than a conclusion.</w:t>
      </w:r>
    </w:p>
    <w:p w14:paraId="58E3B8F3" w14:textId="77777777" w:rsidR="00B649E0" w:rsidRPr="004E14BB" w:rsidRDefault="00B649E0">
      <w:pPr>
        <w:pStyle w:val="Heading1"/>
        <w:rPr>
          <w:color w:val="auto"/>
        </w:rPr>
      </w:pPr>
    </w:p>
    <w:p w14:paraId="7F5069F2" w14:textId="77777777" w:rsidR="00B649E0" w:rsidRPr="004E14BB" w:rsidRDefault="00B649E0">
      <w:pPr>
        <w:pStyle w:val="Heading1"/>
        <w:rPr>
          <w:color w:val="auto"/>
        </w:rPr>
      </w:pPr>
    </w:p>
    <w:p w14:paraId="73F35575" w14:textId="77777777" w:rsidR="00B649E0" w:rsidRPr="004E14BB" w:rsidRDefault="00B649E0">
      <w:pPr>
        <w:pStyle w:val="Heading1"/>
        <w:rPr>
          <w:color w:val="auto"/>
        </w:rPr>
      </w:pPr>
    </w:p>
    <w:p w14:paraId="15EB1133" w14:textId="77777777" w:rsidR="00B649E0" w:rsidRPr="004E14BB" w:rsidRDefault="00B649E0">
      <w:pPr>
        <w:pStyle w:val="Heading1"/>
        <w:rPr>
          <w:color w:val="auto"/>
        </w:rPr>
      </w:pPr>
    </w:p>
    <w:p w14:paraId="46CA5B0F" w14:textId="59225A32" w:rsidR="00EE4420" w:rsidRPr="004E14BB" w:rsidRDefault="00000000">
      <w:pPr>
        <w:pStyle w:val="Heading1"/>
        <w:rPr>
          <w:color w:val="auto"/>
        </w:rPr>
      </w:pPr>
      <w:r w:rsidRPr="004E14BB">
        <w:rPr>
          <w:color w:val="auto"/>
        </w:rPr>
        <w:lastRenderedPageBreak/>
        <w:t xml:space="preserve">5. The </w:t>
      </w:r>
      <w:proofErr w:type="spellStart"/>
      <w:r w:rsidRPr="004E14BB">
        <w:rPr>
          <w:color w:val="auto"/>
        </w:rPr>
        <w:t>Gombeshwar</w:t>
      </w:r>
      <w:proofErr w:type="spellEnd"/>
      <w:r w:rsidRPr="004E14BB">
        <w:rPr>
          <w:color w:val="auto"/>
        </w:rPr>
        <w:t xml:space="preserve"> Cave: A Case Study in Indian Ocean Symbolic Exchange</w:t>
      </w:r>
    </w:p>
    <w:p w14:paraId="5C141C86" w14:textId="77777777" w:rsidR="00EE4420" w:rsidRPr="004E14BB" w:rsidRDefault="00000000">
      <w:pPr>
        <w:pStyle w:val="Heading2"/>
        <w:rPr>
          <w:color w:val="auto"/>
        </w:rPr>
      </w:pPr>
      <w:r w:rsidRPr="004E14BB">
        <w:rPr>
          <w:color w:val="auto"/>
        </w:rPr>
        <w:t>5.1 The Site</w:t>
      </w:r>
    </w:p>
    <w:p w14:paraId="0A9724DD" w14:textId="77777777" w:rsidR="00EE4420" w:rsidRPr="004E14BB" w:rsidRDefault="00000000">
      <w:pPr>
        <w:spacing w:before="80" w:after="80" w:line="320" w:lineRule="auto"/>
        <w:jc w:val="both"/>
      </w:pPr>
      <w:r w:rsidRPr="004E14BB">
        <w:t xml:space="preserve">The </w:t>
      </w:r>
      <w:proofErr w:type="spellStart"/>
      <w:r w:rsidRPr="004E14BB">
        <w:t>Gombeshwar</w:t>
      </w:r>
      <w:proofErr w:type="spellEnd"/>
      <w:r w:rsidRPr="004E14BB">
        <w:t xml:space="preserve"> cave in </w:t>
      </w:r>
      <w:proofErr w:type="spellStart"/>
      <w:r w:rsidRPr="004E14BB">
        <w:t>Nyali</w:t>
      </w:r>
      <w:proofErr w:type="spellEnd"/>
      <w:r w:rsidRPr="004E14BB">
        <w:t xml:space="preserve">, Mombasa, Kenya, is a natural coral formation on the Indian Ocean coast containing a naturally formed stalagmite. According to documented local folklore, the cave was identified as sacred in the late 19th century after local African herders observed a cow repeatedly releasing milk at the site. The herders consulted Hindu families already resident in Mombasa, who upon investigation identified the stalagmite as a </w:t>
      </w:r>
      <w:proofErr w:type="spellStart"/>
      <w:r w:rsidRPr="004E14BB">
        <w:t>svayambhu</w:t>
      </w:r>
      <w:proofErr w:type="spellEnd"/>
      <w:r w:rsidRPr="004E14BB">
        <w:t xml:space="preserve"> Lingam — a self-manifested form of Shiva, considered in Shaivite tradition more sacred than a carved representation. A formal temple structure was subsequently built around the cave, </w:t>
      </w:r>
      <w:proofErr w:type="spellStart"/>
      <w:r w:rsidRPr="004E14BB">
        <w:t>formalised</w:t>
      </w:r>
      <w:proofErr w:type="spellEnd"/>
      <w:r w:rsidRPr="004E14BB">
        <w:t xml:space="preserve"> under the Hindu Union of Mombasa, established 1899.</w:t>
      </w:r>
    </w:p>
    <w:p w14:paraId="636DE024" w14:textId="77777777" w:rsidR="00EE4420" w:rsidRPr="004E14BB" w:rsidRDefault="00000000">
      <w:pPr>
        <w:spacing w:before="80" w:after="80" w:line="320" w:lineRule="auto"/>
        <w:jc w:val="both"/>
      </w:pPr>
      <w:r w:rsidRPr="004E14BB">
        <w:t>No archaeological deposits predating the 19th century have been reported from the cave. The absence of pre-colonial material culture — tools, ochre, human remains — means the cave cannot currently be dated as a sacred site beyond its documented history. This paper does not claim it was used as a sacred site before the 19th century.</w:t>
      </w:r>
    </w:p>
    <w:p w14:paraId="093CA537" w14:textId="77777777" w:rsidR="00EE4420" w:rsidRPr="004E14BB" w:rsidRDefault="00000000">
      <w:pPr>
        <w:pStyle w:val="Heading2"/>
        <w:rPr>
          <w:color w:val="auto"/>
        </w:rPr>
      </w:pPr>
      <w:r w:rsidRPr="004E14BB">
        <w:rPr>
          <w:color w:val="auto"/>
        </w:rPr>
        <w:t>5.2 What the Evidence Does Support</w:t>
      </w:r>
    </w:p>
    <w:p w14:paraId="769AE42D" w14:textId="77777777" w:rsidR="00EE4420" w:rsidRPr="004E14BB" w:rsidRDefault="00000000">
      <w:pPr>
        <w:spacing w:before="80" w:after="80" w:line="320" w:lineRule="auto"/>
        <w:jc w:val="both"/>
      </w:pPr>
      <w:r w:rsidRPr="004E14BB">
        <w:t xml:space="preserve">The </w:t>
      </w:r>
      <w:proofErr w:type="spellStart"/>
      <w:r w:rsidRPr="004E14BB">
        <w:t>Gombeshwar</w:t>
      </w:r>
      <w:proofErr w:type="spellEnd"/>
      <w:r w:rsidRPr="004E14BB">
        <w:t xml:space="preserve"> case is analytically valuable not as evidence of antiquity but as a documented instance of symbolic recognition operating through trade contact. The structural parallel is the Temple of Isis at Delos: a religious tradition is transported through a commercial network to a new geographic context, where it is applied to a local natural formation that the incoming symbolic grammar is equipped to identify as sacred.</w:t>
      </w:r>
    </w:p>
    <w:p w14:paraId="2F309134" w14:textId="77777777" w:rsidR="00EE4420" w:rsidRPr="004E14BB" w:rsidRDefault="00000000">
      <w:pPr>
        <w:spacing w:before="80" w:after="80" w:line="320" w:lineRule="auto"/>
        <w:jc w:val="both"/>
      </w:pPr>
      <w:r w:rsidRPr="004E14BB">
        <w:t xml:space="preserve">The Indian Ocean trade network connecting the Malabar coast, Gujarat, Oman, and East Africa is documented from at least 3000 BCE onward. Hindu and particularly Shaivite symbolic vocabulary was carried through this network across millennia. The </w:t>
      </w:r>
      <w:proofErr w:type="spellStart"/>
      <w:r w:rsidRPr="004E14BB">
        <w:t>Gombeshwar</w:t>
      </w:r>
      <w:proofErr w:type="spellEnd"/>
      <w:r w:rsidRPr="004E14BB">
        <w:t xml:space="preserve"> cave represents the application of that vocabulary — specifically the </w:t>
      </w:r>
      <w:proofErr w:type="spellStart"/>
      <w:r w:rsidRPr="004E14BB">
        <w:t>svayambhu</w:t>
      </w:r>
      <w:proofErr w:type="spellEnd"/>
      <w:r w:rsidRPr="004E14BB">
        <w:t xml:space="preserve"> Lingam identification system — to a natural formation in East Africa by a trading community that had carried the symbolic grammar across the ocean.</w:t>
      </w:r>
    </w:p>
    <w:p w14:paraId="753F3F4B" w14:textId="77777777" w:rsidR="00EE4420" w:rsidRPr="004E14BB" w:rsidRDefault="00000000">
      <w:pPr>
        <w:spacing w:before="80" w:after="80" w:line="320" w:lineRule="auto"/>
        <w:jc w:val="both"/>
      </w:pPr>
      <w:r w:rsidRPr="004E14BB">
        <w:t xml:space="preserve">Critically, the founding story involves local African herders as the primary witnesses of the anomalous animal </w:t>
      </w:r>
      <w:proofErr w:type="spellStart"/>
      <w:r w:rsidRPr="004E14BB">
        <w:t>behaviour</w:t>
      </w:r>
      <w:proofErr w:type="spellEnd"/>
      <w:r w:rsidRPr="004E14BB">
        <w:t>, and Hindu families as the interpreters. The symbolic recognition required the trade network. The site itself — cave, stalagmite, coastal location, water — required nothing external. It was already there.</w:t>
      </w:r>
    </w:p>
    <w:p w14:paraId="67E8DA29" w14:textId="77777777" w:rsidR="00B649E0" w:rsidRPr="004E14BB" w:rsidRDefault="00B649E0">
      <w:pPr>
        <w:pStyle w:val="Heading2"/>
        <w:rPr>
          <w:color w:val="auto"/>
        </w:rPr>
      </w:pPr>
    </w:p>
    <w:p w14:paraId="6B3183CE" w14:textId="77777777" w:rsidR="00B649E0" w:rsidRPr="004E14BB" w:rsidRDefault="00B649E0">
      <w:pPr>
        <w:pStyle w:val="Heading2"/>
        <w:rPr>
          <w:color w:val="auto"/>
        </w:rPr>
      </w:pPr>
    </w:p>
    <w:p w14:paraId="71813172" w14:textId="77777777" w:rsidR="00B649E0" w:rsidRPr="004E14BB" w:rsidRDefault="00B649E0">
      <w:pPr>
        <w:pStyle w:val="Heading2"/>
        <w:rPr>
          <w:color w:val="auto"/>
        </w:rPr>
      </w:pPr>
    </w:p>
    <w:p w14:paraId="166C246C" w14:textId="659A74D6" w:rsidR="00EE4420" w:rsidRPr="004E14BB" w:rsidRDefault="00000000">
      <w:pPr>
        <w:pStyle w:val="Heading2"/>
        <w:rPr>
          <w:color w:val="auto"/>
        </w:rPr>
      </w:pPr>
      <w:r w:rsidRPr="004E14BB">
        <w:rPr>
          <w:color w:val="auto"/>
        </w:rPr>
        <w:lastRenderedPageBreak/>
        <w:t>5.3 The Animal Detection Question</w:t>
      </w:r>
    </w:p>
    <w:p w14:paraId="4DBE0698" w14:textId="77777777" w:rsidR="00EE4420" w:rsidRPr="004E14BB" w:rsidRDefault="00000000">
      <w:pPr>
        <w:spacing w:before="80" w:after="80" w:line="320" w:lineRule="auto"/>
        <w:jc w:val="both"/>
      </w:pPr>
      <w:r w:rsidRPr="004E14BB">
        <w:t xml:space="preserve">The founding story of </w:t>
      </w:r>
      <w:proofErr w:type="spellStart"/>
      <w:r w:rsidRPr="004E14BB">
        <w:t>Gombeshwar</w:t>
      </w:r>
      <w:proofErr w:type="spellEnd"/>
      <w:r w:rsidRPr="004E14BB">
        <w:t xml:space="preserve"> follows a pattern documented at multiple sacred cave sites in India, most notably Borra Caves in Andhra Pradesh, where an identical founding narrative — cow </w:t>
      </w:r>
      <w:proofErr w:type="spellStart"/>
      <w:r w:rsidRPr="004E14BB">
        <w:t>behaviour</w:t>
      </w:r>
      <w:proofErr w:type="spellEnd"/>
      <w:r w:rsidRPr="004E14BB">
        <w:t xml:space="preserve"> leading to cave discovery containing a natural Lingam — is associated with a site that has yielded Paleolithic tools, confirming Stone Age human presence (Archaeological Survey of India, various). The structural repetition of this founding narrative across geographically distant sites suggests it encodes a real detection dynamic rather than a purely mythological pattern.</w:t>
      </w:r>
    </w:p>
    <w:p w14:paraId="0E0FDA60" w14:textId="77777777" w:rsidR="00EE4420" w:rsidRPr="004E14BB" w:rsidRDefault="00000000">
      <w:pPr>
        <w:spacing w:before="80" w:after="80" w:line="320" w:lineRule="auto"/>
        <w:jc w:val="both"/>
      </w:pPr>
      <w:r w:rsidRPr="004E14BB">
        <w:t xml:space="preserve">Cattle and other ungulates show documented sensitivity to underground water movement, electromagnetic anomalies in certain rock formations, and ground vibration. Stalagmites form where water has dripped consistently over long periods. The same water movement that creates a stalagmite creates detectable physical signals at the surface. The hypothesis — framed explicitly as such — is that the cow </w:t>
      </w:r>
      <w:proofErr w:type="spellStart"/>
      <w:r w:rsidRPr="004E14BB">
        <w:t>behaviour</w:t>
      </w:r>
      <w:proofErr w:type="spellEnd"/>
      <w:r w:rsidRPr="004E14BB">
        <w:t xml:space="preserve"> at </w:t>
      </w:r>
      <w:proofErr w:type="spellStart"/>
      <w:r w:rsidRPr="004E14BB">
        <w:t>Gombeshwar</w:t>
      </w:r>
      <w:proofErr w:type="spellEnd"/>
      <w:r w:rsidRPr="004E14BB">
        <w:t xml:space="preserve"> reflects genuine geophysical sensitivity to the cave's physical properties, which human communities then interpreted symbolically using the frameworks available to them.</w:t>
      </w:r>
    </w:p>
    <w:p w14:paraId="11395099" w14:textId="77777777" w:rsidR="00EE4420" w:rsidRPr="004E14BB" w:rsidRDefault="00000000">
      <w:pPr>
        <w:spacing w:before="80" w:after="80" w:line="320" w:lineRule="auto"/>
        <w:jc w:val="both"/>
      </w:pPr>
      <w:r w:rsidRPr="004E14BB">
        <w:t xml:space="preserve">This does not require ancient sacred usage. It requires only that the physical properties of the site were real and detectable, and that the symbolic grammar of the Shaivite tradition was sufficiently developed to </w:t>
      </w:r>
      <w:proofErr w:type="spellStart"/>
      <w:r w:rsidRPr="004E14BB">
        <w:t>recognise</w:t>
      </w:r>
      <w:proofErr w:type="spellEnd"/>
      <w:r w:rsidRPr="004E14BB">
        <w:t xml:space="preserve"> what the animal's </w:t>
      </w:r>
      <w:proofErr w:type="spellStart"/>
      <w:r w:rsidRPr="004E14BB">
        <w:t>behaviour</w:t>
      </w:r>
      <w:proofErr w:type="spellEnd"/>
      <w:r w:rsidRPr="004E14BB">
        <w:t xml:space="preserve"> was indicating. Both conditions are met by the 19th century evidence without requiring anything older.</w:t>
      </w:r>
    </w:p>
    <w:p w14:paraId="5ED5A824" w14:textId="77777777" w:rsidR="00EE4420" w:rsidRPr="004E14BB" w:rsidRDefault="00000000">
      <w:pPr>
        <w:pStyle w:val="Heading2"/>
        <w:rPr>
          <w:color w:val="auto"/>
        </w:rPr>
      </w:pPr>
      <w:r w:rsidRPr="004E14BB">
        <w:rPr>
          <w:color w:val="auto"/>
        </w:rPr>
        <w:t>5.4 The Research Gap</w:t>
      </w:r>
    </w:p>
    <w:p w14:paraId="45A04D83" w14:textId="77777777" w:rsidR="00EE4420" w:rsidRPr="004E14BB" w:rsidRDefault="00000000">
      <w:pPr>
        <w:spacing w:before="80" w:after="80" w:line="320" w:lineRule="auto"/>
        <w:jc w:val="both"/>
      </w:pPr>
      <w:r w:rsidRPr="004E14BB">
        <w:t xml:space="preserve">The </w:t>
      </w:r>
      <w:proofErr w:type="spellStart"/>
      <w:r w:rsidRPr="004E14BB">
        <w:t>Gombeshwar</w:t>
      </w:r>
      <w:proofErr w:type="spellEnd"/>
      <w:r w:rsidRPr="004E14BB">
        <w:t xml:space="preserve"> cave has never been archaeologically investigated. No dating of cave deposits, stalagmite growth layers, or associated material has been conducted. The coastal location — the cave sits directly on the Indian Ocean — means that any pre-colonial material culture would be subject to the same taphonomic pressures that affect all coastal sites: wave action, salt water, periodic inundation during high sea events.</w:t>
      </w:r>
    </w:p>
    <w:p w14:paraId="31CA6BAA" w14:textId="77777777" w:rsidR="00EE4420" w:rsidRPr="004E14BB" w:rsidRDefault="00000000">
      <w:pPr>
        <w:spacing w:before="80" w:after="80" w:line="320" w:lineRule="auto"/>
        <w:jc w:val="both"/>
      </w:pPr>
      <w:r w:rsidRPr="004E14BB">
        <w:t xml:space="preserve">This paper calls for a basic archaeological investigation of the cave: sediment sampling, stalagmite growth ring analysis, and a systematic survey for any pre-colonial material culture. The investigation may return null results, which would confirm the 19th century hypothesis. It may return evidence of earlier usage, which would be significant. </w:t>
      </w:r>
      <w:proofErr w:type="gramStart"/>
      <w:r w:rsidRPr="004E14BB">
        <w:t>Either outcome</w:t>
      </w:r>
      <w:proofErr w:type="gramEnd"/>
      <w:r w:rsidRPr="004E14BB">
        <w:t xml:space="preserve"> advances knowledge. The investigation has not been done.</w:t>
      </w:r>
    </w:p>
    <w:p w14:paraId="7A28C070" w14:textId="77777777" w:rsidR="00B649E0" w:rsidRPr="004E14BB" w:rsidRDefault="00B649E0">
      <w:pPr>
        <w:pStyle w:val="Heading1"/>
        <w:rPr>
          <w:color w:val="auto"/>
        </w:rPr>
      </w:pPr>
    </w:p>
    <w:p w14:paraId="21133D21" w14:textId="77777777" w:rsidR="00B649E0" w:rsidRPr="004E14BB" w:rsidRDefault="00B649E0">
      <w:pPr>
        <w:pStyle w:val="Heading1"/>
        <w:rPr>
          <w:color w:val="auto"/>
        </w:rPr>
      </w:pPr>
    </w:p>
    <w:p w14:paraId="4322E39C" w14:textId="77777777" w:rsidR="00B649E0" w:rsidRPr="004E14BB" w:rsidRDefault="00B649E0">
      <w:pPr>
        <w:pStyle w:val="Heading1"/>
        <w:rPr>
          <w:color w:val="auto"/>
        </w:rPr>
      </w:pPr>
    </w:p>
    <w:p w14:paraId="2F30E59F" w14:textId="77777777" w:rsidR="00B649E0" w:rsidRPr="004E14BB" w:rsidRDefault="00B649E0">
      <w:pPr>
        <w:pStyle w:val="Heading1"/>
        <w:rPr>
          <w:color w:val="auto"/>
        </w:rPr>
      </w:pPr>
    </w:p>
    <w:p w14:paraId="3D9120C4" w14:textId="2C82C0F3" w:rsidR="00EE4420" w:rsidRPr="004E14BB" w:rsidRDefault="00000000">
      <w:pPr>
        <w:pStyle w:val="Heading1"/>
        <w:rPr>
          <w:color w:val="auto"/>
        </w:rPr>
      </w:pPr>
      <w:r w:rsidRPr="004E14BB">
        <w:rPr>
          <w:color w:val="auto"/>
        </w:rPr>
        <w:lastRenderedPageBreak/>
        <w:t>6. Synthesis: The DSSM Framework Applied</w:t>
      </w:r>
    </w:p>
    <w:p w14:paraId="03A2C80A" w14:textId="77777777" w:rsidR="00EE4420" w:rsidRPr="004E14BB" w:rsidRDefault="00000000">
      <w:pPr>
        <w:spacing w:before="80" w:after="80" w:line="320" w:lineRule="auto"/>
        <w:jc w:val="both"/>
      </w:pPr>
      <w:r w:rsidRPr="004E14BB">
        <w:t>The argument assembled in this paper has the following structure under DSSM:</w:t>
      </w:r>
    </w:p>
    <w:p w14:paraId="16E0CA07" w14:textId="77777777" w:rsidR="00EE4420" w:rsidRPr="004E14BB" w:rsidRDefault="00000000">
      <w:pPr>
        <w:pStyle w:val="ListParagraph"/>
        <w:numPr>
          <w:ilvl w:val="0"/>
          <w:numId w:val="2"/>
        </w:numPr>
        <w:spacing w:before="60" w:after="60" w:line="300" w:lineRule="auto"/>
      </w:pPr>
      <w:r w:rsidRPr="004E14BB">
        <w:t xml:space="preserve">Stage I–II symbolic </w:t>
      </w:r>
      <w:proofErr w:type="spellStart"/>
      <w:r w:rsidRPr="004E14BB">
        <w:t>behaviour</w:t>
      </w:r>
      <w:proofErr w:type="spellEnd"/>
      <w:r w:rsidRPr="004E14BB">
        <w:t xml:space="preserve"> is present in South Asia from at least 48,000 BCE (</w:t>
      </w:r>
      <w:proofErr w:type="spellStart"/>
      <w:r w:rsidRPr="004E14BB">
        <w:t>Balangoda</w:t>
      </w:r>
      <w:proofErr w:type="spellEnd"/>
      <w:r w:rsidRPr="004E14BB">
        <w:t xml:space="preserve"> Man, Fa Hien Cave) — the cognitive substrate is confirmed</w:t>
      </w:r>
    </w:p>
    <w:p w14:paraId="48B33054" w14:textId="77777777" w:rsidR="00EE4420" w:rsidRPr="004E14BB" w:rsidRDefault="00000000">
      <w:pPr>
        <w:pStyle w:val="ListParagraph"/>
        <w:numPr>
          <w:ilvl w:val="0"/>
          <w:numId w:val="2"/>
        </w:numPr>
        <w:spacing w:before="60" w:after="60" w:line="300" w:lineRule="auto"/>
      </w:pPr>
      <w:r w:rsidRPr="004E14BB">
        <w:t>The Toba bottleneck (~74,000 BCE) created conditions — demographic compression, ecological stress, population isolation — that DSSM predicts would accelerate symbolic consolidation</w:t>
      </w:r>
    </w:p>
    <w:p w14:paraId="1D51F2CA" w14:textId="77777777" w:rsidR="00EE4420" w:rsidRPr="004E14BB" w:rsidRDefault="00000000">
      <w:pPr>
        <w:pStyle w:val="ListParagraph"/>
        <w:numPr>
          <w:ilvl w:val="0"/>
          <w:numId w:val="2"/>
        </w:numPr>
        <w:spacing w:before="60" w:after="60" w:line="300" w:lineRule="auto"/>
      </w:pPr>
      <w:r w:rsidRPr="004E14BB">
        <w:t>Post-glacial sea level rise systematically submerged the primary habitation zones of coastal South and Southeast Asian populations, creating a preservation gap that the current archaeological record cannot fill from surface sites alone</w:t>
      </w:r>
    </w:p>
    <w:p w14:paraId="6BDBF4EA" w14:textId="77777777" w:rsidR="00EE4420" w:rsidRPr="004E14BB" w:rsidRDefault="00000000">
      <w:pPr>
        <w:pStyle w:val="ListParagraph"/>
        <w:numPr>
          <w:ilvl w:val="0"/>
          <w:numId w:val="2"/>
        </w:numPr>
        <w:spacing w:before="60" w:after="60" w:line="300" w:lineRule="auto"/>
      </w:pPr>
      <w:r w:rsidRPr="004E14BB">
        <w:t xml:space="preserve">The IVC represents a Stage III–IV </w:t>
      </w:r>
      <w:proofErr w:type="spellStart"/>
      <w:r w:rsidRPr="004E14BB">
        <w:t>materialisation</w:t>
      </w:r>
      <w:proofErr w:type="spellEnd"/>
      <w:r w:rsidRPr="004E14BB">
        <w:t xml:space="preserve"> of a symbolic tradition with a much longer oral and ritual history — comparable in this respect to the relationship between </w:t>
      </w:r>
      <w:proofErr w:type="spellStart"/>
      <w:r w:rsidRPr="004E14BB">
        <w:t>Vinča</w:t>
      </w:r>
      <w:proofErr w:type="spellEnd"/>
      <w:r w:rsidRPr="004E14BB">
        <w:t xml:space="preserve"> symbolic dispersal and the symbolic vocabularies of successor European cultures</w:t>
      </w:r>
    </w:p>
    <w:p w14:paraId="704FA46C" w14:textId="77777777" w:rsidR="00EE4420" w:rsidRPr="004E14BB" w:rsidRDefault="00000000">
      <w:pPr>
        <w:pStyle w:val="ListParagraph"/>
        <w:numPr>
          <w:ilvl w:val="0"/>
          <w:numId w:val="2"/>
        </w:numPr>
        <w:spacing w:before="60" w:after="60" w:line="300" w:lineRule="auto"/>
      </w:pPr>
      <w:r w:rsidRPr="004E14BB">
        <w:t xml:space="preserve">IVC decline under climatic stress dispersed rather than destroyed the Dravidian symbolic tradition — the </w:t>
      </w:r>
      <w:proofErr w:type="spellStart"/>
      <w:r w:rsidRPr="004E14BB">
        <w:t>Vinča</w:t>
      </w:r>
      <w:proofErr w:type="spellEnd"/>
      <w:r w:rsidRPr="004E14BB">
        <w:t xml:space="preserve"> pattern applied to South Asia</w:t>
      </w:r>
    </w:p>
    <w:p w14:paraId="3A63C755" w14:textId="77777777" w:rsidR="00EE4420" w:rsidRPr="004E14BB" w:rsidRDefault="00000000">
      <w:pPr>
        <w:pStyle w:val="ListParagraph"/>
        <w:numPr>
          <w:ilvl w:val="0"/>
          <w:numId w:val="2"/>
        </w:numPr>
        <w:spacing w:before="60" w:after="60" w:line="300" w:lineRule="auto"/>
      </w:pPr>
      <w:r w:rsidRPr="004E14BB">
        <w:t>Tamil preserves the oldest continuous literary tradition in South Asia outside Sanskrit, suggesting it encodes a spoken symbolic tradition of considerable depth</w:t>
      </w:r>
    </w:p>
    <w:p w14:paraId="20E2EAB6" w14:textId="77777777" w:rsidR="00EE4420" w:rsidRPr="004E14BB" w:rsidRDefault="00000000">
      <w:pPr>
        <w:pStyle w:val="ListParagraph"/>
        <w:numPr>
          <w:ilvl w:val="0"/>
          <w:numId w:val="2"/>
        </w:numPr>
        <w:spacing w:before="60" w:after="60" w:line="300" w:lineRule="auto"/>
      </w:pPr>
      <w:r w:rsidRPr="004E14BB">
        <w:t xml:space="preserve">The Indian Ocean trade network carried Shaivite symbolic grammar across the ocean world, producing contact zone phenomena — the </w:t>
      </w:r>
      <w:proofErr w:type="spellStart"/>
      <w:r w:rsidRPr="004E14BB">
        <w:t>Gombeshwar</w:t>
      </w:r>
      <w:proofErr w:type="spellEnd"/>
      <w:r w:rsidRPr="004E14BB">
        <w:t xml:space="preserve"> cave, the Temple of Isis at Delos pattern — that are evidence of symbolic portability rather than ancient sacred geography</w:t>
      </w:r>
    </w:p>
    <w:p w14:paraId="3C5311FF" w14:textId="77777777" w:rsidR="00EE4420" w:rsidRPr="004E14BB" w:rsidRDefault="00000000">
      <w:pPr>
        <w:spacing w:before="80" w:after="80" w:line="320" w:lineRule="auto"/>
        <w:jc w:val="both"/>
      </w:pPr>
      <w:r w:rsidRPr="004E14BB">
        <w:t xml:space="preserve">Each of these claims is supported by evidence at varying confidence levels. The synthesis </w:t>
      </w:r>
      <w:proofErr w:type="gramStart"/>
      <w:r w:rsidRPr="004E14BB">
        <w:t>as a whole is</w:t>
      </w:r>
      <w:proofErr w:type="gramEnd"/>
      <w:r w:rsidRPr="004E14BB">
        <w:t xml:space="preserve"> a hypothesis. Its value is in generating a coherent research agenda, not in asserting conclusions the evidence does not yet support.</w:t>
      </w:r>
    </w:p>
    <w:p w14:paraId="59E64139" w14:textId="77777777" w:rsidR="00EE4420" w:rsidRPr="004E14BB" w:rsidRDefault="00000000">
      <w:pPr>
        <w:pStyle w:val="Heading1"/>
        <w:rPr>
          <w:color w:val="auto"/>
        </w:rPr>
      </w:pPr>
      <w:r w:rsidRPr="004E14BB">
        <w:rPr>
          <w:color w:val="auto"/>
        </w:rPr>
        <w:t>7. Confidence Assessment</w:t>
      </w:r>
    </w:p>
    <w:p w14:paraId="7160FC86" w14:textId="77777777" w:rsidR="00EE4420" w:rsidRPr="004E14BB" w:rsidRDefault="00000000">
      <w:pPr>
        <w:spacing w:before="100" w:after="100"/>
      </w:pPr>
      <w:r w:rsidRPr="004E14BB">
        <w:rPr>
          <w:i/>
          <w:iCs/>
        </w:rPr>
        <w:t>Following DSSM methodological standards:</w:t>
      </w:r>
    </w:p>
    <w:p w14:paraId="30C49233" w14:textId="77777777" w:rsidR="00EE4420" w:rsidRPr="004E14BB" w:rsidRDefault="00000000">
      <w:pPr>
        <w:spacing w:before="80" w:after="80" w:line="320" w:lineRule="auto"/>
        <w:jc w:val="both"/>
      </w:pPr>
      <w:r w:rsidRPr="004E14BB">
        <w:t xml:space="preserve">High confidence: </w:t>
      </w:r>
      <w:proofErr w:type="spellStart"/>
      <w:r w:rsidRPr="004E14BB">
        <w:t>Balangoda</w:t>
      </w:r>
      <w:proofErr w:type="spellEnd"/>
      <w:r w:rsidRPr="004E14BB">
        <w:t xml:space="preserve"> Man presence in South Asia from ~48,000 BCE; IVC as Stage III–IV symbolic </w:t>
      </w:r>
      <w:proofErr w:type="spellStart"/>
      <w:r w:rsidRPr="004E14BB">
        <w:t>civilisation</w:t>
      </w:r>
      <w:proofErr w:type="spellEnd"/>
      <w:r w:rsidRPr="004E14BB">
        <w:t xml:space="preserve">; Dravidian linguistic priority over Indo-Aryan in South Asia; </w:t>
      </w:r>
      <w:proofErr w:type="spellStart"/>
      <w:r w:rsidRPr="004E14BB">
        <w:t>Sundaland</w:t>
      </w:r>
      <w:proofErr w:type="spellEnd"/>
      <w:r w:rsidRPr="004E14BB">
        <w:t xml:space="preserve"> submersion as documented geology; Indian Ocean trade network from ~3000 BCE; </w:t>
      </w:r>
      <w:proofErr w:type="spellStart"/>
      <w:r w:rsidRPr="004E14BB">
        <w:t>Vinča</w:t>
      </w:r>
      <w:proofErr w:type="spellEnd"/>
      <w:r w:rsidRPr="004E14BB">
        <w:t xml:space="preserve"> dispersal pattern as documented archaeological record; </w:t>
      </w:r>
      <w:proofErr w:type="spellStart"/>
      <w:r w:rsidRPr="004E14BB">
        <w:t>Gombeshwar</w:t>
      </w:r>
      <w:proofErr w:type="spellEnd"/>
      <w:r w:rsidRPr="004E14BB">
        <w:t xml:space="preserve"> formal temple as 19th century construction.</w:t>
      </w:r>
    </w:p>
    <w:p w14:paraId="00296933" w14:textId="77777777" w:rsidR="00EE4420" w:rsidRPr="004E14BB" w:rsidRDefault="00000000">
      <w:pPr>
        <w:spacing w:before="80" w:after="80" w:line="320" w:lineRule="auto"/>
        <w:jc w:val="both"/>
      </w:pPr>
      <w:r w:rsidRPr="004E14BB">
        <w:t>Medium confidence: Post-Toba refugia consolidation of South Asian symbolic systems; IVC seal script as functional symbolic system without phonetic pressure; Proto-Dravidian spoken tradition predating IVC urban phase; Dravidian-IVC connection via Brahui; animal geophysical sensitivity as detection mechanism at sacred cave sites.</w:t>
      </w:r>
    </w:p>
    <w:p w14:paraId="4FB5859F" w14:textId="77777777" w:rsidR="00EE4420" w:rsidRPr="004E14BB" w:rsidRDefault="00000000">
      <w:pPr>
        <w:spacing w:before="80" w:after="80" w:line="320" w:lineRule="auto"/>
        <w:jc w:val="both"/>
      </w:pPr>
      <w:r w:rsidRPr="004E14BB">
        <w:lastRenderedPageBreak/>
        <w:t xml:space="preserve">Low confidence / hypothesis: </w:t>
      </w:r>
      <w:proofErr w:type="spellStart"/>
      <w:r w:rsidRPr="004E14BB">
        <w:t>Sundaland</w:t>
      </w:r>
      <w:proofErr w:type="spellEnd"/>
      <w:r w:rsidRPr="004E14BB">
        <w:t xml:space="preserve"> as location of pre-8000 BCE symbolic </w:t>
      </w:r>
      <w:proofErr w:type="spellStart"/>
      <w:r w:rsidRPr="004E14BB">
        <w:t>civilisation</w:t>
      </w:r>
      <w:proofErr w:type="spellEnd"/>
      <w:r w:rsidRPr="004E14BB">
        <w:t xml:space="preserve">; </w:t>
      </w:r>
      <w:proofErr w:type="spellStart"/>
      <w:r w:rsidRPr="004E14BB">
        <w:t>Gombeshwar</w:t>
      </w:r>
      <w:proofErr w:type="spellEnd"/>
      <w:r w:rsidRPr="004E14BB">
        <w:t xml:space="preserve"> cave as pre-colonial sacred site; Tamil Nadu as </w:t>
      </w:r>
      <w:proofErr w:type="spellStart"/>
      <w:r w:rsidRPr="004E14BB">
        <w:t>civilisational</w:t>
      </w:r>
      <w:proofErr w:type="spellEnd"/>
      <w:r w:rsidRPr="004E14BB">
        <w:t xml:space="preserve"> origin of equivalent scale to Egypt or Mesopotamia before IVC documentation; direct continuity from post-Toba populations to historical Tamil culture.</w:t>
      </w:r>
    </w:p>
    <w:p w14:paraId="01D3F22B" w14:textId="77777777" w:rsidR="00EE4420" w:rsidRPr="004E14BB" w:rsidRDefault="00000000">
      <w:pPr>
        <w:pStyle w:val="Heading1"/>
        <w:rPr>
          <w:color w:val="auto"/>
        </w:rPr>
      </w:pPr>
      <w:r w:rsidRPr="004E14BB">
        <w:rPr>
          <w:color w:val="auto"/>
        </w:rPr>
        <w:t>8. Research Agenda</w:t>
      </w:r>
    </w:p>
    <w:p w14:paraId="3AFE0F79" w14:textId="77777777" w:rsidR="00EE4420" w:rsidRPr="004E14BB" w:rsidRDefault="00000000">
      <w:pPr>
        <w:spacing w:before="80" w:after="80" w:line="320" w:lineRule="auto"/>
        <w:jc w:val="both"/>
      </w:pPr>
      <w:r w:rsidRPr="004E14BB">
        <w:t>This paper calls for the following investigations:</w:t>
      </w:r>
    </w:p>
    <w:p w14:paraId="3FA4631C" w14:textId="77777777" w:rsidR="00EE4420" w:rsidRPr="004E14BB" w:rsidRDefault="00000000">
      <w:pPr>
        <w:pStyle w:val="ListParagraph"/>
        <w:numPr>
          <w:ilvl w:val="0"/>
          <w:numId w:val="2"/>
        </w:numPr>
        <w:spacing w:before="60" w:after="60" w:line="300" w:lineRule="auto"/>
      </w:pPr>
      <w:r w:rsidRPr="004E14BB">
        <w:t>Systematic underwater archaeological survey of the Gulf of Mannar, Palk Strait, and shallow coastal zones of Tamil Nadu and Sri Lanka for submerged habitation sites from the 8000–3000 BCE transition period</w:t>
      </w:r>
    </w:p>
    <w:p w14:paraId="207B04F6" w14:textId="77777777" w:rsidR="00EE4420" w:rsidRPr="004E14BB" w:rsidRDefault="00000000">
      <w:pPr>
        <w:pStyle w:val="ListParagraph"/>
        <w:numPr>
          <w:ilvl w:val="0"/>
          <w:numId w:val="2"/>
        </w:numPr>
        <w:spacing w:before="60" w:after="60" w:line="300" w:lineRule="auto"/>
      </w:pPr>
      <w:r w:rsidRPr="004E14BB">
        <w:t xml:space="preserve">Archaeological investigation of </w:t>
      </w:r>
      <w:proofErr w:type="spellStart"/>
      <w:r w:rsidRPr="004E14BB">
        <w:t>Gombeshwar</w:t>
      </w:r>
      <w:proofErr w:type="spellEnd"/>
      <w:r w:rsidRPr="004E14BB">
        <w:t xml:space="preserve"> cave: sediment dating, stalagmite growth analysis, systematic survey for pre-colonial material culture</w:t>
      </w:r>
    </w:p>
    <w:p w14:paraId="2A7A1867" w14:textId="77777777" w:rsidR="00EE4420" w:rsidRPr="004E14BB" w:rsidRDefault="00000000">
      <w:pPr>
        <w:pStyle w:val="ListParagraph"/>
        <w:numPr>
          <w:ilvl w:val="0"/>
          <w:numId w:val="2"/>
        </w:numPr>
        <w:spacing w:before="60" w:after="60" w:line="300" w:lineRule="auto"/>
      </w:pPr>
      <w:r w:rsidRPr="004E14BB">
        <w:t xml:space="preserve">Comparative analysis of founding narratives for </w:t>
      </w:r>
      <w:proofErr w:type="spellStart"/>
      <w:r w:rsidRPr="004E14BB">
        <w:t>svayambhu</w:t>
      </w:r>
      <w:proofErr w:type="spellEnd"/>
      <w:r w:rsidRPr="004E14BB">
        <w:t xml:space="preserve"> Lingam sites across the Indian Ocean world — Borra Caves, </w:t>
      </w:r>
      <w:proofErr w:type="spellStart"/>
      <w:r w:rsidRPr="004E14BB">
        <w:t>Gombeshwar</w:t>
      </w:r>
      <w:proofErr w:type="spellEnd"/>
      <w:r w:rsidRPr="004E14BB">
        <w:t>, and any analogous sites — for evidence of a shared detection protocol</w:t>
      </w:r>
    </w:p>
    <w:p w14:paraId="2906E263" w14:textId="77777777" w:rsidR="00EE4420" w:rsidRPr="004E14BB" w:rsidRDefault="00000000">
      <w:pPr>
        <w:pStyle w:val="ListParagraph"/>
        <w:numPr>
          <w:ilvl w:val="0"/>
          <w:numId w:val="2"/>
        </w:numPr>
        <w:spacing w:before="60" w:after="60" w:line="300" w:lineRule="auto"/>
      </w:pPr>
      <w:r w:rsidRPr="004E14BB">
        <w:t xml:space="preserve">Genetic analysis of </w:t>
      </w:r>
      <w:proofErr w:type="spellStart"/>
      <w:r w:rsidRPr="004E14BB">
        <w:t>Balangoda</w:t>
      </w:r>
      <w:proofErr w:type="spellEnd"/>
      <w:r w:rsidRPr="004E14BB">
        <w:t xml:space="preserve"> Man descendants (Vedda people of Sri Lanka) for Denisovan admixture signatures, which would place them within the broader Asian H. sapiens / archaic hominin contact zone</w:t>
      </w:r>
    </w:p>
    <w:p w14:paraId="0827C7EF" w14:textId="77777777" w:rsidR="00EE4420" w:rsidRPr="004E14BB" w:rsidRDefault="00000000">
      <w:pPr>
        <w:pStyle w:val="ListParagraph"/>
        <w:numPr>
          <w:ilvl w:val="0"/>
          <w:numId w:val="2"/>
        </w:numPr>
        <w:spacing w:before="60" w:after="60" w:line="300" w:lineRule="auto"/>
      </w:pPr>
      <w:r w:rsidRPr="004E14BB">
        <w:t>Systematic comparison of IVC seal signs with early Tamil Brahmi inscriptions for structural continuities that would support a symbolic — rather than purely phonetic — inheritance</w:t>
      </w:r>
    </w:p>
    <w:p w14:paraId="792DD8BD" w14:textId="77777777" w:rsidR="00EE4420" w:rsidRPr="004E14BB" w:rsidRDefault="00000000">
      <w:pPr>
        <w:pStyle w:val="Heading1"/>
        <w:rPr>
          <w:color w:val="auto"/>
        </w:rPr>
      </w:pPr>
      <w:r w:rsidRPr="004E14BB">
        <w:rPr>
          <w:color w:val="auto"/>
        </w:rPr>
        <w:t>9. SDG Alignment</w:t>
      </w:r>
    </w:p>
    <w:p w14:paraId="6EE0BE59" w14:textId="77777777" w:rsidR="00EE4420" w:rsidRPr="004E14BB" w:rsidRDefault="00000000">
      <w:pPr>
        <w:spacing w:before="80" w:after="80" w:line="320" w:lineRule="auto"/>
        <w:jc w:val="both"/>
      </w:pPr>
      <w:r w:rsidRPr="004E14BB">
        <w:t>This research aligns with the following United Nations Sustainable Development Goals:</w:t>
      </w:r>
    </w:p>
    <w:p w14:paraId="3EF3478E" w14:textId="77777777" w:rsidR="00EE4420" w:rsidRPr="004E14BB" w:rsidRDefault="00000000">
      <w:pPr>
        <w:pStyle w:val="ListParagraph"/>
        <w:numPr>
          <w:ilvl w:val="0"/>
          <w:numId w:val="2"/>
        </w:numPr>
        <w:spacing w:before="60" w:after="60" w:line="300" w:lineRule="auto"/>
      </w:pPr>
      <w:r w:rsidRPr="004E14BB">
        <w:t xml:space="preserve">SDG 4 (Quality Education): Recovering suppressed or underrepresented </w:t>
      </w:r>
      <w:proofErr w:type="spellStart"/>
      <w:r w:rsidRPr="004E14BB">
        <w:t>civilisational</w:t>
      </w:r>
      <w:proofErr w:type="spellEnd"/>
      <w:r w:rsidRPr="004E14BB">
        <w:t xml:space="preserve"> histories contributes to more accurate and inclusive historical education globally</w:t>
      </w:r>
    </w:p>
    <w:p w14:paraId="160CE9BB" w14:textId="77777777" w:rsidR="00EE4420" w:rsidRPr="004E14BB" w:rsidRDefault="00000000">
      <w:pPr>
        <w:pStyle w:val="ListParagraph"/>
        <w:numPr>
          <w:ilvl w:val="0"/>
          <w:numId w:val="2"/>
        </w:numPr>
        <w:spacing w:before="60" w:after="60" w:line="300" w:lineRule="auto"/>
      </w:pPr>
      <w:r w:rsidRPr="004E14BB">
        <w:t xml:space="preserve">SDG 10 (Reduced Inequalities): Establishing the Dravidian world as a deep symbolic </w:t>
      </w:r>
      <w:proofErr w:type="spellStart"/>
      <w:r w:rsidRPr="004E14BB">
        <w:t>civilisation</w:t>
      </w:r>
      <w:proofErr w:type="spellEnd"/>
      <w:r w:rsidRPr="004E14BB">
        <w:t xml:space="preserve"> of comparable complexity to Egypt and Mesopotamia addresses a systematic inequity in how </w:t>
      </w:r>
      <w:proofErr w:type="spellStart"/>
      <w:r w:rsidRPr="004E14BB">
        <w:t>civilisational</w:t>
      </w:r>
      <w:proofErr w:type="spellEnd"/>
      <w:r w:rsidRPr="004E14BB">
        <w:t xml:space="preserve"> origin is narrated and </w:t>
      </w:r>
      <w:proofErr w:type="spellStart"/>
      <w:r w:rsidRPr="004E14BB">
        <w:t>recognised</w:t>
      </w:r>
      <w:proofErr w:type="spellEnd"/>
    </w:p>
    <w:p w14:paraId="086F67EE" w14:textId="77777777" w:rsidR="00EE4420" w:rsidRPr="004E14BB" w:rsidRDefault="00000000">
      <w:pPr>
        <w:pStyle w:val="ListParagraph"/>
        <w:numPr>
          <w:ilvl w:val="0"/>
          <w:numId w:val="2"/>
        </w:numPr>
        <w:spacing w:before="60" w:after="60" w:line="300" w:lineRule="auto"/>
      </w:pPr>
      <w:r w:rsidRPr="004E14BB">
        <w:t xml:space="preserve">SDG 11 (Sustainable Cities and Communities): Understanding how ancient coastal </w:t>
      </w:r>
      <w:proofErr w:type="spellStart"/>
      <w:r w:rsidRPr="004E14BB">
        <w:t>civilisations</w:t>
      </w:r>
      <w:proofErr w:type="spellEnd"/>
      <w:r w:rsidRPr="004E14BB">
        <w:t xml:space="preserve"> responded to climatic stress and sea level rise provides relevant models for contemporary coastal communities facing similar pressures</w:t>
      </w:r>
    </w:p>
    <w:p w14:paraId="34F2C365" w14:textId="77777777" w:rsidR="00EE4420" w:rsidRPr="004E14BB" w:rsidRDefault="00000000">
      <w:pPr>
        <w:pStyle w:val="ListParagraph"/>
        <w:numPr>
          <w:ilvl w:val="0"/>
          <w:numId w:val="2"/>
        </w:numPr>
        <w:spacing w:before="60" w:after="60" w:line="300" w:lineRule="auto"/>
      </w:pPr>
      <w:r w:rsidRPr="004E14BB">
        <w:t xml:space="preserve">SDG 13 (Climate Action): The paper demonstrates the </w:t>
      </w:r>
      <w:proofErr w:type="spellStart"/>
      <w:r w:rsidRPr="004E14BB">
        <w:t>civilisational</w:t>
      </w:r>
      <w:proofErr w:type="spellEnd"/>
      <w:r w:rsidRPr="004E14BB">
        <w:t xml:space="preserve"> consequences of climatic stress — the Toba bottleneck, post-glacial sea level rise, IVC climate decline — as a long-term record relevant to current climate discourse</w:t>
      </w:r>
    </w:p>
    <w:p w14:paraId="603EBA6E" w14:textId="77777777" w:rsidR="00EE4420" w:rsidRPr="004E14BB" w:rsidRDefault="00000000">
      <w:pPr>
        <w:pStyle w:val="ListParagraph"/>
        <w:numPr>
          <w:ilvl w:val="0"/>
          <w:numId w:val="2"/>
        </w:numPr>
        <w:spacing w:before="60" w:after="60" w:line="300" w:lineRule="auto"/>
      </w:pPr>
      <w:r w:rsidRPr="004E14BB">
        <w:t>SDG 17 (Partnerships for the Goals): The research agenda proposed requires international archaeological collaboration across Kenya, Sri Lanka, India, and Indonesia</w:t>
      </w:r>
    </w:p>
    <w:p w14:paraId="6182E567" w14:textId="77777777" w:rsidR="00EE4420" w:rsidRPr="004E14BB" w:rsidRDefault="00000000">
      <w:pPr>
        <w:pStyle w:val="Heading1"/>
        <w:rPr>
          <w:color w:val="auto"/>
        </w:rPr>
      </w:pPr>
      <w:r w:rsidRPr="004E14BB">
        <w:rPr>
          <w:color w:val="auto"/>
        </w:rPr>
        <w:lastRenderedPageBreak/>
        <w:t>10. Conclusion</w:t>
      </w:r>
    </w:p>
    <w:p w14:paraId="75A77948" w14:textId="77777777" w:rsidR="00EE4420" w:rsidRPr="004E14BB" w:rsidRDefault="00000000">
      <w:pPr>
        <w:spacing w:before="80" w:after="80" w:line="320" w:lineRule="auto"/>
        <w:jc w:val="both"/>
      </w:pPr>
      <w:r w:rsidRPr="004E14BB">
        <w:t xml:space="preserve">The absence of a well-documented pre-3000 BCE Dravidian </w:t>
      </w:r>
      <w:proofErr w:type="spellStart"/>
      <w:r w:rsidRPr="004E14BB">
        <w:t>civilisational</w:t>
      </w:r>
      <w:proofErr w:type="spellEnd"/>
      <w:r w:rsidRPr="004E14BB">
        <w:t xml:space="preserve"> record is not evidence of absence. It is evidence of a systematic preservation problem: the primary habitation zones of coastal South and Southeast Asian populations were progressively submerged over a 13,000-year period, and the resulting underwater sites have not been systematically investigated.</w:t>
      </w:r>
    </w:p>
    <w:p w14:paraId="34E4A955" w14:textId="77777777" w:rsidR="00EE4420" w:rsidRPr="004E14BB" w:rsidRDefault="00000000">
      <w:pPr>
        <w:spacing w:before="80" w:after="80" w:line="320" w:lineRule="auto"/>
        <w:jc w:val="both"/>
      </w:pPr>
      <w:r w:rsidRPr="004E14BB">
        <w:t xml:space="preserve">The IVC, when examined through the DSSM framework, looks less like a sudden urban emergence and more like the Stage III </w:t>
      </w:r>
      <w:proofErr w:type="spellStart"/>
      <w:r w:rsidRPr="004E14BB">
        <w:t>materialisation</w:t>
      </w:r>
      <w:proofErr w:type="spellEnd"/>
      <w:r w:rsidRPr="004E14BB">
        <w:t xml:space="preserve"> of symbolic systems with deep roots in an earlier, largely unpreserved world. Its decline dispersed rather than destroyed those systems. Tamil Nadu and the broader Dravidian cultural world are the inheritors of that dispersal — a living symbolic tradition whose depth the current archaeological record cannot yet fully account for.</w:t>
      </w:r>
    </w:p>
    <w:p w14:paraId="4340E431" w14:textId="77777777" w:rsidR="00EE4420" w:rsidRPr="004E14BB" w:rsidRDefault="00000000">
      <w:pPr>
        <w:spacing w:before="80" w:after="80" w:line="320" w:lineRule="auto"/>
        <w:jc w:val="both"/>
      </w:pPr>
      <w:r w:rsidRPr="004E14BB">
        <w:t xml:space="preserve">The </w:t>
      </w:r>
      <w:proofErr w:type="spellStart"/>
      <w:r w:rsidRPr="004E14BB">
        <w:t>Gombeshwar</w:t>
      </w:r>
      <w:proofErr w:type="spellEnd"/>
      <w:r w:rsidRPr="004E14BB">
        <w:t xml:space="preserve"> cave in Mombasa is a small but precise illustration of how Indian Ocean symbolic exchange operated: not through conquest or religious imperialism but through the recognition, across trade networks, of natural formations that existing symbolic grammars were equipped to identify as sacred. It is a 19th century case study with ancient structural antecedents.</w:t>
      </w:r>
    </w:p>
    <w:p w14:paraId="2B7EFC20" w14:textId="77777777" w:rsidR="00EE4420" w:rsidRPr="004E14BB" w:rsidRDefault="00000000">
      <w:pPr>
        <w:spacing w:before="80" w:after="80" w:line="320" w:lineRule="auto"/>
        <w:jc w:val="both"/>
      </w:pPr>
      <w:r w:rsidRPr="004E14BB">
        <w:t>These are hypotheses. They are framed as such. Their value is in directing investigation toward questions that the current record cannot answer from existing evidence — and in insisting that the absence of evidence from submerged coastal zones is not the same as evidence of absence.</w:t>
      </w:r>
    </w:p>
    <w:p w14:paraId="419B26AD" w14:textId="77777777" w:rsidR="00EE4420" w:rsidRPr="004E14BB" w:rsidRDefault="00EE4420">
      <w:pPr>
        <w:pBdr>
          <w:bottom w:val="single" w:sz="4" w:space="1" w:color="2E5FA3"/>
        </w:pBdr>
        <w:spacing w:before="120" w:after="120"/>
      </w:pPr>
    </w:p>
    <w:p w14:paraId="78278686" w14:textId="77777777" w:rsidR="00EE4420" w:rsidRPr="004E14BB" w:rsidRDefault="00000000">
      <w:pPr>
        <w:pStyle w:val="Heading1"/>
        <w:rPr>
          <w:color w:val="auto"/>
        </w:rPr>
      </w:pPr>
      <w:r w:rsidRPr="004E14BB">
        <w:rPr>
          <w:color w:val="auto"/>
        </w:rPr>
        <w:t>References</w:t>
      </w:r>
    </w:p>
    <w:p w14:paraId="1F60AE0E" w14:textId="77777777" w:rsidR="00EE4420" w:rsidRPr="004E14BB" w:rsidRDefault="00000000">
      <w:pPr>
        <w:spacing w:before="80" w:after="80" w:line="320" w:lineRule="auto"/>
        <w:jc w:val="both"/>
      </w:pPr>
      <w:r w:rsidRPr="004E14BB">
        <w:t xml:space="preserve">Archaeological Survey of India. </w:t>
      </w:r>
      <w:r w:rsidRPr="004E14BB">
        <w:rPr>
          <w:lang w:val="it-IT"/>
        </w:rPr>
        <w:t xml:space="preserve">Borra Caves, Andhra Pradesh. Site </w:t>
      </w:r>
      <w:proofErr w:type="spellStart"/>
      <w:r w:rsidRPr="004E14BB">
        <w:rPr>
          <w:lang w:val="it-IT"/>
        </w:rPr>
        <w:t>documentation</w:t>
      </w:r>
      <w:proofErr w:type="spellEnd"/>
      <w:r w:rsidRPr="004E14BB">
        <w:rPr>
          <w:lang w:val="it-IT"/>
        </w:rPr>
        <w:t xml:space="preserve">. </w:t>
      </w:r>
      <w:r w:rsidRPr="004E14BB">
        <w:t>Various dates.</w:t>
      </w:r>
    </w:p>
    <w:p w14:paraId="5B020DCD" w14:textId="77777777" w:rsidR="00EE4420" w:rsidRPr="004E14BB" w:rsidRDefault="00000000">
      <w:pPr>
        <w:spacing w:before="80" w:after="80" w:line="320" w:lineRule="auto"/>
        <w:jc w:val="both"/>
      </w:pPr>
      <w:r w:rsidRPr="004E14BB">
        <w:t>Deraniyagala, S.U. (1993). The Prehistory of Sri Lanka: An Ecological Perspective. Department of Archaeological Survey, Colombo.</w:t>
      </w:r>
    </w:p>
    <w:p w14:paraId="78D84C95" w14:textId="77777777" w:rsidR="00EE4420" w:rsidRPr="004E14BB" w:rsidRDefault="00000000">
      <w:pPr>
        <w:spacing w:before="80" w:after="80" w:line="320" w:lineRule="auto"/>
        <w:jc w:val="both"/>
      </w:pPr>
      <w:r w:rsidRPr="004E14BB">
        <w:t>Langley, M.C., et al. (2020). Symbolic use of marine shells and mineral pigments by Iberian Neandertals 115,000 years ago. Science Advances. [Referenced for comparative dating methodology]</w:t>
      </w:r>
    </w:p>
    <w:p w14:paraId="1CFEEB8A" w14:textId="77777777" w:rsidR="00EE4420" w:rsidRPr="004E14BB" w:rsidRDefault="00000000">
      <w:pPr>
        <w:spacing w:before="80" w:after="80" w:line="320" w:lineRule="auto"/>
        <w:jc w:val="both"/>
      </w:pPr>
      <w:r w:rsidRPr="004E14BB">
        <w:t xml:space="preserve">Possehl, G.L. (2002). The Indus Civilization: A Contemporary Perspective. </w:t>
      </w:r>
      <w:proofErr w:type="spellStart"/>
      <w:r w:rsidRPr="004E14BB">
        <w:t>AltaMira</w:t>
      </w:r>
      <w:proofErr w:type="spellEnd"/>
      <w:r w:rsidRPr="004E14BB">
        <w:t xml:space="preserve"> Press.</w:t>
      </w:r>
    </w:p>
    <w:p w14:paraId="7A9EC6E6" w14:textId="77777777" w:rsidR="00EE4420" w:rsidRPr="004E14BB" w:rsidRDefault="00000000">
      <w:pPr>
        <w:spacing w:before="80" w:after="80" w:line="320" w:lineRule="auto"/>
        <w:jc w:val="both"/>
      </w:pPr>
      <w:r w:rsidRPr="004E14BB">
        <w:t>Renfrew, C. (1987). Archaeology and Language: The Puzzle of Indo-European Origins. Cambridge University Press.</w:t>
      </w:r>
    </w:p>
    <w:p w14:paraId="3841677B" w14:textId="77777777" w:rsidR="00EE4420" w:rsidRPr="004E14BB" w:rsidRDefault="00000000">
      <w:pPr>
        <w:spacing w:before="80" w:after="80" w:line="320" w:lineRule="auto"/>
        <w:jc w:val="both"/>
      </w:pPr>
      <w:r w:rsidRPr="004E14BB">
        <w:t>Subramanian, T.S. (2010). The Harappan connection. Frontline, 27(5).</w:t>
      </w:r>
    </w:p>
    <w:p w14:paraId="402BB22D" w14:textId="77777777" w:rsidR="00EE4420" w:rsidRPr="004E14BB" w:rsidRDefault="00000000">
      <w:pPr>
        <w:spacing w:before="80" w:after="80" w:line="320" w:lineRule="auto"/>
        <w:jc w:val="both"/>
      </w:pPr>
      <w:r w:rsidRPr="004E14BB">
        <w:t>Vondoom, A. (2025a). The Deep Symbolic Systems Model (DSSM): A Cognitive-Ritual Framework for Early Monumentality and Cultural Continuity. SSRN. http://dx.doi.org/10.2139/ssrn.6003734</w:t>
      </w:r>
    </w:p>
    <w:p w14:paraId="675F2FAD" w14:textId="77777777" w:rsidR="00EE4420" w:rsidRPr="004E14BB" w:rsidRDefault="00000000">
      <w:pPr>
        <w:spacing w:before="80" w:after="80" w:line="320" w:lineRule="auto"/>
        <w:jc w:val="both"/>
      </w:pPr>
      <w:r w:rsidRPr="004E14BB">
        <w:lastRenderedPageBreak/>
        <w:t>Vondoom, A. (2025b). Cognitive Preconditions for the Deep Symbolic Systems Model (DSSM). OSF. https://doi.org/10.17605/OSF.IO/25AJW</w:t>
      </w:r>
    </w:p>
    <w:p w14:paraId="49B4FD0D" w14:textId="01E5D936" w:rsidR="00EE4420" w:rsidRPr="004E14BB" w:rsidRDefault="00000000">
      <w:pPr>
        <w:spacing w:before="80" w:after="80" w:line="320" w:lineRule="auto"/>
        <w:jc w:val="both"/>
      </w:pPr>
      <w:r w:rsidRPr="004E14BB">
        <w:t>Vondoom, A. (2026). [</w:t>
      </w:r>
      <w:proofErr w:type="spellStart"/>
      <w:r w:rsidRPr="004E14BB">
        <w:t>Vinča</w:t>
      </w:r>
      <w:proofErr w:type="spellEnd"/>
      <w:r w:rsidRPr="004E14BB">
        <w:t xml:space="preserve"> Culture Symbolic Dispersal].</w:t>
      </w:r>
    </w:p>
    <w:p w14:paraId="3F5CC991" w14:textId="77777777" w:rsidR="00EE4420" w:rsidRPr="004E14BB" w:rsidRDefault="00000000">
      <w:pPr>
        <w:spacing w:before="80" w:after="80" w:line="320" w:lineRule="auto"/>
        <w:jc w:val="both"/>
      </w:pPr>
      <w:proofErr w:type="spellStart"/>
      <w:r w:rsidRPr="004E14BB">
        <w:t>Wedage</w:t>
      </w:r>
      <w:proofErr w:type="spellEnd"/>
      <w:r w:rsidRPr="004E14BB">
        <w:t>, O., et al. (2019). Specialized rainforest hunting by Homo sapiens ~45,000 years ago. Nature Communications, 10, 739.</w:t>
      </w:r>
    </w:p>
    <w:p w14:paraId="65ADA474" w14:textId="77777777" w:rsidR="00EE4420" w:rsidRPr="004E14BB" w:rsidRDefault="00000000">
      <w:pPr>
        <w:spacing w:before="80" w:after="80" w:line="320" w:lineRule="auto"/>
        <w:jc w:val="both"/>
      </w:pPr>
      <w:proofErr w:type="spellStart"/>
      <w:r w:rsidRPr="004E14BB">
        <w:t>Zvelebil</w:t>
      </w:r>
      <w:proofErr w:type="spellEnd"/>
      <w:r w:rsidRPr="004E14BB">
        <w:t>, K.V. (1990). Dravidian Linguistics: An Introduction. Pondicherry Institute of Linguistics and Culture.</w:t>
      </w:r>
    </w:p>
    <w:p w14:paraId="518ADBBE" w14:textId="77777777" w:rsidR="00EE4420" w:rsidRPr="004E14BB" w:rsidRDefault="00EE4420">
      <w:pPr>
        <w:pBdr>
          <w:bottom w:val="single" w:sz="4" w:space="1" w:color="2E5FA3"/>
        </w:pBdr>
        <w:spacing w:before="120" w:after="120"/>
      </w:pPr>
    </w:p>
    <w:p w14:paraId="571CED8D" w14:textId="77777777" w:rsidR="00EE4420" w:rsidRPr="004E14BB" w:rsidRDefault="00000000">
      <w:pPr>
        <w:spacing w:before="80" w:after="80" w:line="320" w:lineRule="auto"/>
        <w:jc w:val="center"/>
      </w:pPr>
      <w:r w:rsidRPr="004E14BB">
        <w:rPr>
          <w:i/>
          <w:iCs/>
          <w:sz w:val="18"/>
          <w:szCs w:val="18"/>
        </w:rPr>
        <w:t>© 2026 Anthony Vondoom. Published under CC BY 4.0. Preprint — not yet peer reviewed.</w:t>
      </w:r>
    </w:p>
    <w:sectPr w:rsidR="00EE4420" w:rsidRPr="004E14BB">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C760A" w14:textId="77777777" w:rsidR="00427BE1" w:rsidRDefault="00427BE1">
      <w:r>
        <w:separator/>
      </w:r>
    </w:p>
  </w:endnote>
  <w:endnote w:type="continuationSeparator" w:id="0">
    <w:p w14:paraId="4C1C0987" w14:textId="77777777" w:rsidR="00427BE1" w:rsidRDefault="00427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F42A3" w14:textId="57A63D9B" w:rsidR="00EE4420" w:rsidRDefault="00000000">
    <w:pPr>
      <w:jc w:val="center"/>
    </w:pPr>
    <w:r>
      <w:rPr>
        <w:color w:val="666666"/>
        <w:sz w:val="18"/>
        <w:szCs w:val="18"/>
      </w:rPr>
      <w:t xml:space="preserve">Vondoom, A. (2026). DSSM — Tamil Nadu as Deep Symbolic </w:t>
    </w:r>
    <w:proofErr w:type="spellStart"/>
    <w:r>
      <w:rPr>
        <w:color w:val="666666"/>
        <w:sz w:val="18"/>
        <w:szCs w:val="18"/>
      </w:rPr>
      <w:t>Civilisation</w:t>
    </w:r>
    <w:proofErr w:type="spellEnd"/>
    <w:r>
      <w:rPr>
        <w:color w:val="666666"/>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B6881" w14:textId="77777777" w:rsidR="00427BE1" w:rsidRDefault="00427BE1">
      <w:r>
        <w:separator/>
      </w:r>
    </w:p>
  </w:footnote>
  <w:footnote w:type="continuationSeparator" w:id="0">
    <w:p w14:paraId="0E07A360" w14:textId="77777777" w:rsidR="00427BE1" w:rsidRDefault="00427B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E00A4"/>
    <w:multiLevelType w:val="hybridMultilevel"/>
    <w:tmpl w:val="71DEE088"/>
    <w:lvl w:ilvl="0" w:tplc="6F9069D4">
      <w:start w:val="1"/>
      <w:numFmt w:val="bullet"/>
      <w:lvlText w:val="•"/>
      <w:lvlJc w:val="left"/>
      <w:pPr>
        <w:ind w:left="720" w:hanging="360"/>
      </w:pPr>
    </w:lvl>
    <w:lvl w:ilvl="1" w:tplc="81DC4106">
      <w:numFmt w:val="decimal"/>
      <w:lvlText w:val=""/>
      <w:lvlJc w:val="left"/>
    </w:lvl>
    <w:lvl w:ilvl="2" w:tplc="D3CCB710">
      <w:numFmt w:val="decimal"/>
      <w:lvlText w:val=""/>
      <w:lvlJc w:val="left"/>
    </w:lvl>
    <w:lvl w:ilvl="3" w:tplc="9126C58E">
      <w:numFmt w:val="decimal"/>
      <w:lvlText w:val=""/>
      <w:lvlJc w:val="left"/>
    </w:lvl>
    <w:lvl w:ilvl="4" w:tplc="5928BCA0">
      <w:numFmt w:val="decimal"/>
      <w:lvlText w:val=""/>
      <w:lvlJc w:val="left"/>
    </w:lvl>
    <w:lvl w:ilvl="5" w:tplc="E7E041EA">
      <w:numFmt w:val="decimal"/>
      <w:lvlText w:val=""/>
      <w:lvlJc w:val="left"/>
    </w:lvl>
    <w:lvl w:ilvl="6" w:tplc="1F4E76BA">
      <w:numFmt w:val="decimal"/>
      <w:lvlText w:val=""/>
      <w:lvlJc w:val="left"/>
    </w:lvl>
    <w:lvl w:ilvl="7" w:tplc="1A9E82C4">
      <w:numFmt w:val="decimal"/>
      <w:lvlText w:val=""/>
      <w:lvlJc w:val="left"/>
    </w:lvl>
    <w:lvl w:ilvl="8" w:tplc="0972CB0C">
      <w:numFmt w:val="decimal"/>
      <w:lvlText w:val=""/>
      <w:lvlJc w:val="left"/>
    </w:lvl>
  </w:abstractNum>
  <w:abstractNum w:abstractNumId="1" w15:restartNumberingAfterBreak="0">
    <w:nsid w:val="6571795E"/>
    <w:multiLevelType w:val="hybridMultilevel"/>
    <w:tmpl w:val="ADECD0D6"/>
    <w:lvl w:ilvl="0" w:tplc="558EAED6">
      <w:start w:val="1"/>
      <w:numFmt w:val="bullet"/>
      <w:lvlText w:val="●"/>
      <w:lvlJc w:val="left"/>
      <w:pPr>
        <w:ind w:left="720" w:hanging="360"/>
      </w:pPr>
    </w:lvl>
    <w:lvl w:ilvl="1" w:tplc="ECA07CD0">
      <w:start w:val="1"/>
      <w:numFmt w:val="bullet"/>
      <w:lvlText w:val="○"/>
      <w:lvlJc w:val="left"/>
      <w:pPr>
        <w:ind w:left="1440" w:hanging="360"/>
      </w:pPr>
    </w:lvl>
    <w:lvl w:ilvl="2" w:tplc="C3B6ADE6">
      <w:start w:val="1"/>
      <w:numFmt w:val="bullet"/>
      <w:lvlText w:val="■"/>
      <w:lvlJc w:val="left"/>
      <w:pPr>
        <w:ind w:left="2160" w:hanging="360"/>
      </w:pPr>
    </w:lvl>
    <w:lvl w:ilvl="3" w:tplc="F6B2945E">
      <w:start w:val="1"/>
      <w:numFmt w:val="bullet"/>
      <w:lvlText w:val="●"/>
      <w:lvlJc w:val="left"/>
      <w:pPr>
        <w:ind w:left="2880" w:hanging="360"/>
      </w:pPr>
    </w:lvl>
    <w:lvl w:ilvl="4" w:tplc="5BB0C4DE">
      <w:start w:val="1"/>
      <w:numFmt w:val="bullet"/>
      <w:lvlText w:val="○"/>
      <w:lvlJc w:val="left"/>
      <w:pPr>
        <w:ind w:left="3600" w:hanging="360"/>
      </w:pPr>
    </w:lvl>
    <w:lvl w:ilvl="5" w:tplc="09BCF30C">
      <w:start w:val="1"/>
      <w:numFmt w:val="bullet"/>
      <w:lvlText w:val="■"/>
      <w:lvlJc w:val="left"/>
      <w:pPr>
        <w:ind w:left="4320" w:hanging="360"/>
      </w:pPr>
    </w:lvl>
    <w:lvl w:ilvl="6" w:tplc="A704F30A">
      <w:start w:val="1"/>
      <w:numFmt w:val="bullet"/>
      <w:lvlText w:val="●"/>
      <w:lvlJc w:val="left"/>
      <w:pPr>
        <w:ind w:left="5040" w:hanging="360"/>
      </w:pPr>
    </w:lvl>
    <w:lvl w:ilvl="7" w:tplc="51CC7A38">
      <w:start w:val="1"/>
      <w:numFmt w:val="bullet"/>
      <w:lvlText w:val="●"/>
      <w:lvlJc w:val="left"/>
      <w:pPr>
        <w:ind w:left="5760" w:hanging="360"/>
      </w:pPr>
    </w:lvl>
    <w:lvl w:ilvl="8" w:tplc="16865818">
      <w:start w:val="1"/>
      <w:numFmt w:val="bullet"/>
      <w:lvlText w:val="●"/>
      <w:lvlJc w:val="left"/>
      <w:pPr>
        <w:ind w:left="6480" w:hanging="360"/>
      </w:pPr>
    </w:lvl>
  </w:abstractNum>
  <w:num w:numId="1" w16cid:durableId="564149254">
    <w:abstractNumId w:val="1"/>
    <w:lvlOverride w:ilvl="0">
      <w:startOverride w:val="1"/>
    </w:lvlOverride>
  </w:num>
  <w:num w:numId="2" w16cid:durableId="26924197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420"/>
    <w:rsid w:val="000A0A22"/>
    <w:rsid w:val="00427BE1"/>
    <w:rsid w:val="004E14BB"/>
    <w:rsid w:val="005401D0"/>
    <w:rsid w:val="00B649E0"/>
    <w:rsid w:val="00DC7948"/>
    <w:rsid w:val="00EE4420"/>
    <w:rsid w:val="00F97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2B850E"/>
  <w15:docId w15:val="{148DC80C-5E36-BC4D-9374-E7576CFFF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80" w:after="140"/>
      <w:outlineLvl w:val="0"/>
    </w:pPr>
    <w:rPr>
      <w:b/>
      <w:bCs/>
      <w:color w:val="1F3864"/>
      <w:sz w:val="28"/>
      <w:szCs w:val="28"/>
    </w:rPr>
  </w:style>
  <w:style w:type="paragraph" w:styleId="Heading2">
    <w:name w:val="heading 2"/>
    <w:uiPriority w:val="9"/>
    <w:unhideWhenUsed/>
    <w:qFormat/>
    <w:pPr>
      <w:spacing w:before="200" w:after="100"/>
      <w:outlineLvl w:val="1"/>
    </w:pPr>
    <w:rPr>
      <w:b/>
      <w:bCs/>
      <w:color w:val="2E5FA3"/>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B649E0"/>
    <w:pPr>
      <w:tabs>
        <w:tab w:val="center" w:pos="4680"/>
        <w:tab w:val="right" w:pos="9360"/>
      </w:tabs>
    </w:pPr>
  </w:style>
  <w:style w:type="character" w:customStyle="1" w:styleId="HeaderChar">
    <w:name w:val="Header Char"/>
    <w:basedOn w:val="DefaultParagraphFont"/>
    <w:link w:val="Header"/>
    <w:uiPriority w:val="99"/>
    <w:rsid w:val="00B649E0"/>
  </w:style>
  <w:style w:type="paragraph" w:styleId="Footer">
    <w:name w:val="footer"/>
    <w:basedOn w:val="Normal"/>
    <w:link w:val="FooterChar"/>
    <w:uiPriority w:val="99"/>
    <w:unhideWhenUsed/>
    <w:rsid w:val="00B649E0"/>
    <w:pPr>
      <w:tabs>
        <w:tab w:val="center" w:pos="4680"/>
        <w:tab w:val="right" w:pos="9360"/>
      </w:tabs>
    </w:pPr>
  </w:style>
  <w:style w:type="character" w:customStyle="1" w:styleId="FooterChar">
    <w:name w:val="Footer Char"/>
    <w:basedOn w:val="DefaultParagraphFont"/>
    <w:link w:val="Footer"/>
    <w:uiPriority w:val="99"/>
    <w:rsid w:val="00B649E0"/>
  </w:style>
  <w:style w:type="paragraph" w:customStyle="1" w:styleId="font-claude-response-body">
    <w:name w:val="font-claude-response-body"/>
    <w:basedOn w:val="Normal"/>
    <w:rsid w:val="00DC7948"/>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DC7948"/>
    <w:rPr>
      <w:b/>
      <w:bCs/>
    </w:rPr>
  </w:style>
  <w:style w:type="character" w:styleId="UnresolvedMention">
    <w:name w:val="Unresolved Mention"/>
    <w:basedOn w:val="DefaultParagraphFont"/>
    <w:uiPriority w:val="99"/>
    <w:semiHidden/>
    <w:unhideWhenUsed/>
    <w:rsid w:val="004E14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6084/m9.figshare.3239075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3674</Words>
  <Characters>22228</Characters>
  <Application>Microsoft Office Word</Application>
  <DocSecurity>0</DocSecurity>
  <Lines>383</Lines>
  <Paragraphs>132</Paragraphs>
  <ScaleCrop>false</ScaleCrop>
  <Company/>
  <LinksUpToDate>false</LinksUpToDate>
  <CharactersWithSpaces>25770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anthony vondoom</cp:lastModifiedBy>
  <cp:revision>3</cp:revision>
  <dcterms:created xsi:type="dcterms:W3CDTF">2026-05-24T07:41:00Z</dcterms:created>
  <dcterms:modified xsi:type="dcterms:W3CDTF">2026-05-24T08:06:00Z</dcterms:modified>
</cp:coreProperties>
</file>