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51C2" w14:textId="77777777" w:rsidR="00733A77" w:rsidRPr="00EF5F99" w:rsidRDefault="00000000">
      <w:pPr>
        <w:spacing w:before="240" w:after="60"/>
        <w:jc w:val="center"/>
      </w:pPr>
      <w:r w:rsidRPr="00EF5F99">
        <w:rPr>
          <w:b/>
          <w:bCs/>
          <w:sz w:val="32"/>
          <w:szCs w:val="32"/>
        </w:rPr>
        <w:t>The Unrealized Potential</w:t>
      </w:r>
    </w:p>
    <w:p w14:paraId="2B4E5565" w14:textId="1EBE17AF" w:rsidR="00F66498" w:rsidRPr="00F66498" w:rsidRDefault="00000000" w:rsidP="00F66498">
      <w:pPr>
        <w:spacing w:before="60" w:after="160"/>
        <w:jc w:val="center"/>
      </w:pPr>
      <w:r w:rsidRPr="00EF5F99">
        <w:rPr>
          <w:i/>
          <w:iCs/>
          <w:sz w:val="28"/>
          <w:szCs w:val="28"/>
        </w:rPr>
        <w:t>Why Cognitive Modernity Does Not Reliably Predict Material Complexity</w:t>
      </w:r>
    </w:p>
    <w:p w14:paraId="2458E01E" w14:textId="77777777" w:rsidR="00EF5F99" w:rsidRPr="00EF5F99" w:rsidRDefault="00EF5F99">
      <w:pPr>
        <w:spacing w:before="60" w:after="60"/>
        <w:jc w:val="center"/>
        <w:rPr>
          <w:b/>
          <w:bCs/>
          <w:sz w:val="28"/>
          <w:szCs w:val="28"/>
        </w:rPr>
      </w:pPr>
    </w:p>
    <w:p w14:paraId="2755EF7A" w14:textId="77777777" w:rsidR="00EF5F99" w:rsidRPr="00EF5F99" w:rsidRDefault="00EF5F99">
      <w:pPr>
        <w:spacing w:before="60" w:after="60"/>
        <w:jc w:val="center"/>
        <w:rPr>
          <w:b/>
          <w:bCs/>
          <w:sz w:val="28"/>
          <w:szCs w:val="28"/>
        </w:rPr>
      </w:pPr>
    </w:p>
    <w:p w14:paraId="44931A65" w14:textId="5A526E15" w:rsidR="00733A77" w:rsidRPr="00EF5F99" w:rsidRDefault="00000000">
      <w:pPr>
        <w:spacing w:before="60" w:after="60"/>
        <w:jc w:val="center"/>
      </w:pPr>
      <w:r w:rsidRPr="00EF5F99">
        <w:rPr>
          <w:b/>
          <w:bCs/>
          <w:sz w:val="28"/>
          <w:szCs w:val="28"/>
        </w:rPr>
        <w:t>Anthony Vondoom</w:t>
      </w:r>
    </w:p>
    <w:p w14:paraId="5A685C3F" w14:textId="77777777" w:rsidR="00733A77" w:rsidRPr="00EF5F99" w:rsidRDefault="00000000">
      <w:pPr>
        <w:spacing w:before="60" w:after="60"/>
        <w:jc w:val="center"/>
      </w:pPr>
      <w:r w:rsidRPr="00EF5F99">
        <w:rPr>
          <w:sz w:val="20"/>
          <w:szCs w:val="20"/>
        </w:rPr>
        <w:t xml:space="preserve">Independent Researcher, Cognitive Archaeology | </w:t>
      </w:r>
      <w:proofErr w:type="spellStart"/>
      <w:r w:rsidRPr="00EF5F99">
        <w:rPr>
          <w:sz w:val="20"/>
          <w:szCs w:val="20"/>
        </w:rPr>
        <w:t>Sirmione</w:t>
      </w:r>
      <w:proofErr w:type="spellEnd"/>
      <w:r w:rsidRPr="00EF5F99">
        <w:rPr>
          <w:sz w:val="20"/>
          <w:szCs w:val="20"/>
        </w:rPr>
        <w:t>, Italy</w:t>
      </w:r>
    </w:p>
    <w:p w14:paraId="70A7C8A2" w14:textId="77777777" w:rsidR="00733A77" w:rsidRPr="00EF5F99" w:rsidRDefault="00000000">
      <w:pPr>
        <w:spacing w:before="60" w:after="60"/>
        <w:jc w:val="center"/>
      </w:pPr>
      <w:r w:rsidRPr="00EF5F99">
        <w:rPr>
          <w:sz w:val="20"/>
          <w:szCs w:val="20"/>
        </w:rPr>
        <w:t>ORCID: 0009-0003-4953-1427 | anthony.vondoom@outlook.com</w:t>
      </w:r>
    </w:p>
    <w:p w14:paraId="05ED32DC" w14:textId="77777777" w:rsidR="00733A77" w:rsidRPr="00EF5F99" w:rsidRDefault="00733A77">
      <w:pPr>
        <w:spacing w:before="60" w:after="60"/>
        <w:rPr>
          <w:i/>
          <w:iCs/>
          <w:sz w:val="20"/>
          <w:szCs w:val="20"/>
        </w:rPr>
      </w:pPr>
    </w:p>
    <w:p w14:paraId="7E6F3E35" w14:textId="77777777" w:rsidR="00EF5F99" w:rsidRPr="00EF5F99" w:rsidRDefault="00EF5F99">
      <w:pPr>
        <w:spacing w:before="60" w:after="60"/>
        <w:rPr>
          <w:i/>
          <w:iCs/>
          <w:sz w:val="20"/>
          <w:szCs w:val="20"/>
        </w:rPr>
      </w:pPr>
    </w:p>
    <w:p w14:paraId="34CE9E90" w14:textId="77777777" w:rsidR="00EF5F99" w:rsidRPr="00EF5F99" w:rsidRDefault="00EF5F99">
      <w:pPr>
        <w:spacing w:before="60" w:after="60"/>
        <w:rPr>
          <w:i/>
          <w:iCs/>
          <w:sz w:val="20"/>
          <w:szCs w:val="20"/>
        </w:rPr>
      </w:pPr>
    </w:p>
    <w:p w14:paraId="753BD42D" w14:textId="77777777" w:rsidR="00EF5F99" w:rsidRDefault="00EF5F99">
      <w:pPr>
        <w:spacing w:before="60" w:after="60"/>
        <w:rPr>
          <w:i/>
          <w:iCs/>
          <w:sz w:val="20"/>
          <w:szCs w:val="20"/>
        </w:rPr>
      </w:pPr>
    </w:p>
    <w:p w14:paraId="0EB36EC7" w14:textId="77777777" w:rsidR="00F66498" w:rsidRDefault="00F66498">
      <w:pPr>
        <w:spacing w:before="60" w:after="60"/>
        <w:rPr>
          <w:i/>
          <w:iCs/>
          <w:sz w:val="20"/>
          <w:szCs w:val="20"/>
        </w:rPr>
      </w:pPr>
    </w:p>
    <w:p w14:paraId="5EEAC0CE" w14:textId="77777777" w:rsidR="00F66498" w:rsidRDefault="00F66498">
      <w:pPr>
        <w:spacing w:before="60" w:after="60"/>
        <w:rPr>
          <w:i/>
          <w:iCs/>
          <w:sz w:val="20"/>
          <w:szCs w:val="20"/>
        </w:rPr>
      </w:pPr>
    </w:p>
    <w:p w14:paraId="1026B6F8" w14:textId="77777777" w:rsidR="00F66498" w:rsidRDefault="00F66498">
      <w:pPr>
        <w:spacing w:before="60" w:after="60"/>
        <w:rPr>
          <w:i/>
          <w:iCs/>
          <w:sz w:val="20"/>
          <w:szCs w:val="20"/>
        </w:rPr>
      </w:pPr>
    </w:p>
    <w:p w14:paraId="6E893074" w14:textId="77777777" w:rsidR="00F66498" w:rsidRDefault="00F66498">
      <w:pPr>
        <w:spacing w:before="60" w:after="60"/>
        <w:rPr>
          <w:i/>
          <w:iCs/>
          <w:sz w:val="20"/>
          <w:szCs w:val="20"/>
        </w:rPr>
      </w:pPr>
    </w:p>
    <w:p w14:paraId="556F7E69" w14:textId="77777777" w:rsidR="00F66498" w:rsidRDefault="00F66498">
      <w:pPr>
        <w:spacing w:before="60" w:after="60"/>
        <w:rPr>
          <w:i/>
          <w:iCs/>
          <w:sz w:val="20"/>
          <w:szCs w:val="20"/>
        </w:rPr>
      </w:pPr>
    </w:p>
    <w:p w14:paraId="1ADDB1BA" w14:textId="77777777" w:rsidR="00F66498" w:rsidRDefault="00F66498">
      <w:pPr>
        <w:spacing w:before="60" w:after="60"/>
        <w:rPr>
          <w:i/>
          <w:iCs/>
          <w:sz w:val="20"/>
          <w:szCs w:val="20"/>
        </w:rPr>
      </w:pPr>
    </w:p>
    <w:p w14:paraId="54F5B484" w14:textId="77777777" w:rsidR="00F66498" w:rsidRDefault="00F66498">
      <w:pPr>
        <w:spacing w:before="60" w:after="60"/>
        <w:rPr>
          <w:i/>
          <w:iCs/>
          <w:sz w:val="20"/>
          <w:szCs w:val="20"/>
        </w:rPr>
      </w:pPr>
    </w:p>
    <w:p w14:paraId="37A28CEC" w14:textId="77777777" w:rsidR="00F66498" w:rsidRDefault="00F66498">
      <w:pPr>
        <w:spacing w:before="60" w:after="60"/>
        <w:rPr>
          <w:i/>
          <w:iCs/>
          <w:sz w:val="20"/>
          <w:szCs w:val="20"/>
        </w:rPr>
      </w:pPr>
    </w:p>
    <w:p w14:paraId="48C3F4F4" w14:textId="77777777" w:rsidR="00F66498" w:rsidRDefault="00F66498">
      <w:pPr>
        <w:spacing w:before="60" w:after="60"/>
        <w:rPr>
          <w:i/>
          <w:iCs/>
          <w:sz w:val="20"/>
          <w:szCs w:val="20"/>
        </w:rPr>
      </w:pPr>
    </w:p>
    <w:p w14:paraId="295D66E9" w14:textId="77777777" w:rsidR="00F66498" w:rsidRDefault="00F66498">
      <w:pPr>
        <w:spacing w:before="60" w:after="60"/>
        <w:rPr>
          <w:i/>
          <w:iCs/>
          <w:sz w:val="20"/>
          <w:szCs w:val="20"/>
        </w:rPr>
      </w:pPr>
    </w:p>
    <w:p w14:paraId="19B3820D" w14:textId="77777777" w:rsidR="00F66498" w:rsidRDefault="00F66498">
      <w:pPr>
        <w:spacing w:before="60" w:after="60"/>
        <w:rPr>
          <w:i/>
          <w:iCs/>
          <w:sz w:val="20"/>
          <w:szCs w:val="20"/>
        </w:rPr>
      </w:pPr>
    </w:p>
    <w:p w14:paraId="51293CDA" w14:textId="77777777" w:rsidR="00F66498" w:rsidRDefault="00F66498">
      <w:pPr>
        <w:spacing w:before="60" w:after="60"/>
        <w:rPr>
          <w:i/>
          <w:iCs/>
          <w:sz w:val="20"/>
          <w:szCs w:val="20"/>
        </w:rPr>
      </w:pPr>
    </w:p>
    <w:p w14:paraId="2A9FDC57" w14:textId="77777777" w:rsidR="00F66498" w:rsidRDefault="00F66498">
      <w:pPr>
        <w:spacing w:before="60" w:after="60"/>
        <w:rPr>
          <w:i/>
          <w:iCs/>
          <w:sz w:val="20"/>
          <w:szCs w:val="20"/>
        </w:rPr>
      </w:pPr>
    </w:p>
    <w:p w14:paraId="6A1631E1" w14:textId="77777777" w:rsidR="00F66498" w:rsidRDefault="00F66498">
      <w:pPr>
        <w:spacing w:before="60" w:after="60"/>
        <w:rPr>
          <w:i/>
          <w:iCs/>
          <w:sz w:val="20"/>
          <w:szCs w:val="20"/>
        </w:rPr>
      </w:pPr>
    </w:p>
    <w:p w14:paraId="2582B385" w14:textId="77777777" w:rsidR="00F66498" w:rsidRDefault="00F66498">
      <w:pPr>
        <w:spacing w:before="60" w:after="60"/>
        <w:rPr>
          <w:i/>
          <w:iCs/>
          <w:sz w:val="20"/>
          <w:szCs w:val="20"/>
        </w:rPr>
      </w:pPr>
    </w:p>
    <w:p w14:paraId="4FB3A2C2" w14:textId="77777777" w:rsidR="00F66498" w:rsidRDefault="00F66498">
      <w:pPr>
        <w:spacing w:before="60" w:after="60"/>
        <w:rPr>
          <w:i/>
          <w:iCs/>
          <w:sz w:val="20"/>
          <w:szCs w:val="20"/>
        </w:rPr>
      </w:pPr>
    </w:p>
    <w:p w14:paraId="442515E8" w14:textId="77777777" w:rsidR="00F66498" w:rsidRDefault="00F66498">
      <w:pPr>
        <w:spacing w:before="60" w:after="60"/>
        <w:rPr>
          <w:i/>
          <w:iCs/>
          <w:sz w:val="20"/>
          <w:szCs w:val="20"/>
        </w:rPr>
      </w:pPr>
    </w:p>
    <w:p w14:paraId="199E57DE" w14:textId="77777777" w:rsidR="00F66498" w:rsidRDefault="00F66498">
      <w:pPr>
        <w:spacing w:before="60" w:after="60"/>
        <w:rPr>
          <w:i/>
          <w:iCs/>
          <w:sz w:val="20"/>
          <w:szCs w:val="20"/>
        </w:rPr>
      </w:pPr>
    </w:p>
    <w:p w14:paraId="3BAEB273" w14:textId="77777777" w:rsidR="00F66498" w:rsidRDefault="00F66498">
      <w:pPr>
        <w:spacing w:before="60" w:after="60"/>
        <w:rPr>
          <w:i/>
          <w:iCs/>
          <w:sz w:val="20"/>
          <w:szCs w:val="20"/>
        </w:rPr>
      </w:pPr>
    </w:p>
    <w:p w14:paraId="10B55736" w14:textId="77777777" w:rsidR="00F66498" w:rsidRDefault="00F66498">
      <w:pPr>
        <w:spacing w:before="60" w:after="60"/>
        <w:rPr>
          <w:i/>
          <w:iCs/>
          <w:sz w:val="20"/>
          <w:szCs w:val="20"/>
        </w:rPr>
      </w:pPr>
    </w:p>
    <w:p w14:paraId="7028BAB7" w14:textId="77777777" w:rsidR="00F66498" w:rsidRDefault="00F66498">
      <w:pPr>
        <w:spacing w:before="60" w:after="60"/>
        <w:rPr>
          <w:i/>
          <w:iCs/>
          <w:sz w:val="20"/>
          <w:szCs w:val="20"/>
        </w:rPr>
      </w:pPr>
    </w:p>
    <w:p w14:paraId="5FB7567E" w14:textId="77777777" w:rsidR="00F66498" w:rsidRDefault="00F66498">
      <w:pPr>
        <w:spacing w:before="60" w:after="60"/>
        <w:rPr>
          <w:i/>
          <w:iCs/>
          <w:sz w:val="20"/>
          <w:szCs w:val="20"/>
        </w:rPr>
      </w:pPr>
    </w:p>
    <w:p w14:paraId="598CCECC" w14:textId="77777777" w:rsidR="00F66498" w:rsidRPr="00EF5F99" w:rsidRDefault="00F66498">
      <w:pPr>
        <w:spacing w:before="60" w:after="60"/>
        <w:rPr>
          <w:i/>
          <w:iCs/>
          <w:sz w:val="20"/>
          <w:szCs w:val="20"/>
        </w:rPr>
      </w:pPr>
    </w:p>
    <w:p w14:paraId="74DCD3B6" w14:textId="77777777" w:rsidR="00EF5F99" w:rsidRPr="00EF5F99" w:rsidRDefault="00EF5F99">
      <w:pPr>
        <w:spacing w:before="60" w:after="60"/>
        <w:rPr>
          <w:i/>
          <w:iCs/>
          <w:sz w:val="20"/>
          <w:szCs w:val="20"/>
        </w:rPr>
      </w:pPr>
    </w:p>
    <w:p w14:paraId="28C01A8A" w14:textId="77777777" w:rsidR="00EF5F99" w:rsidRPr="00EF5F99" w:rsidRDefault="00EF5F99">
      <w:pPr>
        <w:spacing w:before="60" w:after="60"/>
        <w:rPr>
          <w:i/>
          <w:iCs/>
          <w:sz w:val="20"/>
          <w:szCs w:val="20"/>
        </w:rPr>
      </w:pPr>
    </w:p>
    <w:p w14:paraId="5A6AF6BE" w14:textId="4D8EFDEE" w:rsidR="00EF5F99" w:rsidRPr="00EF5F99" w:rsidRDefault="00F66498" w:rsidP="00F66498">
      <w:pPr>
        <w:spacing w:before="60" w:after="60"/>
        <w:jc w:val="center"/>
        <w:rPr>
          <w:i/>
          <w:iCs/>
          <w:sz w:val="20"/>
          <w:szCs w:val="20"/>
        </w:rPr>
      </w:pPr>
      <w:r>
        <w:rPr>
          <w:i/>
          <w:iCs/>
          <w:sz w:val="20"/>
          <w:szCs w:val="20"/>
        </w:rPr>
        <w:t xml:space="preserve">2026 </w:t>
      </w:r>
      <w:proofErr w:type="spellStart"/>
      <w:r>
        <w:rPr>
          <w:i/>
          <w:iCs/>
          <w:sz w:val="20"/>
          <w:szCs w:val="20"/>
        </w:rPr>
        <w:t>Figshare</w:t>
      </w:r>
      <w:proofErr w:type="spellEnd"/>
      <w:r>
        <w:rPr>
          <w:i/>
          <w:iCs/>
          <w:sz w:val="20"/>
          <w:szCs w:val="20"/>
        </w:rPr>
        <w:t xml:space="preserve"> </w:t>
      </w:r>
      <w:hyperlink r:id="rId7" w:history="1">
        <w:r w:rsidRPr="00E2502D">
          <w:rPr>
            <w:rStyle w:val="Hyperlink"/>
            <w:i/>
            <w:iCs/>
            <w:sz w:val="20"/>
            <w:szCs w:val="20"/>
          </w:rPr>
          <w:t>https://doi.org/10.6084/m9.figshare.32362140</w:t>
        </w:r>
      </w:hyperlink>
    </w:p>
    <w:p w14:paraId="482FD6FD" w14:textId="77777777" w:rsidR="00EF5F99" w:rsidRPr="00EF5F99" w:rsidRDefault="00EF5F99" w:rsidP="00F66498">
      <w:pPr>
        <w:spacing w:before="60" w:after="60"/>
        <w:jc w:val="center"/>
        <w:rPr>
          <w:i/>
          <w:iCs/>
          <w:sz w:val="20"/>
          <w:szCs w:val="20"/>
        </w:rPr>
      </w:pPr>
    </w:p>
    <w:p w14:paraId="402CF91D" w14:textId="77777777" w:rsidR="00EF5F99" w:rsidRPr="00EF5F99" w:rsidRDefault="00000000" w:rsidP="00EF5F99">
      <w:pPr>
        <w:spacing w:before="60" w:after="60"/>
        <w:rPr>
          <w:b/>
          <w:bCs/>
          <w:sz w:val="20"/>
          <w:szCs w:val="20"/>
        </w:rPr>
      </w:pPr>
      <w:r w:rsidRPr="00EF5F99">
        <w:rPr>
          <w:b/>
          <w:bCs/>
          <w:sz w:val="20"/>
          <w:szCs w:val="20"/>
        </w:rPr>
        <w:t xml:space="preserve">Companion papers: </w:t>
      </w:r>
    </w:p>
    <w:p w14:paraId="45CF1881" w14:textId="2BA8F910" w:rsidR="00EF5F99" w:rsidRPr="00EF5F99" w:rsidRDefault="00000000" w:rsidP="00EF5F99">
      <w:pPr>
        <w:spacing w:before="60" w:after="60"/>
        <w:rPr>
          <w:i/>
          <w:iCs/>
          <w:sz w:val="20"/>
          <w:szCs w:val="20"/>
        </w:rPr>
      </w:pPr>
      <w:r w:rsidRPr="00EF5F99">
        <w:rPr>
          <w:sz w:val="20"/>
          <w:szCs w:val="20"/>
        </w:rPr>
        <w:t xml:space="preserve">Vondoom, A. (2026). Arrows and Ancestors. </w:t>
      </w:r>
      <w:proofErr w:type="spellStart"/>
      <w:r w:rsidRPr="00EF5F99">
        <w:rPr>
          <w:sz w:val="20"/>
          <w:szCs w:val="20"/>
        </w:rPr>
        <w:t>Figshare</w:t>
      </w:r>
      <w:proofErr w:type="spellEnd"/>
      <w:r w:rsidRPr="00EF5F99">
        <w:rPr>
          <w:sz w:val="20"/>
          <w:szCs w:val="20"/>
        </w:rPr>
        <w:t xml:space="preserve">. DOI </w:t>
      </w:r>
      <w:hyperlink r:id="rId8" w:history="1">
        <w:r w:rsidR="00EF5F99" w:rsidRPr="00EF5F99">
          <w:rPr>
            <w:rStyle w:val="Hyperlink"/>
            <w:i/>
            <w:iCs/>
            <w:color w:val="auto"/>
            <w:sz w:val="20"/>
            <w:szCs w:val="20"/>
          </w:rPr>
          <w:t>10.6084/m9.figshare.32361774</w:t>
        </w:r>
      </w:hyperlink>
      <w:hyperlink r:id="rId9" w:history="1"/>
    </w:p>
    <w:p w14:paraId="2049F2DE" w14:textId="77777777" w:rsidR="00EF5F99" w:rsidRDefault="00000000" w:rsidP="00EF5F99">
      <w:pPr>
        <w:spacing w:before="60" w:after="60"/>
        <w:rPr>
          <w:sz w:val="20"/>
          <w:szCs w:val="20"/>
        </w:rPr>
      </w:pPr>
      <w:r w:rsidRPr="00EF5F99">
        <w:rPr>
          <w:sz w:val="20"/>
          <w:szCs w:val="20"/>
        </w:rPr>
        <w:t xml:space="preserve">Vondoom, A. (2026). Symbolic Depth Without Vessel. </w:t>
      </w:r>
      <w:proofErr w:type="spellStart"/>
      <w:r w:rsidRPr="00EF5F99">
        <w:rPr>
          <w:sz w:val="20"/>
          <w:szCs w:val="20"/>
        </w:rPr>
        <w:t>Figshare</w:t>
      </w:r>
      <w:proofErr w:type="spellEnd"/>
      <w:r w:rsidRPr="00EF5F99">
        <w:rPr>
          <w:sz w:val="20"/>
          <w:szCs w:val="20"/>
        </w:rPr>
        <w:t>. DOI: 10.6084/m9.figshare.32166894</w:t>
      </w:r>
    </w:p>
    <w:p w14:paraId="4847E7EF" w14:textId="6A357803" w:rsidR="00733A77" w:rsidRPr="00EF5F99" w:rsidRDefault="00000000" w:rsidP="00EF5F99">
      <w:pPr>
        <w:spacing w:before="60" w:after="60"/>
        <w:rPr>
          <w:sz w:val="20"/>
          <w:szCs w:val="20"/>
        </w:rPr>
      </w:pPr>
      <w:r w:rsidRPr="00EF5F99">
        <w:rPr>
          <w:b/>
          <w:bCs/>
          <w:sz w:val="32"/>
          <w:szCs w:val="32"/>
        </w:rPr>
        <w:lastRenderedPageBreak/>
        <w:t>Abstract</w:t>
      </w:r>
    </w:p>
    <w:p w14:paraId="09998CE6" w14:textId="77777777" w:rsidR="00733A77" w:rsidRPr="00EF5F99" w:rsidRDefault="00000000">
      <w:pPr>
        <w:spacing w:before="120" w:after="120"/>
        <w:jc w:val="both"/>
      </w:pPr>
      <w:r w:rsidRPr="00EF5F99">
        <w:t xml:space="preserve">The sudden genius hypothesis — in its several forms, from Klein's Upper Paleolithic Revolution to </w:t>
      </w:r>
      <w:proofErr w:type="spellStart"/>
      <w:r w:rsidRPr="00EF5F99">
        <w:t>Mithen's</w:t>
      </w:r>
      <w:proofErr w:type="spellEnd"/>
      <w:r w:rsidRPr="00EF5F99">
        <w:t xml:space="preserve"> cognitive fluidity threshold to Donald's external symbolic storage model — holds that once the neurological substrate for symbolic thought is sufficiently in place, material complexity should follow as a predictable consequence. The cognitive hardware produces the cultural output. This paper examines that prediction against the case of the Sentinelese of North Sentinel Island, Bay of Bengal — a population of anatomically modern Homo sapiens with a genetically inferred deep-time lineage of at least 24,000–60,000 years and a documented contact record spanning 1867–2025 that shows coordinated group behavior, multi-day behavioral sequencing, cross-generational norm consistency, and rapid material adaptation. The Sentinelese show no observable material symbolic externalization. Drawing on the Deep Symbolic Systems Model (DSSM) and the comparative case of the Vedda (</w:t>
      </w:r>
      <w:proofErr w:type="spellStart"/>
      <w:r w:rsidRPr="00EF5F99">
        <w:t>Wanniyala-Aetto</w:t>
      </w:r>
      <w:proofErr w:type="spellEnd"/>
      <w:r w:rsidRPr="00EF5F99">
        <w:t>) of Sri Lanka, this paper argues that the Sentinelese case is most parsimoniously explained not by a cognitive deficit but by the absence of the structural pressure — demographic concentration exceeding the threshold at which biological transmission becomes insufficient — that drives material externalization in the DSSM framework. The paper does not claim to falsify the sudden genius hypothesis; the Sentinelese cannot be accessed for direct cognitive study. It argues that the behavioral record is inconsistent with cognitive limitation as the primary explanation for non-externalization, and that a structural account — symbolic sufficiency under sub-threshold demographic conditions — is both simpler and better supported by the available evidence.</w:t>
      </w:r>
    </w:p>
    <w:p w14:paraId="62BF1B8F" w14:textId="77777777" w:rsidR="00733A77" w:rsidRPr="00EF5F99" w:rsidRDefault="00733A77">
      <w:pPr>
        <w:spacing w:before="60" w:after="60"/>
      </w:pPr>
    </w:p>
    <w:p w14:paraId="58912C24" w14:textId="77777777" w:rsidR="00733A77" w:rsidRPr="00EF5F99" w:rsidRDefault="00000000">
      <w:pPr>
        <w:spacing w:before="120" w:after="120"/>
        <w:jc w:val="both"/>
      </w:pPr>
      <w:r w:rsidRPr="00EF5F99">
        <w:rPr>
          <w:b/>
          <w:bCs/>
        </w:rPr>
        <w:t xml:space="preserve">Keywords: </w:t>
      </w:r>
      <w:r w:rsidRPr="00EF5F99">
        <w:rPr>
          <w:i/>
          <w:iCs/>
        </w:rPr>
        <w:t>sudden genius hypothesis, Upper Paleolithic Revolution, behavioral modernity, cognitive fluidity, Sentinelese, symbolic sufficiency, DSSM, material complexity, demographic threshold, cognitive archaeology</w:t>
      </w:r>
    </w:p>
    <w:p w14:paraId="18E5DFE0" w14:textId="77777777" w:rsidR="00EF5F99" w:rsidRDefault="00EF5F99">
      <w:pPr>
        <w:pStyle w:val="Heading1"/>
        <w:rPr>
          <w:color w:val="auto"/>
        </w:rPr>
      </w:pPr>
    </w:p>
    <w:p w14:paraId="7CCE80E1" w14:textId="77777777" w:rsidR="00EF5F99" w:rsidRDefault="00EF5F99">
      <w:pPr>
        <w:pStyle w:val="Heading1"/>
        <w:rPr>
          <w:color w:val="auto"/>
        </w:rPr>
      </w:pPr>
    </w:p>
    <w:p w14:paraId="5E09DDE1" w14:textId="77777777" w:rsidR="00EF5F99" w:rsidRDefault="00EF5F99">
      <w:pPr>
        <w:pStyle w:val="Heading1"/>
        <w:rPr>
          <w:color w:val="auto"/>
        </w:rPr>
      </w:pPr>
    </w:p>
    <w:p w14:paraId="6A6918A9" w14:textId="77777777" w:rsidR="00EF5F99" w:rsidRDefault="00EF5F99">
      <w:pPr>
        <w:pStyle w:val="Heading1"/>
        <w:rPr>
          <w:color w:val="auto"/>
        </w:rPr>
      </w:pPr>
    </w:p>
    <w:p w14:paraId="32A3A982" w14:textId="77777777" w:rsidR="00EF5F99" w:rsidRDefault="00EF5F99">
      <w:pPr>
        <w:pStyle w:val="Heading1"/>
        <w:rPr>
          <w:color w:val="auto"/>
        </w:rPr>
      </w:pPr>
    </w:p>
    <w:p w14:paraId="6BDCBBF2" w14:textId="77777777" w:rsidR="00EF5F99" w:rsidRDefault="00EF5F99">
      <w:pPr>
        <w:pStyle w:val="Heading1"/>
        <w:rPr>
          <w:color w:val="auto"/>
        </w:rPr>
      </w:pPr>
    </w:p>
    <w:p w14:paraId="753C50C9" w14:textId="77777777" w:rsidR="00EF5F99" w:rsidRDefault="00EF5F99">
      <w:pPr>
        <w:pStyle w:val="Heading1"/>
        <w:rPr>
          <w:color w:val="auto"/>
        </w:rPr>
      </w:pPr>
    </w:p>
    <w:p w14:paraId="54575032" w14:textId="0E232482" w:rsidR="00733A77" w:rsidRPr="00EF5F99" w:rsidRDefault="00000000">
      <w:pPr>
        <w:pStyle w:val="Heading1"/>
        <w:rPr>
          <w:color w:val="auto"/>
        </w:rPr>
      </w:pPr>
      <w:r w:rsidRPr="00EF5F99">
        <w:rPr>
          <w:color w:val="auto"/>
        </w:rPr>
        <w:lastRenderedPageBreak/>
        <w:t>1. Introduction</w:t>
      </w:r>
    </w:p>
    <w:p w14:paraId="34AC7651" w14:textId="77777777" w:rsidR="00733A77" w:rsidRPr="00EF5F99" w:rsidRDefault="00000000">
      <w:pPr>
        <w:spacing w:before="120" w:after="120"/>
        <w:jc w:val="both"/>
      </w:pPr>
      <w:r w:rsidRPr="00EF5F99">
        <w:t>Every model of behavioral modernity that locates the origin of human cultural complexity in a cognitive event — a mutation, a threshold, a neural reorganization — implies a relationship between the capacity for symbolic behavior and its material expression: once the cognitive prerequisites are in place, symbolic and material complexity become possible in a way they were not before. The capacity is the cause. The output is, at minimum, the expected consequence.</w:t>
      </w:r>
    </w:p>
    <w:p w14:paraId="5743C755" w14:textId="77777777" w:rsidR="00733A77" w:rsidRPr="00EF5F99" w:rsidRDefault="00000000">
      <w:pPr>
        <w:spacing w:before="120" w:after="120"/>
        <w:jc w:val="both"/>
      </w:pPr>
      <w:r w:rsidRPr="00EF5F99">
        <w:t>This relationship is tested most sharply not in populations that built monuments or wrote texts, but in populations that demonstrably possess cognitive modernity and have not externalized it materially. Such populations are rare in the living record. The Sentinelese of North Sentinel Island are the clearest available case.</w:t>
      </w:r>
    </w:p>
    <w:p w14:paraId="5E42F3C6" w14:textId="77777777" w:rsidR="00733A77" w:rsidRPr="00EF5F99" w:rsidRDefault="00000000">
      <w:pPr>
        <w:spacing w:before="120" w:after="120"/>
        <w:jc w:val="both"/>
      </w:pPr>
      <w:r w:rsidRPr="00EF5F99">
        <w:t>The Sentinelese are anatomically modern Homo sapiens. Their genetic affiliation with the broader Andamanese lineage — a sub-clade (M32) confirmed by mitochondrial and autosomal analysis to have diverged from mainland populations at least 24,000 years ago, and possibly as many as 60,000 years ago — places them well within the range of populations considered cognitively modern by any standard definition (Endicott et al., 2003; Thangaraj et al., 2006). The contact record spanning 1867 to 2025 shows behavioral patterns — coordinated group responses, multi-day strategic sequencing, consistent intergenerational norm application, and rapid community-wide material adaptation — that are difficult to reconcile with any hypothesis of significant cognitive limitation. And yet the Sentinelese show no observable material symbolic externalization: no monuments, no writing, no durable symbolic substrate accessible to outside study.</w:t>
      </w:r>
    </w:p>
    <w:p w14:paraId="498EE259" w14:textId="77777777" w:rsidR="00733A77" w:rsidRPr="00EF5F99" w:rsidRDefault="00000000">
      <w:pPr>
        <w:spacing w:before="120" w:after="120"/>
        <w:jc w:val="both"/>
      </w:pPr>
      <w:r w:rsidRPr="00EF5F99">
        <w:t>The question this paper addresses is not whether the Sentinelese are cognitively capable — the behavioral record makes that question largely moot. The question is what their non-externalization tells us about the relationship between cognitive capacity and material complexity. The sudden genius hypothesis, in its various forms, implies that this relationship is strong. The DSSM proposes that it is contingent — mediated by a demographic variable that the Sentinelese have never satisfied.</w:t>
      </w:r>
    </w:p>
    <w:p w14:paraId="098E4DFF" w14:textId="77777777" w:rsidR="00733A77" w:rsidRPr="00EF5F99" w:rsidRDefault="00000000">
      <w:pPr>
        <w:spacing w:before="120" w:after="120"/>
        <w:jc w:val="both"/>
      </w:pPr>
      <w:r w:rsidRPr="00EF5F99">
        <w:t>The paper proceeds as follows. Section 2 reconstructs the sudden genius hypothesis in its main forms and identifies its shared implication. Section 3 presents the Sentinelese behavioral record as the relevant empirical case. Section 4 examines the available alternative explanations for Sentinelese non-externalization and assesses their plausibility. Section 5 introduces the DSSM's structural account. Section 6 uses the Vedda (</w:t>
      </w:r>
      <w:proofErr w:type="spellStart"/>
      <w:r w:rsidRPr="00EF5F99">
        <w:t>Wanniyala-Aetto</w:t>
      </w:r>
      <w:proofErr w:type="spellEnd"/>
      <w:r w:rsidRPr="00EF5F99">
        <w:t>) of Sri Lanka as a comparative case. Section 7 considers the methodological implications for how cognitive archaeology reads material absence. The paper does not argue that the sudden genius hypothesis is false. It argues that the Sentinelese case is not well explained by it, and that the structural account is more consistent with the available evidence.</w:t>
      </w:r>
    </w:p>
    <w:p w14:paraId="236593A6" w14:textId="77777777" w:rsidR="00EF5F99" w:rsidRDefault="00EF5F99">
      <w:pPr>
        <w:pStyle w:val="Heading1"/>
        <w:rPr>
          <w:color w:val="auto"/>
        </w:rPr>
      </w:pPr>
    </w:p>
    <w:p w14:paraId="03FB5907" w14:textId="77777777" w:rsidR="00EF5F99" w:rsidRDefault="00EF5F99">
      <w:pPr>
        <w:pStyle w:val="Heading1"/>
        <w:rPr>
          <w:color w:val="auto"/>
        </w:rPr>
      </w:pPr>
    </w:p>
    <w:p w14:paraId="3352E510" w14:textId="0ADE0F3D" w:rsidR="00733A77" w:rsidRPr="00EF5F99" w:rsidRDefault="00000000">
      <w:pPr>
        <w:pStyle w:val="Heading1"/>
        <w:rPr>
          <w:color w:val="auto"/>
        </w:rPr>
      </w:pPr>
      <w:r w:rsidRPr="00EF5F99">
        <w:rPr>
          <w:color w:val="auto"/>
        </w:rPr>
        <w:lastRenderedPageBreak/>
        <w:t>2. The Sudden Genius Hypothesis: Principal Versions</w:t>
      </w:r>
    </w:p>
    <w:p w14:paraId="0E2A5DD9" w14:textId="77777777" w:rsidR="00733A77" w:rsidRPr="00EF5F99" w:rsidRDefault="00000000">
      <w:pPr>
        <w:spacing w:before="120" w:after="120"/>
        <w:jc w:val="both"/>
      </w:pPr>
      <w:r w:rsidRPr="00EF5F99">
        <w:t>The hypothesis takes several forms. They share a common implication — that cognitive capacity, once achieved, should produce observable material consequences — but differ in how they characterize the cognitive event and what mediating variables they allow.</w:t>
      </w:r>
    </w:p>
    <w:p w14:paraId="0A5F08CE" w14:textId="77777777" w:rsidR="00733A77" w:rsidRPr="00EF5F99" w:rsidRDefault="00000000">
      <w:pPr>
        <w:pStyle w:val="Heading2"/>
        <w:rPr>
          <w:color w:val="auto"/>
        </w:rPr>
      </w:pPr>
      <w:r w:rsidRPr="00EF5F99">
        <w:rPr>
          <w:color w:val="auto"/>
        </w:rPr>
        <w:t>2.1 Klein's Upper Paleolithic Revolution</w:t>
      </w:r>
    </w:p>
    <w:p w14:paraId="7AE1786F" w14:textId="77777777" w:rsidR="00733A77" w:rsidRPr="00EF5F99" w:rsidRDefault="00000000">
      <w:pPr>
        <w:spacing w:before="120" w:after="120"/>
        <w:jc w:val="both"/>
      </w:pPr>
      <w:r w:rsidRPr="00EF5F99">
        <w:t>Richard Klein's position, developed in The Human Career (1989) and in subsequent publications, holds that anatomically modern humans — present in Africa from at least 130,000 BP — were not behaviorally modern until approximately 40,000–50,000 years ago, when a neurological change, possibly affecting language capacity, enabled the symbolic behavior observable in the Upper Paleolithic archaeological record (Klein, 1995). The evidence Klein cites includes figurative art, musical instruments, elaborate burials, long-distance trade, and systematic use of bone and antler, appearing with relative rapidity in the European Upper Paleolithic and, in his reading, without reliable precursors. The implication is that before the cognitive change, the behavioral repertoire was constrained; after it, the full range of human cultural expression became available.</w:t>
      </w:r>
    </w:p>
    <w:p w14:paraId="36D643F8" w14:textId="77777777" w:rsidR="00733A77" w:rsidRPr="00EF5F99" w:rsidRDefault="00000000">
      <w:pPr>
        <w:spacing w:before="120" w:after="120"/>
        <w:jc w:val="both"/>
      </w:pPr>
      <w:r w:rsidRPr="00EF5F99">
        <w:t>Klein acknowledges ecological and demographic mediating variables. The hypothesis does not require that every cognitively modern population immediately produce monuments. But it does imply that a population with the relevant cognitive upgrade, given sufficient time and stable ecological conditions, should eventually produce the material signatures of behavioral modernity. The Sentinelese, on Klein's framework, either lack the upgrade or have had insufficient time or conditions — neither of which is well supported by the available evidence.</w:t>
      </w:r>
    </w:p>
    <w:p w14:paraId="54FA4E7E" w14:textId="77777777" w:rsidR="00733A77" w:rsidRPr="00EF5F99" w:rsidRDefault="00000000">
      <w:pPr>
        <w:pStyle w:val="Heading2"/>
        <w:rPr>
          <w:color w:val="auto"/>
        </w:rPr>
      </w:pPr>
      <w:r w:rsidRPr="00EF5F99">
        <w:rPr>
          <w:color w:val="auto"/>
        </w:rPr>
        <w:t xml:space="preserve">2.2 </w:t>
      </w:r>
      <w:proofErr w:type="spellStart"/>
      <w:r w:rsidRPr="00EF5F99">
        <w:rPr>
          <w:color w:val="auto"/>
        </w:rPr>
        <w:t>Mithen's</w:t>
      </w:r>
      <w:proofErr w:type="spellEnd"/>
      <w:r w:rsidRPr="00EF5F99">
        <w:rPr>
          <w:color w:val="auto"/>
        </w:rPr>
        <w:t xml:space="preserve"> Cognitive Fluidity Threshold</w:t>
      </w:r>
    </w:p>
    <w:p w14:paraId="21A229F7" w14:textId="77777777" w:rsidR="00733A77" w:rsidRPr="00EF5F99" w:rsidRDefault="00000000">
      <w:pPr>
        <w:spacing w:before="120" w:after="120"/>
        <w:jc w:val="both"/>
      </w:pPr>
      <w:r w:rsidRPr="00EF5F99">
        <w:t xml:space="preserve">Steven Mithen's The Prehistory of the Mind (1996) proposes a different cognitive architecture. The pre-modern mind, in </w:t>
      </w:r>
      <w:proofErr w:type="spellStart"/>
      <w:r w:rsidRPr="00EF5F99">
        <w:t>Mithen's</w:t>
      </w:r>
      <w:proofErr w:type="spellEnd"/>
      <w:r w:rsidRPr="00EF5F99">
        <w:t xml:space="preserve"> account, was modular — with specialized intelligences for social interaction, natural history, technical production, and language operating largely in isolation. The modern mind is characterized by cognitive fluidity: the ability of these modules to communicate, enabling the cross-domain synthesis that produces art, religion, and complex technology. This fluidity threshold, </w:t>
      </w:r>
      <w:proofErr w:type="spellStart"/>
      <w:r w:rsidRPr="00EF5F99">
        <w:t>Mithen</w:t>
      </w:r>
      <w:proofErr w:type="spellEnd"/>
      <w:r w:rsidRPr="00EF5F99">
        <w:t xml:space="preserve"> argues, was crossed sometime between 100,000 and 50,000 BP.</w:t>
      </w:r>
    </w:p>
    <w:p w14:paraId="6530BBAD" w14:textId="77777777" w:rsidR="00733A77" w:rsidRPr="00EF5F99" w:rsidRDefault="00000000">
      <w:pPr>
        <w:spacing w:before="120" w:after="120"/>
        <w:jc w:val="both"/>
      </w:pPr>
      <w:proofErr w:type="spellStart"/>
      <w:r w:rsidRPr="00EF5F99">
        <w:t>Mithen's</w:t>
      </w:r>
      <w:proofErr w:type="spellEnd"/>
      <w:r w:rsidRPr="00EF5F99">
        <w:t xml:space="preserve"> model has been criticized on neurological grounds — the mechanism by which previously isolated modules become suddenly connected is not specified and has no clear neural correlate (Evison, 1998). Nevertheless, its implication for material complexity is </w:t>
      </w:r>
      <w:proofErr w:type="gramStart"/>
      <w:r w:rsidRPr="00EF5F99">
        <w:t>similar to</w:t>
      </w:r>
      <w:proofErr w:type="gramEnd"/>
      <w:r w:rsidRPr="00EF5F99">
        <w:t xml:space="preserve"> Klein's: once cognitive fluidity exists, its cross-domain outputs should be observable in the record. A population with full cognitive fluidity and no observable material cross-domain synthesis requires explanation.</w:t>
      </w:r>
    </w:p>
    <w:p w14:paraId="0FA8E8DD" w14:textId="77777777" w:rsidR="00EF5F99" w:rsidRDefault="00EF5F99">
      <w:pPr>
        <w:pStyle w:val="Heading2"/>
        <w:rPr>
          <w:color w:val="auto"/>
        </w:rPr>
      </w:pPr>
    </w:p>
    <w:p w14:paraId="6205599E" w14:textId="77777777" w:rsidR="00EF5F99" w:rsidRDefault="00EF5F99">
      <w:pPr>
        <w:pStyle w:val="Heading2"/>
        <w:rPr>
          <w:color w:val="auto"/>
        </w:rPr>
      </w:pPr>
    </w:p>
    <w:p w14:paraId="3640DFD2" w14:textId="77777777" w:rsidR="00EF5F99" w:rsidRDefault="00EF5F99">
      <w:pPr>
        <w:pStyle w:val="Heading2"/>
        <w:rPr>
          <w:color w:val="auto"/>
        </w:rPr>
      </w:pPr>
    </w:p>
    <w:p w14:paraId="199CB89D" w14:textId="024BEFF3" w:rsidR="00733A77" w:rsidRPr="00EF5F99" w:rsidRDefault="00000000">
      <w:pPr>
        <w:pStyle w:val="Heading2"/>
        <w:rPr>
          <w:color w:val="auto"/>
        </w:rPr>
      </w:pPr>
      <w:r w:rsidRPr="00EF5F99">
        <w:rPr>
          <w:color w:val="auto"/>
        </w:rPr>
        <w:t>2.3 Donald's External Symbolic Storage</w:t>
      </w:r>
    </w:p>
    <w:p w14:paraId="2C630D91" w14:textId="77777777" w:rsidR="00733A77" w:rsidRPr="00EF5F99" w:rsidRDefault="00000000">
      <w:pPr>
        <w:spacing w:before="120" w:after="120"/>
        <w:jc w:val="both"/>
      </w:pPr>
      <w:r w:rsidRPr="00EF5F99">
        <w:t>Merlin Donald's Origins of the Modern Mind (1991) proposes that human cognitive evolution passed through three major transitions, culminating in theoretic culture — defined by the emergence of external symbolic storage: writing, notation, visual art, and material media that extend cognition beyond the biological brain. On Donald's account, external symbolic storage is not merely the output of cognitive modernity; it is partly constitutive of the theoretic mind. The capacity for sustained abstract thought, systematic knowledge accumulation, and institutional coordination depends on the external scaffolding that allows cognition to be distributed across biological and non-biological substrates.</w:t>
      </w:r>
    </w:p>
    <w:p w14:paraId="6F0C45CB" w14:textId="77777777" w:rsidR="00733A77" w:rsidRPr="00EF5F99" w:rsidRDefault="00000000">
      <w:pPr>
        <w:spacing w:before="120" w:after="120"/>
        <w:jc w:val="both"/>
      </w:pPr>
      <w:r w:rsidRPr="00EF5F99">
        <w:t>This is the most demanding version of the capacity-predicts-output thesis because it makes material externalization a component of full cognitive modernity rather than its product. A population operating without external symbolic storage is, in Donald's framework, operating below the theoretic threshold — not because of biological deficit, but because the scaffolding that enables theoretic thought is absent. The DSSM's response is structural: external symbolic storage is a solution to a problem — symbolic load exceeding biological transmission capacity — that arises only above a certain demographic threshold. For a sub-threshold population, the problem has not arisen, and the solution is therefore not generated. Donald's model and the DSSM agree on the mechanism (load-driven externalization); they differ on whether sub-threshold non-externalization constitutes a cognitive limitation or a structural adequacy. The behavioral evidence from the Sentinelese does not resolve this question directly, but it constrains the answer: a population that plans coordinated multi-vessel responses to perceived threats and successfully adapts new materials community-wide is not obviously operating below a theoretic threshold in any behaviorally meaningful sense. Kim Sterelny's scaffolded learning model (2012) reaches a compatible position: if cognition is constitutively shaped by its social and material environment, then a population whose environment has never generated the pressure for material scaffolding has simply never been under the relevant selection pressure — an observation consistent with the DSSM's structural account rather than with a deficit framing.</w:t>
      </w:r>
    </w:p>
    <w:p w14:paraId="44DE7FF2" w14:textId="77777777" w:rsidR="00733A77" w:rsidRPr="00EF5F99" w:rsidRDefault="00000000">
      <w:pPr>
        <w:pStyle w:val="Heading2"/>
        <w:rPr>
          <w:color w:val="auto"/>
        </w:rPr>
      </w:pPr>
      <w:r w:rsidRPr="00EF5F99">
        <w:rPr>
          <w:color w:val="auto"/>
        </w:rPr>
        <w:t>2.4 The Demographic Bridge: Powell, Shennan and Thomas</w:t>
      </w:r>
    </w:p>
    <w:p w14:paraId="26DF42DA" w14:textId="77777777" w:rsidR="00733A77" w:rsidRPr="00EF5F99" w:rsidRDefault="00000000">
      <w:pPr>
        <w:spacing w:before="120" w:after="120"/>
        <w:jc w:val="both"/>
      </w:pPr>
      <w:r w:rsidRPr="00EF5F99">
        <w:t>A fourth version attempts to reconcile the apparent sudden appearance of behavioral modernity in the Upper Paleolithic with the McBrearty-Brooks (2000) finding that many supposedly Upper Paleolithic innovations appear much earlier in the African Middle Stone Age. Powell, Shennan and Thomas (2009) propose that what changed was not the cognitive architecture but the demographic conditions: once population density and inter-group connectivity crossed a threshold, cultural complexity could accumulate and persist rather than appearing and disappearing as isolated innovations. Henrich's Tasmanian work (2004) provides the inverse illustration: when Tasmanian populations were cut off from mainland Australia approximately 10,000 years ago, they progressively lost technologies as the population dropped below the threshold required to maintain the transmission chains for complex skills.</w:t>
      </w:r>
    </w:p>
    <w:p w14:paraId="5E147A2A" w14:textId="77777777" w:rsidR="00733A77" w:rsidRPr="00EF5F99" w:rsidRDefault="00000000">
      <w:pPr>
        <w:spacing w:before="120" w:after="120"/>
        <w:jc w:val="both"/>
      </w:pPr>
      <w:r w:rsidRPr="00EF5F99">
        <w:lastRenderedPageBreak/>
        <w:t>The Powell-Shennan-Thomas model is the version most compatible with the DSSM, because it locates the explanatory variable in demography rather than cognition. The important distinction is in how the demographic variable is theorized: Powell et al. treat it as a release mechanism for latent cognitive potential — the capacity was always there, waiting for the population to grow large enough to express it. The DSSM treats the demographic threshold not as releasing latent potential but as generating a new structural pressure that did not previously exist. In the DSSM framework, a sub-threshold population is not a population with suppressed potential; it is a population for which the structural driver toward externalization has not yet been generated. This distinction has empirical consequences: if demography releases potential, then contact between a small cognitively modern population and a large Stage 3+ population should transfer complexity. If demography generates structural pressure, then contact without the relevant demographic conditions should not produce complexity — it should produce the erosion of the existing Stage 2 system. The Vedda case, examined in Section 6, is more consistent with the second prediction.</w:t>
      </w:r>
    </w:p>
    <w:p w14:paraId="529F7659" w14:textId="77777777" w:rsidR="00733A77" w:rsidRPr="00EF5F99" w:rsidRDefault="00000000">
      <w:pPr>
        <w:pStyle w:val="Heading2"/>
        <w:rPr>
          <w:color w:val="auto"/>
        </w:rPr>
      </w:pPr>
      <w:r w:rsidRPr="00EF5F99">
        <w:rPr>
          <w:color w:val="auto"/>
        </w:rPr>
        <w:t>2.5 The Shared Implication</w:t>
      </w:r>
    </w:p>
    <w:p w14:paraId="4A8C0D0C" w14:textId="77777777" w:rsidR="00733A77" w:rsidRPr="00EF5F99" w:rsidRDefault="00000000">
      <w:pPr>
        <w:spacing w:before="120" w:after="120"/>
        <w:jc w:val="both"/>
      </w:pPr>
      <w:r w:rsidRPr="00EF5F99">
        <w:t>Across these versions, the shared implication is that cognitive modernity should be associated with material complexity given sufficient time and demographic conditions. A population with full cognitive modernity, stable ecological conditions, and tens of thousands of years of occupation presents a challenge for any version of this framework that cannot be easily dismissed by appeal to ecological constraint or insufficient time alone. The Sentinelese are that population. The question is not whether their non-externalization contradicts the hypothesis in a decisive logical sense — it does not, because the hypothesis allows mediating variables. The question is whether those mediating variables are sufficient to explain the Sentinelese case, or whether a different explanatory framework fits the evidence more parsimoniously.</w:t>
      </w:r>
    </w:p>
    <w:p w14:paraId="79DD6198" w14:textId="77777777" w:rsidR="00733A77" w:rsidRPr="00EF5F99" w:rsidRDefault="00000000">
      <w:pPr>
        <w:pStyle w:val="Heading1"/>
        <w:rPr>
          <w:color w:val="auto"/>
        </w:rPr>
      </w:pPr>
      <w:r w:rsidRPr="00EF5F99">
        <w:rPr>
          <w:color w:val="auto"/>
        </w:rPr>
        <w:t>3. The Sentinelese Behavioral Record</w:t>
      </w:r>
    </w:p>
    <w:p w14:paraId="3CF5F510" w14:textId="77777777" w:rsidR="00733A77" w:rsidRPr="00EF5F99" w:rsidRDefault="00000000">
      <w:pPr>
        <w:spacing w:before="120" w:after="120"/>
        <w:jc w:val="both"/>
      </w:pPr>
      <w:r w:rsidRPr="00EF5F99">
        <w:t xml:space="preserve">The behavioral record available for the Sentinelese is not confined to the handful of incidents that dominate popular accounts. It spans 158 years of documented contact across naval expeditions (1867, 1880, 1896), anthropological missions (1967–1994), an accidental shipwreck standoff (1981), post-tsunami aerial observation (2004), two fatal incidents (2006, 2018), and two recent illegal approaches (2025). The record contains observations made by naval commanders, anthropologists, a film crew, a shipwrecked cargo crew, a coast guard helicopter pilot, and independent witnesses. It is worth examining what this record </w:t>
      </w:r>
      <w:proofErr w:type="gramStart"/>
      <w:r w:rsidRPr="00EF5F99">
        <w:t>actually shows</w:t>
      </w:r>
      <w:proofErr w:type="gramEnd"/>
      <w:r w:rsidRPr="00EF5F99">
        <w:t xml:space="preserve"> before drawing inferences about cognitive capacity.</w:t>
      </w:r>
    </w:p>
    <w:p w14:paraId="42C72F6B" w14:textId="77777777" w:rsidR="00733A77" w:rsidRPr="00EF5F99" w:rsidRDefault="00000000">
      <w:pPr>
        <w:spacing w:before="120" w:after="120"/>
        <w:jc w:val="both"/>
      </w:pPr>
      <w:r w:rsidRPr="00EF5F99">
        <w:t xml:space="preserve">In 1981, the cargo ship MV Primrose grounded on the North Sentinel reef during monsoon. The following morning, the crew observed multiple Sentinelese men on the beach constructing and launching outrigger canoes. The captain's distress radio call reported that the tribesmen were preparing to mount an assault on the vessel. The crew sheltered inside the steel hull under arrow fire for several days before extraction. The sequence — threat assessment, collective decision, parallel canoe construction, </w:t>
      </w:r>
      <w:r w:rsidRPr="00EF5F99">
        <w:lastRenderedPageBreak/>
        <w:t>coordinated launch — involves multiple cognitive steps and group coordination that cannot easily be attributed to simple reflexive territorial behavior. Subsequently, the Sentinelese salvaged structural steel from the wreck and produced arrowheads from it using stone tools. Arrowheads consistent with this salvage technique — larger and heavier than those of other Andamanese groups — appear in all subsequent contact records, suggesting community-wide adoption of the new material within a generation (Paul et al., 2024; Pandit, 1990). This pattern is consistent with cumulative material transmission, though the internal mechanism is not directly observable.</w:t>
      </w:r>
    </w:p>
    <w:p w14:paraId="6E72F615" w14:textId="77777777" w:rsidR="00733A77" w:rsidRPr="00EF5F99" w:rsidRDefault="00000000">
      <w:pPr>
        <w:spacing w:before="120" w:after="120"/>
        <w:jc w:val="both"/>
      </w:pPr>
      <w:r w:rsidRPr="00EF5F99">
        <w:t xml:space="preserve">In 2018, missionary John Allen Chau made three consecutive approaches over three days. On day one, warning arrows were fired, including one that struck a waterproof bag he carried. He withdrew. On day two, he approached again; a young Sentinelese bowman fired and struck his bag again. He withdrew. On day three, he approached by kayak and was killed. His body was subsequently staked and displayed on the beach. The same three-element sequence — warning response, escalated warning, lethal enforcement — appears in the 1974 National Geographic expedition record and the 2006 incident in which two fishermen were killed. Across three incidents separated by decades and involving different individuals, the behavioral sequence is consistent. This consistency is most parsimoniously explained by a shared normative framework transmitted across generations, though alternative explanations — convergent individual behavior, fixed instinctive responses — cannot be excluded </w:t>
      </w:r>
      <w:proofErr w:type="gramStart"/>
      <w:r w:rsidRPr="00EF5F99">
        <w:t>on the basis of</w:t>
      </w:r>
      <w:proofErr w:type="gramEnd"/>
      <w:r w:rsidRPr="00EF5F99">
        <w:t xml:space="preserve"> behavioral observation alone.</w:t>
      </w:r>
    </w:p>
    <w:p w14:paraId="4B577824" w14:textId="77777777" w:rsidR="00733A77" w:rsidRPr="00EF5F99" w:rsidRDefault="00000000">
      <w:pPr>
        <w:spacing w:before="120" w:after="120"/>
        <w:jc w:val="both"/>
      </w:pPr>
      <w:r w:rsidRPr="00EF5F99">
        <w:t>The 2004 Indian Ocean tsunami provides a third observation. The 9.1 magnitude earthquake on 26 December caused catastrophic coastal damage across the region. A Coast Guard helicopter dispatched to check for casualties two days later was met by a single Sentinelese bowman who fired an arrow at the aircraft. The population had evidently survived intact. Contemporaneous reports cited by Associated Press speculated that the Sentinelese may have read environmental precursors — changes in wind, tidal behavior, or animal movement — and moved to higher ground before the wave arrived. This interpretation is plausible but remains speculative; the absence of casualties is the only confirmed observation. If the ecological knowledge interpretation is accurate, it would indicate intergenerational transmission of environmental information at a level of precision sufficient to enable survival of a major seismic event. If it is not, the population's survival is still consistent with a small group that happened to be in a sheltered area of the island.</w:t>
      </w:r>
    </w:p>
    <w:p w14:paraId="75A8E84C" w14:textId="77777777" w:rsidR="00733A77" w:rsidRPr="00EF5F99" w:rsidRDefault="00000000">
      <w:pPr>
        <w:spacing w:before="120" w:after="120"/>
        <w:jc w:val="both"/>
      </w:pPr>
      <w:r w:rsidRPr="00EF5F99">
        <w:t>The 1880 Portman expedition, which landed with a large armed party, found recently abandoned camps, maintained paths, active fire sites, and — the most analytically significant observation in the pre-modern contact record — a skeleton of an elderly man arranged in a bucket and secreted in the buttressed roots of a large tree. This is the only direct observation of Sentinelese mortuary practice. The deliberate positioning and concealment of human remains implies some normative framework governing the treatment of the dead, though the content and significance of that framework cannot be inferred from a single observation.</w:t>
      </w:r>
    </w:p>
    <w:p w14:paraId="6BE4A909" w14:textId="77777777" w:rsidR="00733A77" w:rsidRPr="00EF5F99" w:rsidRDefault="00000000">
      <w:pPr>
        <w:spacing w:before="120" w:after="120"/>
        <w:jc w:val="both"/>
      </w:pPr>
      <w:r w:rsidRPr="00EF5F99">
        <w:t xml:space="preserve">What the contact record shows, across 158 years of independent observation, is a population that: maintains consistent territorial boundaries over multiple generations; applies a structured behavioral protocol to outsider approaches that is consistent across </w:t>
      </w:r>
      <w:r w:rsidRPr="00EF5F99">
        <w:lastRenderedPageBreak/>
        <w:t>decades and individuals; coordinates group action above the level of individual improvisation; adopts and standardizes new materials at a community level; and manages the treatment of the dead in ways that imply normative structure. None of this is direct evidence of the internal cognitive architecture. It is behavioral evidence that constrains the range of plausible cognitive explanations. A population exhibiting these patterns is not obviously exhibiting the behavioral profile associated with significant cognitive limitation.</w:t>
      </w:r>
    </w:p>
    <w:p w14:paraId="3E35C105" w14:textId="77777777" w:rsidR="00733A77" w:rsidRPr="00EF5F99" w:rsidRDefault="00000000">
      <w:pPr>
        <w:pStyle w:val="Heading1"/>
        <w:rPr>
          <w:color w:val="auto"/>
        </w:rPr>
      </w:pPr>
      <w:r w:rsidRPr="00EF5F99">
        <w:rPr>
          <w:color w:val="auto"/>
        </w:rPr>
        <w:t>4. Alternative Explanations for Sentinelese Non-Externalization</w:t>
      </w:r>
    </w:p>
    <w:p w14:paraId="2F3AB54F" w14:textId="77777777" w:rsidR="00733A77" w:rsidRPr="00EF5F99" w:rsidRDefault="00000000">
      <w:pPr>
        <w:spacing w:before="120" w:after="120"/>
        <w:jc w:val="both"/>
      </w:pPr>
      <w:r w:rsidRPr="00EF5F99">
        <w:t>Before invoking the DSSM's structural account, it is worth examining the explanations available within and adjacent to the sudden genius framework. None can be dismissed out of hand; all have some plausibility. The question is which is most consistent with the available evidence.</w:t>
      </w:r>
    </w:p>
    <w:p w14:paraId="7A4A5F07" w14:textId="77777777" w:rsidR="00733A77" w:rsidRPr="00EF5F99" w:rsidRDefault="00000000">
      <w:pPr>
        <w:pStyle w:val="Heading2"/>
        <w:rPr>
          <w:color w:val="auto"/>
        </w:rPr>
      </w:pPr>
      <w:r w:rsidRPr="00EF5F99">
        <w:rPr>
          <w:color w:val="auto"/>
        </w:rPr>
        <w:t>4.1 Population Size</w:t>
      </w:r>
    </w:p>
    <w:p w14:paraId="122C8CC0" w14:textId="77777777" w:rsidR="00733A77" w:rsidRPr="00EF5F99" w:rsidRDefault="00000000">
      <w:pPr>
        <w:spacing w:before="120" w:after="120"/>
        <w:jc w:val="both"/>
      </w:pPr>
      <w:r w:rsidRPr="00EF5F99">
        <w:t>The most straightforward explanation: the Sentinelese population — estimated at between 50 and 400 individuals across different assessments — is below any plausible threshold for the cumulative cultural evolution that produces monuments or writing. Henrich (2004) and Powell et al. (2009) both demonstrate formal relationships between population size and the maintenance of cultural complexity. A community of 100 persons on a small island cannot maintain the transmission chains required for the most complex human technologies.</w:t>
      </w:r>
    </w:p>
    <w:p w14:paraId="5220694E" w14:textId="77777777" w:rsidR="00733A77" w:rsidRPr="00EF5F99" w:rsidRDefault="00000000">
      <w:pPr>
        <w:spacing w:before="120" w:after="120"/>
        <w:jc w:val="both"/>
      </w:pPr>
      <w:r w:rsidRPr="00EF5F99">
        <w:t>This explanation is consistent with the DSSM's Stage 2→3 threshold, but it does not require the sudden genius framework to generate it. If population size is the explanatory variable, then the cognitive event adds nothing to the explanation: a pre-cognitive-revolution population of 100 would show the same non-externalization as a post-cognitive-revolution population of 100. The population size explanation, taken seriously, implies that demography — not cognition — is the operative variable. This is precisely the DSSM's claim. The sudden genius framework can accommodate the population size explanation, but only by conceding that cognitive capacity alone does not drive complexity — which is the point at issue.</w:t>
      </w:r>
    </w:p>
    <w:p w14:paraId="4074C115" w14:textId="77777777" w:rsidR="00733A77" w:rsidRPr="00EF5F99" w:rsidRDefault="00000000">
      <w:pPr>
        <w:spacing w:before="120" w:after="120"/>
        <w:jc w:val="both"/>
      </w:pPr>
      <w:r w:rsidRPr="00EF5F99">
        <w:t>A secondary observation: the Sentinelese population has presumably been sub-threshold for the entirety of its island occupation. If population size explains current non-externalization, it likely explains all prior non-externalization as well. The sudden genius framework therefore predicts, for this population, exactly what the DSSM predicts: no material externalization, ever, under the current demographic conditions. The frameworks converge on the prediction but for different reasons, and the reasons matter for what other predictions they generate.</w:t>
      </w:r>
    </w:p>
    <w:p w14:paraId="6B65AD1F" w14:textId="77777777" w:rsidR="00EF5F99" w:rsidRDefault="00EF5F99">
      <w:pPr>
        <w:pStyle w:val="Heading2"/>
        <w:rPr>
          <w:color w:val="auto"/>
        </w:rPr>
      </w:pPr>
    </w:p>
    <w:p w14:paraId="01495E62" w14:textId="77777777" w:rsidR="00EF5F99" w:rsidRDefault="00EF5F99">
      <w:pPr>
        <w:pStyle w:val="Heading2"/>
        <w:rPr>
          <w:color w:val="auto"/>
        </w:rPr>
      </w:pPr>
    </w:p>
    <w:p w14:paraId="54E3685C" w14:textId="77777777" w:rsidR="00EF5F99" w:rsidRDefault="00EF5F99">
      <w:pPr>
        <w:pStyle w:val="Heading2"/>
        <w:rPr>
          <w:color w:val="auto"/>
        </w:rPr>
      </w:pPr>
    </w:p>
    <w:p w14:paraId="0A563A7F" w14:textId="77777777" w:rsidR="00EF5F99" w:rsidRDefault="00EF5F99">
      <w:pPr>
        <w:pStyle w:val="Heading2"/>
        <w:rPr>
          <w:color w:val="auto"/>
        </w:rPr>
      </w:pPr>
    </w:p>
    <w:p w14:paraId="5A20241C" w14:textId="33276B90" w:rsidR="00733A77" w:rsidRPr="00EF5F99" w:rsidRDefault="00000000">
      <w:pPr>
        <w:pStyle w:val="Heading2"/>
        <w:rPr>
          <w:color w:val="auto"/>
        </w:rPr>
      </w:pPr>
      <w:r w:rsidRPr="00EF5F99">
        <w:rPr>
          <w:color w:val="auto"/>
        </w:rPr>
        <w:t>4.2 Time</w:t>
      </w:r>
    </w:p>
    <w:p w14:paraId="1E162C14" w14:textId="77777777" w:rsidR="00733A77" w:rsidRPr="00EF5F99" w:rsidRDefault="00000000">
      <w:pPr>
        <w:spacing w:before="120" w:after="120"/>
        <w:jc w:val="both"/>
      </w:pPr>
      <w:r w:rsidRPr="00EF5F99">
        <w:t>Perhaps the duration of occupation has simply not been sufficient for complexity to emerge even given the cognitive prerequisites. This is a weak version of the argument. The material signatures associated with behavioral modernity in the Eurasian record appear within 10,000–15,000 years of populations crossing the relevant cognitive thresholds in any version of the sudden genius account. The African Middle Stone Age shows behavioral modernity indicators beginning well before 100,000 BP. The Sentinelese occupation estimate of 24,000–60,000 years substantially exceeds the time windows associated with complexity emergence in other populations under the sudden genius framework. Time alone is not a parsimonious explanation.</w:t>
      </w:r>
    </w:p>
    <w:p w14:paraId="53A5AFF0" w14:textId="77777777" w:rsidR="00733A77" w:rsidRPr="00EF5F99" w:rsidRDefault="00000000">
      <w:pPr>
        <w:pStyle w:val="Heading2"/>
        <w:rPr>
          <w:color w:val="auto"/>
        </w:rPr>
      </w:pPr>
      <w:r w:rsidRPr="00EF5F99">
        <w:rPr>
          <w:color w:val="auto"/>
        </w:rPr>
        <w:t>4.3 Resource Constraints</w:t>
      </w:r>
    </w:p>
    <w:p w14:paraId="165B7EA1" w14:textId="77777777" w:rsidR="00733A77" w:rsidRPr="00EF5F99" w:rsidRDefault="00000000">
      <w:pPr>
        <w:spacing w:before="120" w:after="120"/>
        <w:jc w:val="both"/>
      </w:pPr>
      <w:r w:rsidRPr="00EF5F99">
        <w:t>North Sentinel Island lacks several resources associated with specific technological trajectories: no domesticable animals, no grain crops amenable to agriculture, limited easily workable stone. These are genuine constraints on specific technologies. They do not, however, explain the absence of all material symbolic externalization. Symbolic marking, mortuary elaboration, and oral-tradition-supporting material culture (decorated objects, portable art) have developed in environments with comparably limited resources. The Australian Aboriginal case is the relevant comparator: populations across a continent spanning arid desert to dense rainforest, without grain agriculture or domesticated animals, maintained and transmitted extraordinarily complex symbolic, cosmological, and legal systems across 60,000 years — though largely without the durable material externalization that leaves an extensive archaeological record (Bowler et al., 2003; Nunn &amp; Reid, 2016).</w:t>
      </w:r>
    </w:p>
    <w:p w14:paraId="4F15A44E" w14:textId="77777777" w:rsidR="00733A77" w:rsidRPr="00EF5F99" w:rsidRDefault="00000000">
      <w:pPr>
        <w:spacing w:before="120" w:after="120"/>
        <w:jc w:val="both"/>
      </w:pPr>
      <w:r w:rsidRPr="00EF5F99">
        <w:t>The 1981 Primrose incident provides a relevant data point on the resource constraint argument. When structural steel became available on the beach, the Sentinelese incorporated it into their existing tool kit within what appears to be a single generation, producing standardized arrowheads that persist in the contact record for forty years. This suggests that resource availability is not the binding constraint on material production. When a new material arrived, they used it — for functional rather than symbolic purposes. The absence of symbolic externalization predates the resource constraint and is not resolved by its removal.</w:t>
      </w:r>
    </w:p>
    <w:p w14:paraId="0C4D188F" w14:textId="77777777" w:rsidR="00733A77" w:rsidRPr="00EF5F99" w:rsidRDefault="00000000">
      <w:pPr>
        <w:pStyle w:val="Heading2"/>
        <w:rPr>
          <w:color w:val="auto"/>
        </w:rPr>
      </w:pPr>
      <w:r w:rsidRPr="00EF5F99">
        <w:rPr>
          <w:color w:val="auto"/>
        </w:rPr>
        <w:t>4.4 Prior Complexity and Subsequent Loss</w:t>
      </w:r>
    </w:p>
    <w:p w14:paraId="04B3DFB9" w14:textId="77777777" w:rsidR="00733A77" w:rsidRPr="00EF5F99" w:rsidRDefault="00000000">
      <w:pPr>
        <w:spacing w:before="120" w:after="120"/>
        <w:jc w:val="both"/>
      </w:pPr>
      <w:r w:rsidRPr="00EF5F99">
        <w:t>The most difficult alternative to assess: the Sentinelese may represent a formerly more complex population that lost technological and symbolic complexity following demographic reduction or ecological disruption, analogous to the Tasmanian case documented by Henrich (2004). Their current apparent simplicity would then be a descended state, not an original one.</w:t>
      </w:r>
    </w:p>
    <w:p w14:paraId="039A7169" w14:textId="77777777" w:rsidR="00733A77" w:rsidRPr="00EF5F99" w:rsidRDefault="00000000">
      <w:pPr>
        <w:spacing w:before="120" w:after="120"/>
        <w:jc w:val="both"/>
      </w:pPr>
      <w:r w:rsidRPr="00EF5F99">
        <w:lastRenderedPageBreak/>
        <w:t>This cannot be excluded. North Sentinel Island has never been archaeologically surveyed, and no subsurface evidence is available. The hypothesis is structurally possible. However, Henrich's model of cultural loss under demographic reduction predicts specific behavioral signatures: reduced repertoire consistency, transmission errors, material discontinuity across time. The Sentinelese contact record does not obviously show these signatures. Behavioral protocols appear consistent across incidents separated by over a century. Material culture shows continuity with an identifiable upgrade — the post-Primrose iron arrowheads — rather than the progressive simplification Henrich's model predicts under demographic stress. The degradation hypothesis remains possible but is not clearly supported by the behavioral evidence.</w:t>
      </w:r>
    </w:p>
    <w:p w14:paraId="56FD7B45" w14:textId="77777777" w:rsidR="00733A77" w:rsidRPr="00EF5F99" w:rsidRDefault="00000000">
      <w:pPr>
        <w:spacing w:before="120" w:after="120"/>
        <w:jc w:val="both"/>
      </w:pPr>
      <w:r w:rsidRPr="00EF5F99">
        <w:t>Importantly, if the degradation hypothesis is correct, it supports the DSSM's framework rather than the sudden genius account: complexity, once achieved, dissolves when the demographic and social conditions that sustained it are removed. This is the DSSM's Stage 2 erosion model, consistent with the Vedda case. The degradation hypothesis does not save the sudden genius framework; it merely relocates the DSSM's explanatory mechanism to an earlier period in Sentinelese history.</w:t>
      </w:r>
    </w:p>
    <w:p w14:paraId="556EF3C3" w14:textId="77777777" w:rsidR="00733A77" w:rsidRPr="00EF5F99" w:rsidRDefault="00000000">
      <w:pPr>
        <w:pStyle w:val="Heading1"/>
        <w:rPr>
          <w:color w:val="auto"/>
        </w:rPr>
      </w:pPr>
      <w:r w:rsidRPr="00EF5F99">
        <w:rPr>
          <w:color w:val="auto"/>
        </w:rPr>
        <w:t>5. The DSSM Account: Structural Pressure as the Operative Variable</w:t>
      </w:r>
    </w:p>
    <w:p w14:paraId="1C8A56AF" w14:textId="77777777" w:rsidR="00733A77" w:rsidRPr="00EF5F99" w:rsidRDefault="00000000">
      <w:pPr>
        <w:spacing w:before="120" w:after="120"/>
        <w:jc w:val="both"/>
      </w:pPr>
      <w:r w:rsidRPr="00EF5F99">
        <w:t>Having examined the available alternative explanations, none of which is entirely satisfactory, it is useful to state what a structural account predicts and how it relates to the evidence.</w:t>
      </w:r>
    </w:p>
    <w:p w14:paraId="022C3F0F" w14:textId="77777777" w:rsidR="00733A77" w:rsidRPr="00EF5F99" w:rsidRDefault="00000000">
      <w:pPr>
        <w:spacing w:before="120" w:after="120"/>
        <w:jc w:val="both"/>
      </w:pPr>
      <w:r w:rsidRPr="00EF5F99">
        <w:t xml:space="preserve">The Deep Symbolic Systems Model does not claim that cognitive capacity is irrelevant to material complexity. It proposes that cognitive capacity is a necessary but not sufficient condition — and that the sufficient condition is a structural pressure that is independently generated by demographic and ecological circumstances. Stage 2 of the DSSM (Ritualized Repetition) is a fully functional symbolic system operating within biological memory, oral tradition, and shared social practice. It is not a deficient system. It meets all social coordination and intergenerational transmission requirements for populations below the threshold at which symbolic load exceeds biological transmission capacity — estimated in the DSSM framework at approximately 500 persons in sustained </w:t>
      </w:r>
      <w:proofErr w:type="gramStart"/>
      <w:r w:rsidRPr="00EF5F99">
        <w:t>close proximity</w:t>
      </w:r>
      <w:proofErr w:type="gramEnd"/>
      <w:r w:rsidRPr="00EF5F99">
        <w:t>, though this figure is an approximation rather than a precise empirical threshold (Vondoom, 2025a; Vondoom, 2026a).</w:t>
      </w:r>
    </w:p>
    <w:p w14:paraId="767BE0DD" w14:textId="77777777" w:rsidR="00733A77" w:rsidRPr="00EF5F99" w:rsidRDefault="00000000">
      <w:pPr>
        <w:spacing w:before="120" w:after="120"/>
        <w:jc w:val="both"/>
      </w:pPr>
      <w:r w:rsidRPr="00EF5F99">
        <w:t xml:space="preserve">Stage 3 (Material Amplification and Externalization) is not the next step that every Stage 2 population eventually takes. It is the structural response to a specific pressure: the point at which ritual schedules, cosmological knowledge, genealogical memory, and behavioral norms accumulate to a weight that biological memory cannot reliably carry across generations. Below that threshold, material externalization has no structural driver. A population of approximately 100 persons on a 60 square kilometer island, with a stable hunter-gatherer ecology and no neighboring populations generating competitive pressure, is unlikely to generate that threshold pressure. Their symbolic load — whatever its internal richness, which cannot be observed — is manageable within oral-performative tradition. The structural driver for Stage 3 has not arisen. This prediction is consistent with </w:t>
      </w:r>
      <w:r w:rsidRPr="00EF5F99">
        <w:lastRenderedPageBreak/>
        <w:t>the observable absence of material externalization without requiring any claim about the cognitive capacity of the population.</w:t>
      </w:r>
    </w:p>
    <w:p w14:paraId="096E63E5" w14:textId="77777777" w:rsidR="00733A77" w:rsidRPr="00EF5F99" w:rsidRDefault="00000000">
      <w:pPr>
        <w:spacing w:before="120" w:after="120"/>
        <w:jc w:val="both"/>
      </w:pPr>
      <w:r w:rsidRPr="00EF5F99">
        <w:t>The concept of symbolic sufficiency captures this condition: the state in which a Stage 2 system meets all the requirements placed on it by the group's size and ecological situation. Symbolic sufficiency is not a failure state. It is the equilibrium condition for populations whose symbolic load has not yet exceeded — and may never exceed — biological transmission capacity. The Australian Aboriginal case provides the most sustained empirical illustration of Stage 2 sufficiency at scale: populations maintaining complex symbolic, cosmological, and legal systems across a continent for tens of thousands of years without the structural pressure that would drive material externalization at a monumental level (Bowler et al., 2003; Nunn &amp; Reid, 2016). The Sentinelese appear to represent the same condition in its smallest and most isolated form.</w:t>
      </w:r>
    </w:p>
    <w:p w14:paraId="6AFAF7EB" w14:textId="77777777" w:rsidR="00733A77" w:rsidRPr="00EF5F99" w:rsidRDefault="00000000">
      <w:pPr>
        <w:spacing w:before="120" w:after="120"/>
        <w:jc w:val="both"/>
      </w:pPr>
      <w:r w:rsidRPr="00EF5F99">
        <w:t>McBrearty and Brooks (2000) reached a structurally compatible conclusion from the African archaeological record. The package of behaviors associated with behavioral modernity in the European Upper Paleolithic does not appear as a sudden package in the African Middle Stone Age record; it appears gradually, distributed across sites widely separated in space and time, from as early as 250,000 BP. The cognitive capacity was present well before 50,000 BP. What drove the observable clustering of behavioral innovations was not a cognitive event but a set of demographic and ecological conditions — connectivity, population density, ecological stability — that generated the pressure for cumulative symbolic elaboration. The DSSM formalizes this observation: the archaeological signal is a structural signal, not a cognitive one.</w:t>
      </w:r>
    </w:p>
    <w:p w14:paraId="3905E743" w14:textId="77777777" w:rsidR="00733A77" w:rsidRPr="00EF5F99" w:rsidRDefault="00000000">
      <w:pPr>
        <w:spacing w:before="120" w:after="120"/>
        <w:jc w:val="both"/>
      </w:pPr>
      <w:r w:rsidRPr="00EF5F99">
        <w:t xml:space="preserve">This account has one further implication for the sudden genius models. If the structural pressure is the operative variable, then the cognitive event — whatever it was — upgraded the brain's capacity to respond to that pressure when it arises, not its probability of generating the pressure. A population that never generates the demographic pressure will not produce Stage 3 output regardless of when its cognitive upgrade occurred. The sudden genius and the DSSM are not competing explanations for the same phenomenon; they are explanations of different things. The cognitive event may explain why Stage 3 became possible. The demographic threshold explains why, when, and where it </w:t>
      </w:r>
      <w:proofErr w:type="gramStart"/>
      <w:r w:rsidRPr="00EF5F99">
        <w:t>actually appeared</w:t>
      </w:r>
      <w:proofErr w:type="gramEnd"/>
      <w:r w:rsidRPr="00EF5F99">
        <w:t>.</w:t>
      </w:r>
    </w:p>
    <w:p w14:paraId="3285B69B" w14:textId="77777777" w:rsidR="00733A77" w:rsidRPr="00EF5F99" w:rsidRDefault="00000000">
      <w:pPr>
        <w:pStyle w:val="Heading1"/>
        <w:rPr>
          <w:color w:val="auto"/>
        </w:rPr>
      </w:pPr>
      <w:r w:rsidRPr="00EF5F99">
        <w:rPr>
          <w:color w:val="auto"/>
        </w:rPr>
        <w:t>6. A Comparative Case: The Vedda (</w:t>
      </w:r>
      <w:proofErr w:type="spellStart"/>
      <w:r w:rsidRPr="00EF5F99">
        <w:rPr>
          <w:color w:val="auto"/>
        </w:rPr>
        <w:t>Wanniyala-Aetto</w:t>
      </w:r>
      <w:proofErr w:type="spellEnd"/>
      <w:r w:rsidRPr="00EF5F99">
        <w:rPr>
          <w:color w:val="auto"/>
        </w:rPr>
        <w:t>) of Sri Lanka</w:t>
      </w:r>
    </w:p>
    <w:p w14:paraId="4EBB13CD" w14:textId="77777777" w:rsidR="00733A77" w:rsidRPr="00EF5F99" w:rsidRDefault="00000000">
      <w:pPr>
        <w:spacing w:before="120" w:after="120"/>
        <w:jc w:val="both"/>
      </w:pPr>
      <w:r w:rsidRPr="00EF5F99">
        <w:t>The sudden genius framework, in its more accommodating versions, might argue that the Sentinelese are not an adequate test because the conditions for complexity — sufficient population, connectivity, competitive pressure — have never been present on North Sentinel Island. A more complete test would require a cognitively modern Stage 2 population that did encounter those conditions. The Vedda (</w:t>
      </w:r>
      <w:proofErr w:type="spellStart"/>
      <w:r w:rsidRPr="00EF5F99">
        <w:t>Wanniyala-Aetto</w:t>
      </w:r>
      <w:proofErr w:type="spellEnd"/>
      <w:r w:rsidRPr="00EF5F99">
        <w:t>) of Sri Lanka provide a partial comparative case, though the comparison has limits that should be acknowledged upfront.</w:t>
      </w:r>
    </w:p>
    <w:p w14:paraId="79F381DA" w14:textId="77777777" w:rsidR="00733A77" w:rsidRPr="00EF5F99" w:rsidRDefault="00000000">
      <w:pPr>
        <w:spacing w:before="120" w:after="120"/>
        <w:jc w:val="both"/>
      </w:pPr>
      <w:r w:rsidRPr="00EF5F99">
        <w:t xml:space="preserve">The </w:t>
      </w:r>
      <w:proofErr w:type="spellStart"/>
      <w:r w:rsidRPr="00EF5F99">
        <w:t>Wanniyala-Aetto</w:t>
      </w:r>
      <w:proofErr w:type="spellEnd"/>
      <w:r w:rsidRPr="00EF5F99">
        <w:t xml:space="preserve"> are the indigenous hunter-gatherer population of Sri Lanka, with genetic and archaeological lineage connected to the </w:t>
      </w:r>
      <w:proofErr w:type="spellStart"/>
      <w:r w:rsidRPr="00EF5F99">
        <w:t>Balangoda</w:t>
      </w:r>
      <w:proofErr w:type="spellEnd"/>
      <w:r w:rsidRPr="00EF5F99">
        <w:t xml:space="preserve"> Man (c. 37,000 BP), one </w:t>
      </w:r>
      <w:r w:rsidRPr="00EF5F99">
        <w:lastRenderedPageBreak/>
        <w:t xml:space="preserve">of the earliest anatomically modern human presences in South Asia (Kennedy, 2000; Perera et al., 2011; Deraniyagala, 1992). Their documented traditional symbolic system is oral and ancestor-centered: the nae </w:t>
      </w:r>
      <w:proofErr w:type="spellStart"/>
      <w:r w:rsidRPr="00EF5F99">
        <w:t>yaku</w:t>
      </w:r>
      <w:proofErr w:type="spellEnd"/>
      <w:r w:rsidRPr="00EF5F99">
        <w:t xml:space="preserve"> (spirits of deceased relatives) are addressed through the </w:t>
      </w:r>
      <w:proofErr w:type="spellStart"/>
      <w:r w:rsidRPr="00EF5F99">
        <w:t>kirikoraha</w:t>
      </w:r>
      <w:proofErr w:type="spellEnd"/>
      <w:r w:rsidRPr="00EF5F99">
        <w:t xml:space="preserve"> ceremony, a collective healing ritual that constitutes the primary observable symbolic practice of the remaining traditional community. The system shows no material externalization — no writing, no monuments, no durable symbolic substrate — consistent with a Stage 2 system operating under stable oral-performative transmission (Seligmann &amp; Seligmann, 1911; </w:t>
      </w:r>
      <w:proofErr w:type="spellStart"/>
      <w:r w:rsidRPr="00EF5F99">
        <w:t>Stegeborn</w:t>
      </w:r>
      <w:proofErr w:type="spellEnd"/>
      <w:r w:rsidRPr="00EF5F99">
        <w:t>, 2004).</w:t>
      </w:r>
    </w:p>
    <w:p w14:paraId="0DC974FF" w14:textId="77777777" w:rsidR="00733A77" w:rsidRPr="00EF5F99" w:rsidRDefault="00000000">
      <w:pPr>
        <w:spacing w:before="120" w:after="120"/>
        <w:jc w:val="both"/>
      </w:pPr>
      <w:r w:rsidRPr="00EF5F99">
        <w:t>The Veddas have been in sustained contact with Sinhalese civilization — a Stage 3+ system with writing, institutional administration, and monumental religious architecture — for several centuries. On the version of the sudden genius hypothesis that attributes non-complexity primarily to isolation and lack of exposure, this contact should have facilitated cognitive potential expression: the Veddas had access to external symbolic scaffolding, to a larger social network, and to the institutional complexity of a neighboring civilization. If exposure to Stage 3+ conditions releases latent cognitive potential, this is where it should have been released.</w:t>
      </w:r>
    </w:p>
    <w:p w14:paraId="049A043A" w14:textId="77777777" w:rsidR="00733A77" w:rsidRPr="00EF5F99" w:rsidRDefault="00000000">
      <w:pPr>
        <w:spacing w:before="120" w:after="120"/>
        <w:jc w:val="both"/>
      </w:pPr>
      <w:r w:rsidRPr="00EF5F99">
        <w:t xml:space="preserve">The observed outcome is different. Sustained contact did not produce Stage 3 complexity in the Vedda community. It produced Stage 2 erosion: language replacement by Sinhala, restriction of traditional territories through national park designation, and absorption of the Vedda population into the Sinhalese rural economy. The </w:t>
      </w:r>
      <w:proofErr w:type="spellStart"/>
      <w:r w:rsidRPr="00EF5F99">
        <w:t>kirikoraha</w:t>
      </w:r>
      <w:proofErr w:type="spellEnd"/>
      <w:r w:rsidRPr="00EF5F99">
        <w:t xml:space="preserve"> ceremony continues in the </w:t>
      </w:r>
      <w:proofErr w:type="spellStart"/>
      <w:r w:rsidRPr="00EF5F99">
        <w:t>Dambana</w:t>
      </w:r>
      <w:proofErr w:type="spellEnd"/>
      <w:r w:rsidRPr="00EF5F99">
        <w:t xml:space="preserve"> community under Chief </w:t>
      </w:r>
      <w:proofErr w:type="spellStart"/>
      <w:r w:rsidRPr="00EF5F99">
        <w:t>Uruwarige</w:t>
      </w:r>
      <w:proofErr w:type="spellEnd"/>
      <w:r w:rsidRPr="00EF5F99">
        <w:t xml:space="preserve"> </w:t>
      </w:r>
      <w:proofErr w:type="spellStart"/>
      <w:r w:rsidRPr="00EF5F99">
        <w:t>Wannila</w:t>
      </w:r>
      <w:proofErr w:type="spellEnd"/>
      <w:r w:rsidRPr="00EF5F99">
        <w:t xml:space="preserve"> Aththo. The language, and much of the traditional normative framework, does not (</w:t>
      </w:r>
      <w:proofErr w:type="spellStart"/>
      <w:r w:rsidRPr="00EF5F99">
        <w:t>Stegeborn</w:t>
      </w:r>
      <w:proofErr w:type="spellEnd"/>
      <w:r w:rsidRPr="00EF5F99">
        <w:t>, 2004). The Stage 2 system did not advance under contact pressure; it dissolved, without Stage 3 replacement generated internally.</w:t>
      </w:r>
    </w:p>
    <w:p w14:paraId="23A0D148" w14:textId="77777777" w:rsidR="00733A77" w:rsidRPr="00EF5F99" w:rsidRDefault="00000000">
      <w:pPr>
        <w:spacing w:before="120" w:after="120"/>
        <w:jc w:val="both"/>
      </w:pPr>
      <w:r w:rsidRPr="00EF5F99">
        <w:t>This outcome is more consistent with the DSSM's prediction than with the release-of-potential version of the sudden genius account. Contact between an asymmetrically small Stage 2 population and a dominant Stage 3+ population does not transfer complexity; it erodes the conditions — demographic coherence, territorial integrity, transmission continuity — under which Stage 2 can sustain itself. This is what the DSSM predicts. The Vedda case does not prove this mechanism universally; it is a single case with many confounding variables, including colonial history, land dispossession, and active assimilation pressure. But it is consistent with the structural prediction and inconsistent with the release-of-potential prediction.</w:t>
      </w:r>
    </w:p>
    <w:p w14:paraId="6B897113" w14:textId="77777777" w:rsidR="00733A77" w:rsidRPr="00EF5F99" w:rsidRDefault="00000000">
      <w:pPr>
        <w:spacing w:before="120" w:after="120"/>
        <w:jc w:val="both"/>
      </w:pPr>
      <w:r w:rsidRPr="00EF5F99">
        <w:t xml:space="preserve">The comparison between Sentinelese and Vedda is imperfect as a controlled experiment. The populations differ in island versus mainland ecology, in contact history, in documented tradition depth, and in the nature of the Stage 3+ systems they encountered. These differences limit what can be concluded. What the comparison does show is that two cognitively modern Stage 2 populations, </w:t>
      </w:r>
      <w:proofErr w:type="gramStart"/>
      <w:r w:rsidRPr="00EF5F99">
        <w:t>similarly</w:t>
      </w:r>
      <w:proofErr w:type="gramEnd"/>
      <w:r w:rsidRPr="00EF5F99">
        <w:t xml:space="preserve"> positioned in the DSSM framework, produced divergent outcomes under the single variable of contact. That divergence is more consistent with the DSSM's transmission-integrity account than with any version of the hypothesis that treats contact as releasing latent potential.</w:t>
      </w:r>
    </w:p>
    <w:p w14:paraId="12C3CF68" w14:textId="77777777" w:rsidR="00733A77" w:rsidRPr="00EF5F99" w:rsidRDefault="00000000">
      <w:pPr>
        <w:pStyle w:val="Heading1"/>
        <w:rPr>
          <w:color w:val="auto"/>
        </w:rPr>
      </w:pPr>
      <w:r w:rsidRPr="00EF5F99">
        <w:rPr>
          <w:color w:val="auto"/>
        </w:rPr>
        <w:t>7. Implications for Reading Absence in the Material Record</w:t>
      </w:r>
    </w:p>
    <w:p w14:paraId="7CF872AA" w14:textId="77777777" w:rsidR="00733A77" w:rsidRPr="00EF5F99" w:rsidRDefault="00000000">
      <w:pPr>
        <w:spacing w:before="120" w:after="120"/>
        <w:jc w:val="both"/>
      </w:pPr>
      <w:r w:rsidRPr="00EF5F99">
        <w:lastRenderedPageBreak/>
        <w:t>The argument developed in this paper has a methodological consequence for cognitive archaeology that is worth stating directly. The conventional inference from material absence — the populations that did not externalize symbolically lacked the cognitive capacity to do so — is not well supported as a default position. It requires that cognitive limitation be the operative variable and that structural and ecological alternatives be insufficient. In the Sentinelese case, the behavioral evidence is difficult to reconcile with significant cognitive limitation, and the structural account — sub-threshold demographic conditions generating no pressure for externalization — is available and simpler.</w:t>
      </w:r>
    </w:p>
    <w:p w14:paraId="6253D233" w14:textId="77777777" w:rsidR="00733A77" w:rsidRPr="00EF5F99" w:rsidRDefault="00000000">
      <w:pPr>
        <w:spacing w:before="120" w:after="120"/>
        <w:jc w:val="both"/>
      </w:pPr>
      <w:r w:rsidRPr="00EF5F99">
        <w:t>Absence of material complexity in the archaeological record is consistent with at least three distinct explanations: structural pressure was absent (small population, stable ecology, sufficient Stage 2 transmission capacity); transmission conditions failed before material externalization could stabilize (fragmented populations, demographic collapse); or the material record has not survived (taphonomic loss of non-durable materials). Cognitive limitation is not the most parsimonious of these explanations as a default, because it requires an additional explanatory entity — a deficit not otherwise evidenced — while the structural and taphonomic accounts require only conditions that are independently attested in the record. The more parsimonious inference from absence is structural, not cognitive. Cognitive limitation remains a possible explanation in specific cases, but it should not be the starting assumption.</w:t>
      </w:r>
    </w:p>
    <w:p w14:paraId="44B3E4B0" w14:textId="77777777" w:rsidR="00733A77" w:rsidRPr="00EF5F99" w:rsidRDefault="00000000">
      <w:pPr>
        <w:spacing w:before="120" w:after="120"/>
        <w:jc w:val="both"/>
      </w:pPr>
      <w:r w:rsidRPr="00EF5F99">
        <w:t xml:space="preserve">The Neanderthal case is the most consequential instance of this problem. DSSM analysis of </w:t>
      </w:r>
      <w:proofErr w:type="spellStart"/>
      <w:r w:rsidRPr="00EF5F99">
        <w:t>Bruniquel</w:t>
      </w:r>
      <w:proofErr w:type="spellEnd"/>
      <w:r w:rsidRPr="00EF5F99">
        <w:t xml:space="preserve"> Cave — structures built 176,000 years ago by Neanderthals 336 meters into a cave in complete darkness — produces an FCP score of 8/12, consistent with Stage 3-adjacent cognitive capacity in a population conventionally positioned well below the behavioral modernity threshold (Vondoom, 2026d; Jaubert et al., 2016). The DSSM's explanation for Neanderthal extinction is not cognitive deficit but transmission failure under conditions of demographic fragmentation: individual symbolic acts that could not outlive their individual carriers because the social infrastructure for intergenerational transmission was insufficient at the population scale (Vondoom, 2026b; </w:t>
      </w:r>
      <w:proofErr w:type="spellStart"/>
      <w:r w:rsidRPr="00EF5F99">
        <w:t>Prüfer</w:t>
      </w:r>
      <w:proofErr w:type="spellEnd"/>
      <w:r w:rsidRPr="00EF5F99">
        <w:t xml:space="preserve"> et al., 2014; Green et al., 2010). Whether this explanation is correct is a separate question. The point is that it is available, and that the behavioral evidence from </w:t>
      </w:r>
      <w:proofErr w:type="spellStart"/>
      <w:r w:rsidRPr="00EF5F99">
        <w:t>Bruniquel</w:t>
      </w:r>
      <w:proofErr w:type="spellEnd"/>
      <w:r w:rsidRPr="00EF5F99">
        <w:t xml:space="preserve"> is more consistent with it than with a simple cognitive limitation account.</w:t>
      </w:r>
    </w:p>
    <w:p w14:paraId="44591EEF" w14:textId="77777777" w:rsidR="00733A77" w:rsidRPr="00EF5F99" w:rsidRDefault="00000000">
      <w:pPr>
        <w:spacing w:before="120" w:after="120"/>
        <w:jc w:val="both"/>
      </w:pPr>
      <w:r w:rsidRPr="00EF5F99">
        <w:t>The DSSM's Field Companion Protocol (FCP) addresses this directly by scoring material evidence and symbolic interpretation separately, with min(</w:t>
      </w:r>
      <w:proofErr w:type="gramStart"/>
      <w:r w:rsidRPr="00EF5F99">
        <w:t>E,S</w:t>
      </w:r>
      <w:proofErr w:type="gramEnd"/>
      <w:r w:rsidRPr="00EF5F99">
        <w:t>) as the composite. A low FCP score indicates thin material evidence, not demonstrated cognitive limitation. The Behavioral Companion Protocol (BCP), introduced in the companion paper Arrows and Ancestors (Vondoom, 2026c), extends this logic to living populations: it scores behavioral evidence of symbolic system operation without requiring material externalization as the evidence base. The Sentinelese BCP score of 9/12 derived from the 158-year contact record is not a claim about the full richness of their internal symbolic system. It is a conservative estimate of the minimum system complexity required to produce the observed behavioral patterns. The actual system may be considerably richer. It is simply inaccessible.</w:t>
      </w:r>
    </w:p>
    <w:p w14:paraId="3B28ECB8" w14:textId="77777777" w:rsidR="00EF5F99" w:rsidRDefault="00EF5F99">
      <w:pPr>
        <w:pStyle w:val="Heading1"/>
        <w:rPr>
          <w:color w:val="auto"/>
        </w:rPr>
      </w:pPr>
    </w:p>
    <w:p w14:paraId="37C281A9" w14:textId="77777777" w:rsidR="00EF5F99" w:rsidRDefault="00EF5F99">
      <w:pPr>
        <w:pStyle w:val="Heading1"/>
        <w:rPr>
          <w:color w:val="auto"/>
        </w:rPr>
      </w:pPr>
    </w:p>
    <w:p w14:paraId="3F045A98" w14:textId="77777777" w:rsidR="00EF5F99" w:rsidRDefault="00EF5F99">
      <w:pPr>
        <w:pStyle w:val="Heading1"/>
        <w:rPr>
          <w:color w:val="auto"/>
        </w:rPr>
      </w:pPr>
    </w:p>
    <w:p w14:paraId="2A049F5A" w14:textId="3BF4F268" w:rsidR="00733A77" w:rsidRPr="00EF5F99" w:rsidRDefault="00000000">
      <w:pPr>
        <w:pStyle w:val="Heading1"/>
        <w:rPr>
          <w:color w:val="auto"/>
        </w:rPr>
      </w:pPr>
      <w:r w:rsidRPr="00EF5F99">
        <w:rPr>
          <w:color w:val="auto"/>
        </w:rPr>
        <w:t>8. Conclusion</w:t>
      </w:r>
    </w:p>
    <w:p w14:paraId="0E620216" w14:textId="77777777" w:rsidR="00733A77" w:rsidRPr="00EF5F99" w:rsidRDefault="00000000">
      <w:pPr>
        <w:spacing w:before="120" w:after="120"/>
        <w:jc w:val="both"/>
      </w:pPr>
      <w:r w:rsidRPr="00EF5F99">
        <w:t>The sudden genius hypothesis, in its various forms, implies that cognitive modernity should be associated with material complexity given sufficient time and conditions. The Sentinelese present a case that sits uneasily within this framework: a genetically inferred cognitively modern population with a behavioral record inconsistent with significant cognitive limitation, which has produced no observable material symbolic externalization across a documented occupation spanning tens of thousands of years.</w:t>
      </w:r>
    </w:p>
    <w:p w14:paraId="60F6B6EB" w14:textId="77777777" w:rsidR="00733A77" w:rsidRPr="00EF5F99" w:rsidRDefault="00000000">
      <w:pPr>
        <w:spacing w:before="120" w:after="120"/>
        <w:jc w:val="both"/>
      </w:pPr>
      <w:r w:rsidRPr="00EF5F99">
        <w:t>This paper has not argued that the sudden genius hypothesis is false. The hypothesis is not directly testable against the Sentinelese because their internal cognitive architecture is not accessible to study. What has been argued is that the behavioral evidence is inconsistent with cognitive limitation as the primary explanation for non-externalization; that the available alternative explanations within the sudden genius framework — population size, time, resource constraints, prior degradation — are either incomplete or self-defeating; and that the DSSM's structural account — symbolic sufficiency under sub-threshold demographic conditions — is more parsimonious given the evidence.</w:t>
      </w:r>
    </w:p>
    <w:p w14:paraId="73D446A9" w14:textId="77777777" w:rsidR="00733A77" w:rsidRPr="00EF5F99" w:rsidRDefault="00000000">
      <w:pPr>
        <w:spacing w:before="120" w:after="120"/>
        <w:jc w:val="both"/>
      </w:pPr>
      <w:r w:rsidRPr="00EF5F99">
        <w:t>The Vedda comparison provides partial support for the DSSM's transmission-integrity account. Contact between a Stage 2 population and a Stage 3+ system did not release latent cognitive potential; it eroded the conditions under which Stage 2 could sustain itself. This outcome is more consistent with the structural prediction than with the release-of-potential version of the sudden genius account, though the comparison has significant limitations as a controlled test.</w:t>
      </w:r>
    </w:p>
    <w:p w14:paraId="31A7B3D0" w14:textId="77777777" w:rsidR="00733A77" w:rsidRPr="00EF5F99" w:rsidRDefault="00000000">
      <w:pPr>
        <w:spacing w:before="120" w:after="120"/>
        <w:jc w:val="both"/>
      </w:pPr>
      <w:r w:rsidRPr="00EF5F99">
        <w:t>The methodological implication for cognitive archaeology is that material absence should not be read as a cognitive signal by default. The more parsimonious default is structural: absence of material externalization most likely indicates the absence of the demographic and social pressure that drives externalization, not the absence of the cognitive capacity that would enable it. Cognitive limitation remains a possible explanation in specific cases. It should not be the starting assumption.</w:t>
      </w:r>
    </w:p>
    <w:p w14:paraId="09A9F421" w14:textId="77777777" w:rsidR="00733A77" w:rsidRPr="00EF5F99" w:rsidRDefault="00000000">
      <w:pPr>
        <w:spacing w:before="120" w:after="120"/>
        <w:jc w:val="both"/>
      </w:pPr>
      <w:r w:rsidRPr="00EF5F99">
        <w:t>The Sentinelese have maintained a functioning symbolic system for longer than most civilizations have existed, in a small population on a small island, without producing any material that outside observers can study. The most straightforward reading of this is not that they lack the capacity to produce more. It is that they have not needed to.</w:t>
      </w:r>
    </w:p>
    <w:p w14:paraId="580746FE" w14:textId="77777777" w:rsidR="00733A77" w:rsidRPr="00EF5F99" w:rsidRDefault="00000000">
      <w:pPr>
        <w:pStyle w:val="Heading1"/>
        <w:rPr>
          <w:color w:val="auto"/>
        </w:rPr>
      </w:pPr>
      <w:r w:rsidRPr="00EF5F99">
        <w:rPr>
          <w:color w:val="auto"/>
        </w:rPr>
        <w:t>SDG Alignment Statement</w:t>
      </w:r>
    </w:p>
    <w:p w14:paraId="2A3B502C" w14:textId="77777777" w:rsidR="00733A77" w:rsidRPr="00EF5F99" w:rsidRDefault="00000000">
      <w:pPr>
        <w:spacing w:before="80" w:after="80"/>
        <w:jc w:val="both"/>
      </w:pPr>
      <w:r w:rsidRPr="00EF5F99">
        <w:rPr>
          <w:b/>
          <w:bCs/>
        </w:rPr>
        <w:t xml:space="preserve">SDG 4 (Quality Education): </w:t>
      </w:r>
      <w:r w:rsidRPr="00EF5F99">
        <w:t>Contributes evidence-based analysis challenging deficit framings of pre-literate and non-externalizing populations in cognitive archaeology and human evolution scholarship.</w:t>
      </w:r>
    </w:p>
    <w:p w14:paraId="407F6FEA" w14:textId="77777777" w:rsidR="00733A77" w:rsidRPr="00EF5F99" w:rsidRDefault="00000000">
      <w:pPr>
        <w:spacing w:before="80" w:after="80"/>
        <w:jc w:val="both"/>
      </w:pPr>
      <w:r w:rsidRPr="00EF5F99">
        <w:rPr>
          <w:b/>
          <w:bCs/>
        </w:rPr>
        <w:lastRenderedPageBreak/>
        <w:t xml:space="preserve">SDG 10 (Reduced Inequalities): </w:t>
      </w:r>
      <w:r w:rsidRPr="00EF5F99">
        <w:t>Challenges the implicit hierarchy embedded in treating material absence as cognitive absence, proposing structural sufficiency as an alternative and more equitable interpretive framework.</w:t>
      </w:r>
    </w:p>
    <w:p w14:paraId="73F54C3B" w14:textId="77777777" w:rsidR="00733A77" w:rsidRPr="00EF5F99" w:rsidRDefault="00000000">
      <w:pPr>
        <w:spacing w:before="80" w:after="80"/>
        <w:jc w:val="both"/>
      </w:pPr>
      <w:r w:rsidRPr="00EF5F99">
        <w:rPr>
          <w:b/>
          <w:bCs/>
        </w:rPr>
        <w:t xml:space="preserve">SDG 16 (Peace, Justice and Strong Institutions): </w:t>
      </w:r>
      <w:r w:rsidRPr="00EF5F99">
        <w:t>Supports the structural case for non-contact protection of isolated populations by demonstrating that non-externalization is consistent with full cognitive modernity and functional symbolic sufficiency.</w:t>
      </w:r>
    </w:p>
    <w:p w14:paraId="247A66AD" w14:textId="77777777" w:rsidR="00733A77" w:rsidRPr="00EF5F99" w:rsidRDefault="00000000">
      <w:pPr>
        <w:spacing w:before="80" w:after="80"/>
        <w:jc w:val="both"/>
      </w:pPr>
      <w:r w:rsidRPr="00EF5F99">
        <w:rPr>
          <w:b/>
          <w:bCs/>
        </w:rPr>
        <w:t xml:space="preserve">SDG 17 (Partnerships for the Goals): </w:t>
      </w:r>
      <w:r w:rsidRPr="00EF5F99">
        <w:t>Contributes methodological tools (FCP, BCP) for interdisciplinary engagement between cognitive archaeology, evolutionary anthropology, and indigenous rights scholarship.</w:t>
      </w:r>
    </w:p>
    <w:p w14:paraId="06C1BC44" w14:textId="77777777" w:rsidR="00733A77" w:rsidRPr="00EF5F99" w:rsidRDefault="00000000">
      <w:pPr>
        <w:pStyle w:val="Heading1"/>
        <w:rPr>
          <w:color w:val="auto"/>
        </w:rPr>
      </w:pPr>
      <w:r w:rsidRPr="00EF5F99">
        <w:rPr>
          <w:color w:val="auto"/>
        </w:rPr>
        <w:t>AI Collaboration Disclosure</w:t>
      </w:r>
    </w:p>
    <w:p w14:paraId="51601FC5" w14:textId="77777777" w:rsidR="00733A77" w:rsidRPr="00EF5F99" w:rsidRDefault="00000000">
      <w:pPr>
        <w:spacing w:before="120" w:after="120"/>
        <w:jc w:val="both"/>
      </w:pPr>
      <w:r w:rsidRPr="00EF5F99">
        <w:t>This paper was developed with editorial and structural support from Claude Sonnet (Anthropic). The theoretical framework, arguments, and conclusions are solely those of the author. AI assistance is disclosed in accordance with the author's standard publication practice.</w:t>
      </w:r>
    </w:p>
    <w:p w14:paraId="6FAFA2B4" w14:textId="77777777" w:rsidR="00733A77" w:rsidRPr="00EF5F99" w:rsidRDefault="00000000">
      <w:pPr>
        <w:pStyle w:val="Heading1"/>
        <w:rPr>
          <w:color w:val="auto"/>
        </w:rPr>
      </w:pPr>
      <w:r w:rsidRPr="00EF5F99">
        <w:rPr>
          <w:color w:val="auto"/>
        </w:rPr>
        <w:t>References</w:t>
      </w:r>
    </w:p>
    <w:p w14:paraId="4001C0F0" w14:textId="77777777" w:rsidR="00733A77" w:rsidRPr="00EF5F99" w:rsidRDefault="00000000">
      <w:pPr>
        <w:spacing w:before="80" w:after="80"/>
        <w:ind w:left="720" w:hanging="720"/>
      </w:pPr>
      <w:r w:rsidRPr="00EF5F99">
        <w:rPr>
          <w:sz w:val="20"/>
          <w:szCs w:val="20"/>
        </w:rPr>
        <w:t>Bowler, J. M., Johnston, H., Olley, J. M., Prescott, J. R., Roberts, R. G., Shawcross, W., &amp; Spooner, N. A. (2003). New ages for human occupation and climatic change at Lake Mungo, Australia. Nature, 421(6925), 837–840. https://doi.org/10.1038/nature01383</w:t>
      </w:r>
    </w:p>
    <w:p w14:paraId="1E538018" w14:textId="77777777" w:rsidR="00733A77" w:rsidRPr="00EF5F99" w:rsidRDefault="00000000">
      <w:pPr>
        <w:spacing w:before="80" w:after="80"/>
        <w:ind w:left="720" w:hanging="720"/>
      </w:pPr>
      <w:r w:rsidRPr="00EF5F99">
        <w:rPr>
          <w:sz w:val="20"/>
          <w:szCs w:val="20"/>
        </w:rPr>
        <w:t>Deraniyagala, S. U. (1992). The Prehistory of Sri Lanka: An Ecological Perspective. Department of Archaeological Survey, Ministry of Cultural Affairs, Colombo.</w:t>
      </w:r>
    </w:p>
    <w:p w14:paraId="0465E872" w14:textId="77777777" w:rsidR="00733A77" w:rsidRPr="00EF5F99" w:rsidRDefault="00000000">
      <w:pPr>
        <w:spacing w:before="80" w:after="80"/>
        <w:ind w:left="720" w:hanging="720"/>
      </w:pPr>
      <w:r w:rsidRPr="00EF5F99">
        <w:rPr>
          <w:sz w:val="20"/>
          <w:szCs w:val="20"/>
        </w:rPr>
        <w:t>Donald, M. (1991). Origins of the Modern Mind: Three Stages in the Evolution of Culture and Cognition. Harvard University Press.</w:t>
      </w:r>
    </w:p>
    <w:p w14:paraId="54931B14" w14:textId="77777777" w:rsidR="00733A77" w:rsidRPr="00EF5F99" w:rsidRDefault="00000000">
      <w:pPr>
        <w:spacing w:before="80" w:after="80"/>
        <w:ind w:left="720" w:hanging="720"/>
      </w:pPr>
      <w:r w:rsidRPr="00EF5F99">
        <w:rPr>
          <w:sz w:val="20"/>
          <w:szCs w:val="20"/>
        </w:rPr>
        <w:t xml:space="preserve">Endicott, P., Gilbert, M. T. P., Stringer, C., </w:t>
      </w:r>
      <w:proofErr w:type="spellStart"/>
      <w:r w:rsidRPr="00EF5F99">
        <w:rPr>
          <w:sz w:val="20"/>
          <w:szCs w:val="20"/>
        </w:rPr>
        <w:t>Lalueza</w:t>
      </w:r>
      <w:proofErr w:type="spellEnd"/>
      <w:r w:rsidRPr="00EF5F99">
        <w:rPr>
          <w:sz w:val="20"/>
          <w:szCs w:val="20"/>
        </w:rPr>
        <w:t>-Fox, C., Willerslev, E., Hansen, A. J., &amp; Cooper, A. (2003). The genetic origins of the Andaman Islanders. American Journal of Human Genetics, 72(1), 178–184. https://doi.org/10.1086/345487</w:t>
      </w:r>
    </w:p>
    <w:p w14:paraId="2A82BAEA" w14:textId="77777777" w:rsidR="00733A77" w:rsidRPr="00EF5F99" w:rsidRDefault="00000000">
      <w:pPr>
        <w:spacing w:before="80" w:after="80"/>
        <w:ind w:left="720" w:hanging="720"/>
      </w:pPr>
      <w:r w:rsidRPr="00EF5F99">
        <w:rPr>
          <w:sz w:val="20"/>
          <w:szCs w:val="20"/>
        </w:rPr>
        <w:t>Evison, M. P. (1998). Review of The Prehistory of the Mind by Steven Mithen. Assemblage, 3. ISSN 1365-3881.</w:t>
      </w:r>
    </w:p>
    <w:p w14:paraId="74496504" w14:textId="77777777" w:rsidR="00733A77" w:rsidRPr="00EF5F99" w:rsidRDefault="00000000">
      <w:pPr>
        <w:spacing w:before="80" w:after="80"/>
        <w:ind w:left="720" w:hanging="720"/>
      </w:pPr>
      <w:r w:rsidRPr="00EF5F99">
        <w:rPr>
          <w:sz w:val="20"/>
          <w:szCs w:val="20"/>
        </w:rPr>
        <w:t xml:space="preserve">Green, R. E., Krause, J., Briggs, A. W., Maricic, T., Stenzel, U., Kircher, M., … </w:t>
      </w:r>
      <w:proofErr w:type="spellStart"/>
      <w:r w:rsidRPr="00EF5F99">
        <w:rPr>
          <w:sz w:val="20"/>
          <w:szCs w:val="20"/>
        </w:rPr>
        <w:t>Pääbo</w:t>
      </w:r>
      <w:proofErr w:type="spellEnd"/>
      <w:r w:rsidRPr="00EF5F99">
        <w:rPr>
          <w:sz w:val="20"/>
          <w:szCs w:val="20"/>
        </w:rPr>
        <w:t>, S. (2010). A draft sequence of the Neandertal genome. Science, 328(5979), 710–722. https://doi.org/10.1126/science.1188021</w:t>
      </w:r>
    </w:p>
    <w:p w14:paraId="3EB54BA1" w14:textId="77777777" w:rsidR="00733A77" w:rsidRPr="00EF5F99" w:rsidRDefault="00000000">
      <w:pPr>
        <w:spacing w:before="80" w:after="80"/>
        <w:ind w:left="720" w:hanging="720"/>
      </w:pPr>
      <w:r w:rsidRPr="00EF5F99">
        <w:rPr>
          <w:sz w:val="20"/>
          <w:szCs w:val="20"/>
        </w:rPr>
        <w:t>Henrich, J. (2004). Demography and cultural evolution: How adaptive cultural processes can produce maladaptive losses — the Tasmanian case. American Antiquity, 69(2), 197–214. https://doi.org/10.2307/4128416</w:t>
      </w:r>
    </w:p>
    <w:p w14:paraId="4C233F05" w14:textId="77777777" w:rsidR="00733A77" w:rsidRPr="00EF5F99" w:rsidRDefault="00000000">
      <w:pPr>
        <w:spacing w:before="80" w:after="80"/>
        <w:ind w:left="720" w:hanging="720"/>
      </w:pPr>
      <w:r w:rsidRPr="00EF5F99">
        <w:rPr>
          <w:sz w:val="20"/>
          <w:szCs w:val="20"/>
        </w:rPr>
        <w:t xml:space="preserve">Jaubert, J., Verheyden, S., Genty, D., Soulier, M., Cheng, H., </w:t>
      </w:r>
      <w:proofErr w:type="spellStart"/>
      <w:r w:rsidRPr="00EF5F99">
        <w:rPr>
          <w:sz w:val="20"/>
          <w:szCs w:val="20"/>
        </w:rPr>
        <w:t>Blamart</w:t>
      </w:r>
      <w:proofErr w:type="spellEnd"/>
      <w:r w:rsidRPr="00EF5F99">
        <w:rPr>
          <w:sz w:val="20"/>
          <w:szCs w:val="20"/>
        </w:rPr>
        <w:t xml:space="preserve">, D., … Santos, F. (2016). Early Neanderthal constructions deep in </w:t>
      </w:r>
      <w:proofErr w:type="spellStart"/>
      <w:r w:rsidRPr="00EF5F99">
        <w:rPr>
          <w:sz w:val="20"/>
          <w:szCs w:val="20"/>
        </w:rPr>
        <w:t>Bruniquel</w:t>
      </w:r>
      <w:proofErr w:type="spellEnd"/>
      <w:r w:rsidRPr="00EF5F99">
        <w:rPr>
          <w:sz w:val="20"/>
          <w:szCs w:val="20"/>
        </w:rPr>
        <w:t xml:space="preserve"> Cave in southwestern France. Nature, 534(7605), 111–114. https://doi.org/10.1038/nature18291</w:t>
      </w:r>
    </w:p>
    <w:p w14:paraId="7F35935B" w14:textId="77777777" w:rsidR="00733A77" w:rsidRPr="00EF5F99" w:rsidRDefault="00000000">
      <w:pPr>
        <w:spacing w:before="80" w:after="80"/>
        <w:ind w:left="720" w:hanging="720"/>
      </w:pPr>
      <w:r w:rsidRPr="00EF5F99">
        <w:rPr>
          <w:sz w:val="20"/>
          <w:szCs w:val="20"/>
        </w:rPr>
        <w:t>Kennedy, K. A. R. (2000). God-Apes and Fossil Men: Paleoanthropology of South Asia. University of Michigan Press.</w:t>
      </w:r>
    </w:p>
    <w:p w14:paraId="45630384" w14:textId="77777777" w:rsidR="00733A77" w:rsidRPr="00EF5F99" w:rsidRDefault="00000000">
      <w:pPr>
        <w:spacing w:before="80" w:after="80"/>
        <w:ind w:left="720" w:hanging="720"/>
      </w:pPr>
      <w:r w:rsidRPr="00EF5F99">
        <w:rPr>
          <w:sz w:val="20"/>
          <w:szCs w:val="20"/>
        </w:rPr>
        <w:t>Klein, R. G. (1995). Anatomy, behavior, and modern human origins. Journal of World Prehistory, 9(2), 167–198. https://doi.org/10.1007/BF02221838</w:t>
      </w:r>
    </w:p>
    <w:p w14:paraId="028AC9BB" w14:textId="77777777" w:rsidR="00733A77" w:rsidRPr="00EF5F99" w:rsidRDefault="00000000">
      <w:pPr>
        <w:spacing w:before="80" w:after="80"/>
        <w:ind w:left="720" w:hanging="720"/>
      </w:pPr>
      <w:r w:rsidRPr="00EF5F99">
        <w:rPr>
          <w:sz w:val="20"/>
          <w:szCs w:val="20"/>
        </w:rPr>
        <w:t>Klein, R. G. (2000). The Human Career: Human Biological and Cultural Origins (2nd ed.). University of Chicago Press.</w:t>
      </w:r>
    </w:p>
    <w:p w14:paraId="2169B831" w14:textId="77777777" w:rsidR="00733A77" w:rsidRPr="00EF5F99" w:rsidRDefault="00000000">
      <w:pPr>
        <w:spacing w:before="80" w:after="80"/>
        <w:ind w:left="720" w:hanging="720"/>
      </w:pPr>
      <w:r w:rsidRPr="00EF5F99">
        <w:rPr>
          <w:sz w:val="20"/>
          <w:szCs w:val="20"/>
        </w:rPr>
        <w:lastRenderedPageBreak/>
        <w:t>McBrearty, S., &amp; Brooks, A. S. (2000). The revolution that wasn't: A new interpretation of the origin of modern human behavior. Journal of Human Evolution, 39(5), 453–563. https://doi.org/10.1006/jhev.2000.0435</w:t>
      </w:r>
    </w:p>
    <w:p w14:paraId="6FCBFE8D" w14:textId="77777777" w:rsidR="00733A77" w:rsidRPr="00EF5F99" w:rsidRDefault="00000000">
      <w:pPr>
        <w:spacing w:before="80" w:after="80"/>
        <w:ind w:left="720" w:hanging="720"/>
      </w:pPr>
      <w:proofErr w:type="spellStart"/>
      <w:r w:rsidRPr="00EF5F99">
        <w:rPr>
          <w:sz w:val="20"/>
          <w:szCs w:val="20"/>
        </w:rPr>
        <w:t>Mithen</w:t>
      </w:r>
      <w:proofErr w:type="spellEnd"/>
      <w:r w:rsidRPr="00EF5F99">
        <w:rPr>
          <w:sz w:val="20"/>
          <w:szCs w:val="20"/>
        </w:rPr>
        <w:t>, S. (1996). The Prehistory of the Mind: The Cognitive Origins of Art, Religion and Science. Thames &amp; Hudson.</w:t>
      </w:r>
    </w:p>
    <w:p w14:paraId="7FF15464" w14:textId="77777777" w:rsidR="00733A77" w:rsidRPr="00EF5F99" w:rsidRDefault="00000000">
      <w:pPr>
        <w:spacing w:before="80" w:after="80"/>
        <w:ind w:left="720" w:hanging="720"/>
      </w:pPr>
      <w:r w:rsidRPr="00EF5F99">
        <w:rPr>
          <w:sz w:val="20"/>
          <w:szCs w:val="20"/>
        </w:rPr>
        <w:t>Nunn, P. D., &amp; Reid, N. J. (2016). Aboriginal memories of inundation of the Australian coast dating from more than 7000 years ago. Australian Geographer, 47(1), 11–47. https://doi.org/10.1080/00049182.2015.1077539</w:t>
      </w:r>
    </w:p>
    <w:p w14:paraId="683F7331" w14:textId="77777777" w:rsidR="00733A77" w:rsidRPr="00EF5F99" w:rsidRDefault="00000000">
      <w:pPr>
        <w:spacing w:before="80" w:after="80"/>
        <w:ind w:left="720" w:hanging="720"/>
      </w:pPr>
      <w:r w:rsidRPr="00EF5F99">
        <w:rPr>
          <w:sz w:val="20"/>
          <w:szCs w:val="20"/>
        </w:rPr>
        <w:t>Pandit, T. N. (1990). The Sentinelese. Seagull Books.</w:t>
      </w:r>
    </w:p>
    <w:p w14:paraId="65330A2C" w14:textId="77777777" w:rsidR="00733A77" w:rsidRPr="00EF5F99" w:rsidRDefault="00000000">
      <w:pPr>
        <w:spacing w:before="80" w:after="80"/>
        <w:ind w:left="720" w:hanging="720"/>
      </w:pPr>
      <w:r w:rsidRPr="00EF5F99">
        <w:rPr>
          <w:sz w:val="20"/>
          <w:szCs w:val="20"/>
        </w:rPr>
        <w:t>Pandit, T. N., &amp; Chattopadhyay, M. (1989). Meeting the Sentinel Islanders: The least known of the Andaman hunter-gatherers. Journal of the Indian Anthropological Society, 24, 169–178.</w:t>
      </w:r>
    </w:p>
    <w:p w14:paraId="721A1EFC" w14:textId="77777777" w:rsidR="00733A77" w:rsidRPr="00EF5F99" w:rsidRDefault="00000000">
      <w:pPr>
        <w:spacing w:before="80" w:after="80"/>
        <w:ind w:left="720" w:hanging="720"/>
      </w:pPr>
      <w:r w:rsidRPr="00EF5F99">
        <w:rPr>
          <w:sz w:val="20"/>
          <w:szCs w:val="20"/>
        </w:rPr>
        <w:t>Paul, S., Justin, A., &amp; Chatterjee, S. (2024). Sentinelese contacts: Anthropologically revisiting the most reclusive masters of the terra incognita North Sentinel Island. Humanities and Social Sciences Communications, 11, Article 1512. https://doi.org/10.1057/s41599-024-03994-3</w:t>
      </w:r>
    </w:p>
    <w:p w14:paraId="6F23A40D" w14:textId="77777777" w:rsidR="00733A77" w:rsidRPr="00EF5F99" w:rsidRDefault="00000000">
      <w:pPr>
        <w:spacing w:before="80" w:after="80"/>
        <w:ind w:left="720" w:hanging="720"/>
      </w:pPr>
      <w:r w:rsidRPr="00EF5F99">
        <w:rPr>
          <w:sz w:val="20"/>
          <w:szCs w:val="20"/>
          <w:lang w:val="it-IT"/>
        </w:rPr>
        <w:t xml:space="preserve">Perera, N., </w:t>
      </w:r>
      <w:proofErr w:type="spellStart"/>
      <w:r w:rsidRPr="00EF5F99">
        <w:rPr>
          <w:sz w:val="20"/>
          <w:szCs w:val="20"/>
          <w:lang w:val="it-IT"/>
        </w:rPr>
        <w:t>Kourampas</w:t>
      </w:r>
      <w:proofErr w:type="spellEnd"/>
      <w:r w:rsidRPr="00EF5F99">
        <w:rPr>
          <w:sz w:val="20"/>
          <w:szCs w:val="20"/>
          <w:lang w:val="it-IT"/>
        </w:rPr>
        <w:t xml:space="preserve">, N., Simpson, I. A., Deraniyagala, S. U., Bulbeck, D., Kamminga, J., … </w:t>
      </w:r>
      <w:r w:rsidRPr="00EF5F99">
        <w:rPr>
          <w:sz w:val="20"/>
          <w:szCs w:val="20"/>
        </w:rPr>
        <w:t xml:space="preserve">Oliveira, N. V. (2011). People of the ancient rainforest: Late Pleistocene foragers at the </w:t>
      </w:r>
      <w:proofErr w:type="spellStart"/>
      <w:r w:rsidRPr="00EF5F99">
        <w:rPr>
          <w:sz w:val="20"/>
          <w:szCs w:val="20"/>
        </w:rPr>
        <w:t>Batadomba-lena</w:t>
      </w:r>
      <w:proofErr w:type="spellEnd"/>
      <w:r w:rsidRPr="00EF5F99">
        <w:rPr>
          <w:sz w:val="20"/>
          <w:szCs w:val="20"/>
        </w:rPr>
        <w:t xml:space="preserve"> </w:t>
      </w:r>
      <w:proofErr w:type="spellStart"/>
      <w:r w:rsidRPr="00EF5F99">
        <w:rPr>
          <w:sz w:val="20"/>
          <w:szCs w:val="20"/>
        </w:rPr>
        <w:t>rockshelter</w:t>
      </w:r>
      <w:proofErr w:type="spellEnd"/>
      <w:r w:rsidRPr="00EF5F99">
        <w:rPr>
          <w:sz w:val="20"/>
          <w:szCs w:val="20"/>
        </w:rPr>
        <w:t>, Sri Lanka. Journal of Human Evolution, 61(3), 254–269. https://doi.org/10.1016/j.jhevol.2011.04.001</w:t>
      </w:r>
    </w:p>
    <w:p w14:paraId="45598653" w14:textId="77777777" w:rsidR="00733A77" w:rsidRPr="00EF5F99" w:rsidRDefault="00000000">
      <w:pPr>
        <w:spacing w:before="80" w:after="80"/>
        <w:ind w:left="720" w:hanging="720"/>
      </w:pPr>
      <w:r w:rsidRPr="00EF5F99">
        <w:rPr>
          <w:sz w:val="20"/>
          <w:szCs w:val="20"/>
        </w:rPr>
        <w:t>Powell, A., Shennan, S., &amp; Thomas, M. G. (2009). Late Pleistocene demography and the appearance of modern human behavior. Science, 324(5932), 1298–1301. https://doi.org/10.1126/science.1170165</w:t>
      </w:r>
    </w:p>
    <w:p w14:paraId="168304E2" w14:textId="77777777" w:rsidR="00733A77" w:rsidRPr="00EF5F99" w:rsidRDefault="00000000">
      <w:pPr>
        <w:spacing w:before="80" w:after="80"/>
        <w:ind w:left="720" w:hanging="720"/>
      </w:pPr>
      <w:r w:rsidRPr="00EF5F99">
        <w:rPr>
          <w:sz w:val="20"/>
          <w:szCs w:val="20"/>
        </w:rPr>
        <w:t xml:space="preserve">Prüfer, K., </w:t>
      </w:r>
      <w:proofErr w:type="spellStart"/>
      <w:r w:rsidRPr="00EF5F99">
        <w:rPr>
          <w:sz w:val="20"/>
          <w:szCs w:val="20"/>
        </w:rPr>
        <w:t>Racimo</w:t>
      </w:r>
      <w:proofErr w:type="spellEnd"/>
      <w:r w:rsidRPr="00EF5F99">
        <w:rPr>
          <w:sz w:val="20"/>
          <w:szCs w:val="20"/>
        </w:rPr>
        <w:t xml:space="preserve">, F., Patterson, N., Jay, F., Sankararaman, S., Sawyer, S., … </w:t>
      </w:r>
      <w:proofErr w:type="spellStart"/>
      <w:r w:rsidRPr="00EF5F99">
        <w:rPr>
          <w:sz w:val="20"/>
          <w:szCs w:val="20"/>
        </w:rPr>
        <w:t>Pääbo</w:t>
      </w:r>
      <w:proofErr w:type="spellEnd"/>
      <w:r w:rsidRPr="00EF5F99">
        <w:rPr>
          <w:sz w:val="20"/>
          <w:szCs w:val="20"/>
        </w:rPr>
        <w:t>, S. (2014). The complete genome sequence of a Neanderthal from the Altai Mountains. Nature, 505, 43–49. https://doi.org/10.1038/nature12886</w:t>
      </w:r>
    </w:p>
    <w:p w14:paraId="3B5F06B4" w14:textId="77777777" w:rsidR="00733A77" w:rsidRPr="00EF5F99" w:rsidRDefault="00000000">
      <w:pPr>
        <w:spacing w:before="80" w:after="80"/>
        <w:ind w:left="720" w:hanging="720"/>
      </w:pPr>
      <w:proofErr w:type="spellStart"/>
      <w:r w:rsidRPr="00EF5F99">
        <w:rPr>
          <w:sz w:val="20"/>
          <w:szCs w:val="20"/>
        </w:rPr>
        <w:t>Roebroeks</w:t>
      </w:r>
      <w:proofErr w:type="spellEnd"/>
      <w:r w:rsidRPr="00EF5F99">
        <w:rPr>
          <w:sz w:val="20"/>
          <w:szCs w:val="20"/>
        </w:rPr>
        <w:t xml:space="preserve">, W., Sier, M. J., Nielsen, T. K., De Loecker, D., </w:t>
      </w:r>
      <w:proofErr w:type="spellStart"/>
      <w:r w:rsidRPr="00EF5F99">
        <w:rPr>
          <w:sz w:val="20"/>
          <w:szCs w:val="20"/>
        </w:rPr>
        <w:t>Parés</w:t>
      </w:r>
      <w:proofErr w:type="spellEnd"/>
      <w:r w:rsidRPr="00EF5F99">
        <w:rPr>
          <w:sz w:val="20"/>
          <w:szCs w:val="20"/>
        </w:rPr>
        <w:t xml:space="preserve">, J. M., Arps, C. E. S., &amp; </w:t>
      </w:r>
      <w:proofErr w:type="spellStart"/>
      <w:r w:rsidRPr="00EF5F99">
        <w:rPr>
          <w:sz w:val="20"/>
          <w:szCs w:val="20"/>
        </w:rPr>
        <w:t>Mücher</w:t>
      </w:r>
      <w:proofErr w:type="spellEnd"/>
      <w:r w:rsidRPr="00EF5F99">
        <w:rPr>
          <w:sz w:val="20"/>
          <w:szCs w:val="20"/>
        </w:rPr>
        <w:t>, H. J. (2012). Use of red ochre by early Neandertals. Proceedings of the National Academy of Sciences, 109(6), 1889–1894. https://doi.org/10.1073/pnas.1112261109</w:t>
      </w:r>
    </w:p>
    <w:p w14:paraId="4790EE7F" w14:textId="77777777" w:rsidR="00733A77" w:rsidRPr="00EF5F99" w:rsidRDefault="00000000">
      <w:pPr>
        <w:spacing w:before="80" w:after="80"/>
        <w:ind w:left="720" w:hanging="720"/>
      </w:pPr>
      <w:r w:rsidRPr="00EF5F99">
        <w:rPr>
          <w:sz w:val="20"/>
          <w:szCs w:val="20"/>
        </w:rPr>
        <w:t>Seligmann, C. G., &amp; Seligmann, B. Z. (1911). The Veddas. Cambridge University Press.</w:t>
      </w:r>
    </w:p>
    <w:p w14:paraId="1E1A6670" w14:textId="77777777" w:rsidR="00733A77" w:rsidRPr="00EF5F99" w:rsidRDefault="00000000">
      <w:pPr>
        <w:spacing w:before="80" w:after="80"/>
        <w:ind w:left="720" w:hanging="720"/>
      </w:pPr>
      <w:proofErr w:type="spellStart"/>
      <w:r w:rsidRPr="00EF5F99">
        <w:rPr>
          <w:sz w:val="20"/>
          <w:szCs w:val="20"/>
        </w:rPr>
        <w:t>Stegeborn</w:t>
      </w:r>
      <w:proofErr w:type="spellEnd"/>
      <w:r w:rsidRPr="00EF5F99">
        <w:rPr>
          <w:sz w:val="20"/>
          <w:szCs w:val="20"/>
        </w:rPr>
        <w:t xml:space="preserve">, W. (2004). The disappearing </w:t>
      </w:r>
      <w:proofErr w:type="spellStart"/>
      <w:r w:rsidRPr="00EF5F99">
        <w:rPr>
          <w:sz w:val="20"/>
          <w:szCs w:val="20"/>
        </w:rPr>
        <w:t>Wanniyala-Aetto</w:t>
      </w:r>
      <w:proofErr w:type="spellEnd"/>
      <w:r w:rsidRPr="00EF5F99">
        <w:rPr>
          <w:sz w:val="20"/>
          <w:szCs w:val="20"/>
        </w:rPr>
        <w:t xml:space="preserve"> ('</w:t>
      </w:r>
      <w:proofErr w:type="spellStart"/>
      <w:r w:rsidRPr="00EF5F99">
        <w:rPr>
          <w:sz w:val="20"/>
          <w:szCs w:val="20"/>
        </w:rPr>
        <w:t>Veddahs</w:t>
      </w:r>
      <w:proofErr w:type="spellEnd"/>
      <w:r w:rsidRPr="00EF5F99">
        <w:rPr>
          <w:sz w:val="20"/>
          <w:szCs w:val="20"/>
        </w:rPr>
        <w:t xml:space="preserve">') of Sri Lanka: A case study. [Published in multiple forms; see also </w:t>
      </w:r>
      <w:proofErr w:type="spellStart"/>
      <w:r w:rsidRPr="00EF5F99">
        <w:rPr>
          <w:sz w:val="20"/>
          <w:szCs w:val="20"/>
        </w:rPr>
        <w:t>Stegeborn</w:t>
      </w:r>
      <w:proofErr w:type="spellEnd"/>
      <w:r w:rsidRPr="00EF5F99">
        <w:rPr>
          <w:sz w:val="20"/>
          <w:szCs w:val="20"/>
        </w:rPr>
        <w:t>, W. (2014). Vedda (</w:t>
      </w:r>
      <w:proofErr w:type="spellStart"/>
      <w:r w:rsidRPr="00EF5F99">
        <w:rPr>
          <w:sz w:val="20"/>
          <w:szCs w:val="20"/>
        </w:rPr>
        <w:t>Vanniyaletto</w:t>
      </w:r>
      <w:proofErr w:type="spellEnd"/>
      <w:r w:rsidRPr="00EF5F99">
        <w:rPr>
          <w:sz w:val="20"/>
          <w:szCs w:val="20"/>
        </w:rPr>
        <w:t>) as folk life: Intangible cultural heritage in Sri Lanka. Academia.edu.]</w:t>
      </w:r>
    </w:p>
    <w:p w14:paraId="75D8AA88" w14:textId="77777777" w:rsidR="00733A77" w:rsidRPr="00EF5F99" w:rsidRDefault="00000000">
      <w:pPr>
        <w:spacing w:before="80" w:after="80"/>
        <w:ind w:left="720" w:hanging="720"/>
      </w:pPr>
      <w:proofErr w:type="spellStart"/>
      <w:r w:rsidRPr="00EF5F99">
        <w:rPr>
          <w:sz w:val="20"/>
          <w:szCs w:val="20"/>
        </w:rPr>
        <w:t>Sterelny</w:t>
      </w:r>
      <w:proofErr w:type="spellEnd"/>
      <w:r w:rsidRPr="00EF5F99">
        <w:rPr>
          <w:sz w:val="20"/>
          <w:szCs w:val="20"/>
        </w:rPr>
        <w:t>, K. (2012). The Evolved Apprentice: How Evolution Made Humans Unique. MIT Press.</w:t>
      </w:r>
    </w:p>
    <w:p w14:paraId="14130710" w14:textId="77777777" w:rsidR="00733A77" w:rsidRPr="00EF5F99" w:rsidRDefault="00000000">
      <w:pPr>
        <w:spacing w:before="80" w:after="80"/>
        <w:ind w:left="720" w:hanging="720"/>
      </w:pPr>
      <w:r w:rsidRPr="00EF5F99">
        <w:rPr>
          <w:sz w:val="20"/>
          <w:szCs w:val="20"/>
        </w:rPr>
        <w:t xml:space="preserve">Thangaraj, K., Chaubey, G., Kivisild, T., Reddy, A. G., Singh, V. K., </w:t>
      </w:r>
      <w:proofErr w:type="spellStart"/>
      <w:r w:rsidRPr="00EF5F99">
        <w:rPr>
          <w:sz w:val="20"/>
          <w:szCs w:val="20"/>
        </w:rPr>
        <w:t>Rasalkar</w:t>
      </w:r>
      <w:proofErr w:type="spellEnd"/>
      <w:r w:rsidRPr="00EF5F99">
        <w:rPr>
          <w:sz w:val="20"/>
          <w:szCs w:val="20"/>
        </w:rPr>
        <w:t>, A. A., &amp; Singh, L. (2006). Unique origin of Andaman Islanders: Insight from autosomal loci. Journal of Human Genetics, 51, 800–809. https://doi.org/10.1007/s10038-006-0039-2</w:t>
      </w:r>
    </w:p>
    <w:p w14:paraId="3902BA9E" w14:textId="77777777" w:rsidR="00733A77" w:rsidRPr="00EF5F99" w:rsidRDefault="00000000">
      <w:pPr>
        <w:spacing w:before="80" w:after="80"/>
        <w:ind w:left="720" w:hanging="720"/>
      </w:pPr>
      <w:r w:rsidRPr="00EF5F99">
        <w:rPr>
          <w:sz w:val="20"/>
          <w:szCs w:val="20"/>
        </w:rPr>
        <w:t>Vondoom, A. (2025a). The Deep Symbolic Systems Model (DSSM): A Cognitive-Ritual Framework for Early Monumentality and Cultural Continuity. OSF. https://doi.org/10.17605/OSF.IO/YW5GM</w:t>
      </w:r>
    </w:p>
    <w:p w14:paraId="38BE1604" w14:textId="77777777" w:rsidR="00733A77" w:rsidRPr="00EF5F99" w:rsidRDefault="00000000">
      <w:pPr>
        <w:spacing w:before="80" w:after="80"/>
        <w:ind w:left="720" w:hanging="720"/>
      </w:pPr>
      <w:r w:rsidRPr="00EF5F99">
        <w:rPr>
          <w:sz w:val="20"/>
          <w:szCs w:val="20"/>
        </w:rPr>
        <w:t xml:space="preserve">Vondoom, A. (2026a). The Deep Symbolic Systems Model (DSSM): A Canonical Framework for Early Symbolic Stabilization Across Macro-Regions. </w:t>
      </w:r>
      <w:proofErr w:type="spellStart"/>
      <w:r w:rsidRPr="00EF5F99">
        <w:rPr>
          <w:sz w:val="20"/>
          <w:szCs w:val="20"/>
        </w:rPr>
        <w:t>Figshare</w:t>
      </w:r>
      <w:proofErr w:type="spellEnd"/>
      <w:r w:rsidRPr="00EF5F99">
        <w:rPr>
          <w:sz w:val="20"/>
          <w:szCs w:val="20"/>
        </w:rPr>
        <w:t>. https://doi.org/10.6084/m9.figshare.31061698.v3</w:t>
      </w:r>
    </w:p>
    <w:p w14:paraId="6F5F7064" w14:textId="77777777" w:rsidR="00733A77" w:rsidRPr="00EF5F99" w:rsidRDefault="00000000">
      <w:pPr>
        <w:spacing w:before="80" w:after="80"/>
        <w:ind w:left="720" w:hanging="720"/>
      </w:pPr>
      <w:r w:rsidRPr="00EF5F99">
        <w:rPr>
          <w:sz w:val="20"/>
          <w:szCs w:val="20"/>
        </w:rPr>
        <w:t xml:space="preserve">Vondoom, A. (2026b). Symbolic Depth Without Vessel: Why Cognitive Capacity Repeatedly Failed to Produce Civilization. </w:t>
      </w:r>
      <w:proofErr w:type="spellStart"/>
      <w:r w:rsidRPr="00EF5F99">
        <w:rPr>
          <w:sz w:val="20"/>
          <w:szCs w:val="20"/>
        </w:rPr>
        <w:t>Figshare</w:t>
      </w:r>
      <w:proofErr w:type="spellEnd"/>
      <w:r w:rsidRPr="00EF5F99">
        <w:rPr>
          <w:sz w:val="20"/>
          <w:szCs w:val="20"/>
        </w:rPr>
        <w:t>. https://doi.org/10.6084/m9.figshare.32166894</w:t>
      </w:r>
    </w:p>
    <w:p w14:paraId="3B679D78" w14:textId="77777777" w:rsidR="00733A77" w:rsidRPr="00EF5F99" w:rsidRDefault="00000000">
      <w:pPr>
        <w:spacing w:before="80" w:after="80"/>
        <w:ind w:left="720" w:hanging="720"/>
      </w:pPr>
      <w:r w:rsidRPr="00EF5F99">
        <w:rPr>
          <w:sz w:val="20"/>
          <w:szCs w:val="20"/>
        </w:rPr>
        <w:t xml:space="preserve">Vondoom, A. (2026c). Arrows and Ancestors: Two Hunter-Gatherer Populations, One Structural Variable. </w:t>
      </w:r>
      <w:proofErr w:type="spellStart"/>
      <w:r w:rsidRPr="00EF5F99">
        <w:rPr>
          <w:sz w:val="20"/>
          <w:szCs w:val="20"/>
        </w:rPr>
        <w:t>Figshare</w:t>
      </w:r>
      <w:proofErr w:type="spellEnd"/>
      <w:r w:rsidRPr="00EF5F99">
        <w:rPr>
          <w:sz w:val="20"/>
          <w:szCs w:val="20"/>
        </w:rPr>
        <w:t>. [DOI pending]</w:t>
      </w:r>
    </w:p>
    <w:p w14:paraId="1110E913" w14:textId="77777777" w:rsidR="00733A77" w:rsidRPr="00EF5F99" w:rsidRDefault="00000000">
      <w:pPr>
        <w:spacing w:before="80" w:after="80"/>
        <w:ind w:left="720" w:hanging="720"/>
      </w:pPr>
      <w:r w:rsidRPr="00EF5F99">
        <w:rPr>
          <w:sz w:val="20"/>
          <w:szCs w:val="20"/>
        </w:rPr>
        <w:t xml:space="preserve">Vondoom, A. (2026d). DSSM Analysis Report: </w:t>
      </w:r>
      <w:proofErr w:type="spellStart"/>
      <w:r w:rsidRPr="00EF5F99">
        <w:rPr>
          <w:sz w:val="20"/>
          <w:szCs w:val="20"/>
        </w:rPr>
        <w:t>Bruniquel</w:t>
      </w:r>
      <w:proofErr w:type="spellEnd"/>
      <w:r w:rsidRPr="00EF5F99">
        <w:rPr>
          <w:sz w:val="20"/>
          <w:szCs w:val="20"/>
        </w:rPr>
        <w:t xml:space="preserve"> Cave, France. </w:t>
      </w:r>
      <w:proofErr w:type="spellStart"/>
      <w:r w:rsidRPr="00EF5F99">
        <w:rPr>
          <w:sz w:val="20"/>
          <w:szCs w:val="20"/>
        </w:rPr>
        <w:t>Figshare</w:t>
      </w:r>
      <w:proofErr w:type="spellEnd"/>
      <w:r w:rsidRPr="00EF5F99">
        <w:rPr>
          <w:sz w:val="20"/>
          <w:szCs w:val="20"/>
        </w:rPr>
        <w:t>. https://doi.org/10.6084/m9.figshare.31125046</w:t>
      </w:r>
    </w:p>
    <w:p w14:paraId="50CA47A2" w14:textId="77777777" w:rsidR="00733A77" w:rsidRPr="00EF5F99" w:rsidRDefault="00000000">
      <w:pPr>
        <w:spacing w:before="80" w:after="80"/>
        <w:ind w:left="720" w:hanging="720"/>
      </w:pPr>
      <w:r w:rsidRPr="00EF5F99">
        <w:rPr>
          <w:sz w:val="20"/>
          <w:szCs w:val="20"/>
        </w:rPr>
        <w:t xml:space="preserve">Vondoom, A. (2026e). Deep Symbolic Systems Model (DSSM) Field Companion Operational Field Protocols for Detecting Symbolic Stabilization (Version 1.1). </w:t>
      </w:r>
      <w:proofErr w:type="spellStart"/>
      <w:r w:rsidRPr="00EF5F99">
        <w:rPr>
          <w:sz w:val="20"/>
          <w:szCs w:val="20"/>
        </w:rPr>
        <w:t>Figshare</w:t>
      </w:r>
      <w:proofErr w:type="spellEnd"/>
      <w:r w:rsidRPr="00EF5F99">
        <w:rPr>
          <w:sz w:val="20"/>
          <w:szCs w:val="20"/>
        </w:rPr>
        <w:t>. https://doi.org/10.6084/m9.figshare.32229336</w:t>
      </w:r>
    </w:p>
    <w:p w14:paraId="7B2AE17F" w14:textId="77777777" w:rsidR="00733A77" w:rsidRPr="00EF5F99" w:rsidRDefault="00000000">
      <w:pPr>
        <w:spacing w:before="80" w:after="80"/>
        <w:ind w:left="720" w:hanging="720"/>
        <w:rPr>
          <w:lang w:val="it-IT"/>
        </w:rPr>
      </w:pPr>
      <w:r w:rsidRPr="00EF5F99">
        <w:rPr>
          <w:sz w:val="20"/>
          <w:szCs w:val="20"/>
        </w:rPr>
        <w:lastRenderedPageBreak/>
        <w:t xml:space="preserve">Vondoom, A. (2026f). Civilization Is Rehearsed: The Deep Symbolic Systems Model — Synthesis Paper. </w:t>
      </w:r>
      <w:proofErr w:type="spellStart"/>
      <w:r w:rsidRPr="00EF5F99">
        <w:rPr>
          <w:sz w:val="20"/>
          <w:szCs w:val="20"/>
          <w:lang w:val="it-IT"/>
        </w:rPr>
        <w:t>Zenodo</w:t>
      </w:r>
      <w:proofErr w:type="spellEnd"/>
      <w:r w:rsidRPr="00EF5F99">
        <w:rPr>
          <w:sz w:val="20"/>
          <w:szCs w:val="20"/>
          <w:lang w:val="it-IT"/>
        </w:rPr>
        <w:t>. https://doi.org/10.5281/zenodo.19170162</w:t>
      </w:r>
    </w:p>
    <w:p w14:paraId="3719C890" w14:textId="77777777" w:rsidR="00733A77" w:rsidRPr="00EF5F99" w:rsidRDefault="00000000">
      <w:pPr>
        <w:spacing w:before="80" w:after="80"/>
        <w:ind w:left="720" w:hanging="720"/>
      </w:pPr>
      <w:proofErr w:type="spellStart"/>
      <w:r w:rsidRPr="00EF5F99">
        <w:rPr>
          <w:sz w:val="20"/>
          <w:szCs w:val="20"/>
          <w:lang w:val="it-IT"/>
        </w:rPr>
        <w:t>Zilhão</w:t>
      </w:r>
      <w:proofErr w:type="spellEnd"/>
      <w:r w:rsidRPr="00EF5F99">
        <w:rPr>
          <w:sz w:val="20"/>
          <w:szCs w:val="20"/>
          <w:lang w:val="it-IT"/>
        </w:rPr>
        <w:t xml:space="preserve">, J., Angelucci, D. E., Badal-García, E., d'Errico, F., Daniel, F., </w:t>
      </w:r>
      <w:proofErr w:type="spellStart"/>
      <w:r w:rsidRPr="00EF5F99">
        <w:rPr>
          <w:sz w:val="20"/>
          <w:szCs w:val="20"/>
          <w:lang w:val="it-IT"/>
        </w:rPr>
        <w:t>Dayet</w:t>
      </w:r>
      <w:proofErr w:type="spellEnd"/>
      <w:r w:rsidRPr="00EF5F99">
        <w:rPr>
          <w:sz w:val="20"/>
          <w:szCs w:val="20"/>
          <w:lang w:val="it-IT"/>
        </w:rPr>
        <w:t xml:space="preserve">, L., … </w:t>
      </w:r>
      <w:r w:rsidRPr="00EF5F99">
        <w:rPr>
          <w:sz w:val="20"/>
          <w:szCs w:val="20"/>
        </w:rPr>
        <w:t>Zapata, J. (2010). Symbolic use of marine shells and mineral pigments by Iberian Neandertals. Proceedings of the National Academy of Sciences, 107(3), 1023–1028. https://doi.org/10.1073/pnas.0914088107</w:t>
      </w:r>
    </w:p>
    <w:sectPr w:rsidR="00733A77" w:rsidRPr="00EF5F99" w:rsidSect="00F66498">
      <w:headerReference w:type="even" r:id="rId10"/>
      <w:headerReference w:type="default" r:id="rId11"/>
      <w:footerReference w:type="even" r:id="rId12"/>
      <w:footerReference w:type="default" r:id="rId13"/>
      <w:pgSz w:w="12240" w:h="15840"/>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FEF1" w14:textId="77777777" w:rsidR="004665D6" w:rsidRDefault="004665D6" w:rsidP="00F66498">
      <w:r>
        <w:separator/>
      </w:r>
    </w:p>
  </w:endnote>
  <w:endnote w:type="continuationSeparator" w:id="0">
    <w:p w14:paraId="07A55CAE" w14:textId="77777777" w:rsidR="004665D6" w:rsidRDefault="004665D6" w:rsidP="00F6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6717496"/>
      <w:docPartObj>
        <w:docPartGallery w:val="Page Numbers (Bottom of Page)"/>
        <w:docPartUnique/>
      </w:docPartObj>
    </w:sdtPr>
    <w:sdtContent>
      <w:p w14:paraId="457BA7C3" w14:textId="2AE0FDD9" w:rsidR="00F66498" w:rsidRDefault="00F66498" w:rsidP="00E25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862552433"/>
      <w:docPartObj>
        <w:docPartGallery w:val="Page Numbers (Bottom of Page)"/>
        <w:docPartUnique/>
      </w:docPartObj>
    </w:sdtPr>
    <w:sdtContent>
      <w:p w14:paraId="3A56E7BB" w14:textId="5B6DADE2" w:rsidR="00F66498" w:rsidRDefault="00F66498" w:rsidP="00F66498">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651907258"/>
      <w:docPartObj>
        <w:docPartGallery w:val="Page Numbers (Bottom of Page)"/>
        <w:docPartUnique/>
      </w:docPartObj>
    </w:sdtPr>
    <w:sdtContent>
      <w:p w14:paraId="19C88309" w14:textId="0AFAB380" w:rsidR="00F66498" w:rsidRDefault="00F66498" w:rsidP="00E25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349713" w14:textId="77777777" w:rsidR="00F66498" w:rsidRDefault="00F66498" w:rsidP="00F664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9472530"/>
      <w:docPartObj>
        <w:docPartGallery w:val="Page Numbers (Bottom of Page)"/>
        <w:docPartUnique/>
      </w:docPartObj>
    </w:sdtPr>
    <w:sdtContent>
      <w:p w14:paraId="11F77D83" w14:textId="606E4D96" w:rsidR="00F66498" w:rsidRDefault="00F66498" w:rsidP="00E25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881D0" w14:textId="2E77E395" w:rsidR="00F66498" w:rsidRDefault="00F66498" w:rsidP="00F66498">
    <w:pPr>
      <w:pStyle w:val="Footer"/>
      <w:tabs>
        <w:tab w:val="clear" w:pos="4680"/>
        <w:tab w:val="clear" w:pos="9360"/>
        <w:tab w:val="left" w:pos="3965"/>
      </w:tabs>
      <w:ind w:right="360"/>
    </w:pPr>
    <w:hyperlink r:id="rId1" w:history="1">
      <w:r w:rsidRPr="00E2502D">
        <w:rPr>
          <w:rStyle w:val="Hyperlink"/>
        </w:rPr>
        <w:t>https://doi.org/10.6084/m9.figshare.32362140</w:t>
      </w:r>
    </w:hyperlink>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78BA" w14:textId="77777777" w:rsidR="004665D6" w:rsidRDefault="004665D6" w:rsidP="00F66498">
      <w:r>
        <w:separator/>
      </w:r>
    </w:p>
  </w:footnote>
  <w:footnote w:type="continuationSeparator" w:id="0">
    <w:p w14:paraId="5EC473EC" w14:textId="77777777" w:rsidR="004665D6" w:rsidRDefault="004665D6" w:rsidP="00F6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6147762"/>
      <w:docPartObj>
        <w:docPartGallery w:val="Page Numbers (Top of Page)"/>
        <w:docPartUnique/>
      </w:docPartObj>
    </w:sdtPr>
    <w:sdtContent>
      <w:p w14:paraId="672798DA" w14:textId="613E8A6D" w:rsidR="00F66498" w:rsidRDefault="00F66498" w:rsidP="00E2502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D43B16" w14:textId="77777777" w:rsidR="00F66498" w:rsidRDefault="00F66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3E00" w14:textId="21909EDE" w:rsidR="00F66498" w:rsidRPr="00EF5F99" w:rsidRDefault="00F66498" w:rsidP="00F66498">
    <w:pPr>
      <w:spacing w:before="240" w:after="60"/>
    </w:pPr>
    <w:r w:rsidRPr="00F66498">
      <w:rPr>
        <w:sz w:val="20"/>
        <w:szCs w:val="20"/>
      </w:rPr>
      <w:t xml:space="preserve">The Unrealized </w:t>
    </w:r>
    <w:proofErr w:type="gramStart"/>
    <w:r w:rsidRPr="00F66498">
      <w:rPr>
        <w:sz w:val="20"/>
        <w:szCs w:val="20"/>
      </w:rPr>
      <w:t>Potential</w:t>
    </w:r>
    <w:r>
      <w:rPr>
        <w:sz w:val="20"/>
        <w:szCs w:val="20"/>
      </w:rPr>
      <w:t xml:space="preserve">  </w:t>
    </w:r>
    <w:r>
      <w:rPr>
        <w:sz w:val="20"/>
        <w:szCs w:val="20"/>
      </w:rPr>
      <w:tab/>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t>Vondoom, A © 2026</w:t>
    </w:r>
  </w:p>
  <w:p w14:paraId="27944E3E" w14:textId="2B3552A7" w:rsidR="00F66498" w:rsidRDefault="00F66498" w:rsidP="00F6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3678F"/>
    <w:multiLevelType w:val="hybridMultilevel"/>
    <w:tmpl w:val="6F2EAA80"/>
    <w:lvl w:ilvl="0" w:tplc="8E364D3C">
      <w:start w:val="1"/>
      <w:numFmt w:val="bullet"/>
      <w:lvlText w:val="●"/>
      <w:lvlJc w:val="left"/>
      <w:pPr>
        <w:ind w:left="720" w:hanging="360"/>
      </w:pPr>
    </w:lvl>
    <w:lvl w:ilvl="1" w:tplc="6D48F8E6">
      <w:start w:val="1"/>
      <w:numFmt w:val="bullet"/>
      <w:lvlText w:val="○"/>
      <w:lvlJc w:val="left"/>
      <w:pPr>
        <w:ind w:left="1440" w:hanging="360"/>
      </w:pPr>
    </w:lvl>
    <w:lvl w:ilvl="2" w:tplc="14FA0962">
      <w:start w:val="1"/>
      <w:numFmt w:val="bullet"/>
      <w:lvlText w:val="■"/>
      <w:lvlJc w:val="left"/>
      <w:pPr>
        <w:ind w:left="2160" w:hanging="360"/>
      </w:pPr>
    </w:lvl>
    <w:lvl w:ilvl="3" w:tplc="405EC866">
      <w:start w:val="1"/>
      <w:numFmt w:val="bullet"/>
      <w:lvlText w:val="●"/>
      <w:lvlJc w:val="left"/>
      <w:pPr>
        <w:ind w:left="2880" w:hanging="360"/>
      </w:pPr>
    </w:lvl>
    <w:lvl w:ilvl="4" w:tplc="965E2440">
      <w:start w:val="1"/>
      <w:numFmt w:val="bullet"/>
      <w:lvlText w:val="○"/>
      <w:lvlJc w:val="left"/>
      <w:pPr>
        <w:ind w:left="3600" w:hanging="360"/>
      </w:pPr>
    </w:lvl>
    <w:lvl w:ilvl="5" w:tplc="EE62B05C">
      <w:start w:val="1"/>
      <w:numFmt w:val="bullet"/>
      <w:lvlText w:val="■"/>
      <w:lvlJc w:val="left"/>
      <w:pPr>
        <w:ind w:left="4320" w:hanging="360"/>
      </w:pPr>
    </w:lvl>
    <w:lvl w:ilvl="6" w:tplc="6C0C858C">
      <w:start w:val="1"/>
      <w:numFmt w:val="bullet"/>
      <w:lvlText w:val="●"/>
      <w:lvlJc w:val="left"/>
      <w:pPr>
        <w:ind w:left="5040" w:hanging="360"/>
      </w:pPr>
    </w:lvl>
    <w:lvl w:ilvl="7" w:tplc="C508653A">
      <w:start w:val="1"/>
      <w:numFmt w:val="bullet"/>
      <w:lvlText w:val="●"/>
      <w:lvlJc w:val="left"/>
      <w:pPr>
        <w:ind w:left="5760" w:hanging="360"/>
      </w:pPr>
    </w:lvl>
    <w:lvl w:ilvl="8" w:tplc="D416FF52">
      <w:start w:val="1"/>
      <w:numFmt w:val="bullet"/>
      <w:lvlText w:val="●"/>
      <w:lvlJc w:val="left"/>
      <w:pPr>
        <w:ind w:left="6480" w:hanging="360"/>
      </w:pPr>
    </w:lvl>
  </w:abstractNum>
  <w:num w:numId="1" w16cid:durableId="1646818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77"/>
    <w:rsid w:val="000A0A22"/>
    <w:rsid w:val="004665D6"/>
    <w:rsid w:val="00733A77"/>
    <w:rsid w:val="00EF5F99"/>
    <w:rsid w:val="00F6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289898"/>
  <w15:docId w15:val="{148DC80C-5E36-BC4D-9374-E7576CFF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2"/>
      <w:szCs w:val="32"/>
    </w:rPr>
  </w:style>
  <w:style w:type="paragraph" w:styleId="Heading2">
    <w:name w:val="heading 2"/>
    <w:uiPriority w:val="9"/>
    <w:unhideWhenUsed/>
    <w:qFormat/>
    <w:pPr>
      <w:spacing w:before="240" w:after="120"/>
      <w:outlineLvl w:val="1"/>
    </w:pPr>
    <w:rPr>
      <w:b/>
      <w:bCs/>
      <w:color w:val="2E5594"/>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FollowedHyperlink">
    <w:name w:val="FollowedHyperlink"/>
    <w:basedOn w:val="DefaultParagraphFont"/>
    <w:uiPriority w:val="99"/>
    <w:semiHidden/>
    <w:unhideWhenUsed/>
    <w:rsid w:val="00EF5F99"/>
    <w:rPr>
      <w:color w:val="96607D" w:themeColor="followedHyperlink"/>
      <w:u w:val="single"/>
    </w:rPr>
  </w:style>
  <w:style w:type="character" w:styleId="UnresolvedMention">
    <w:name w:val="Unresolved Mention"/>
    <w:basedOn w:val="DefaultParagraphFont"/>
    <w:uiPriority w:val="99"/>
    <w:semiHidden/>
    <w:unhideWhenUsed/>
    <w:rsid w:val="00F66498"/>
    <w:rPr>
      <w:color w:val="605E5C"/>
      <w:shd w:val="clear" w:color="auto" w:fill="E1DFDD"/>
    </w:rPr>
  </w:style>
  <w:style w:type="paragraph" w:styleId="Header">
    <w:name w:val="header"/>
    <w:basedOn w:val="Normal"/>
    <w:link w:val="HeaderChar"/>
    <w:uiPriority w:val="99"/>
    <w:unhideWhenUsed/>
    <w:rsid w:val="00F66498"/>
    <w:pPr>
      <w:tabs>
        <w:tab w:val="center" w:pos="4680"/>
        <w:tab w:val="right" w:pos="9360"/>
      </w:tabs>
    </w:pPr>
  </w:style>
  <w:style w:type="character" w:customStyle="1" w:styleId="HeaderChar">
    <w:name w:val="Header Char"/>
    <w:basedOn w:val="DefaultParagraphFont"/>
    <w:link w:val="Header"/>
    <w:uiPriority w:val="99"/>
    <w:rsid w:val="00F66498"/>
  </w:style>
  <w:style w:type="paragraph" w:styleId="Footer">
    <w:name w:val="footer"/>
    <w:basedOn w:val="Normal"/>
    <w:link w:val="FooterChar"/>
    <w:uiPriority w:val="99"/>
    <w:unhideWhenUsed/>
    <w:rsid w:val="00F66498"/>
    <w:pPr>
      <w:tabs>
        <w:tab w:val="center" w:pos="4680"/>
        <w:tab w:val="right" w:pos="9360"/>
      </w:tabs>
    </w:pPr>
  </w:style>
  <w:style w:type="character" w:customStyle="1" w:styleId="FooterChar">
    <w:name w:val="Footer Char"/>
    <w:basedOn w:val="DefaultParagraphFont"/>
    <w:link w:val="Footer"/>
    <w:uiPriority w:val="99"/>
    <w:rsid w:val="00F66498"/>
  </w:style>
  <w:style w:type="character" w:styleId="PageNumber">
    <w:name w:val="page number"/>
    <w:basedOn w:val="DefaultParagraphFont"/>
    <w:uiPriority w:val="99"/>
    <w:semiHidden/>
    <w:unhideWhenUsed/>
    <w:rsid w:val="00F6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6084/m9.figshare.3236177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6084/m9.figshare.3236214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6084/m9.figshare.32361774"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oi.org/10.6084/m9.figshare.32362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6531</Words>
  <Characters>41213</Characters>
  <Application>Microsoft Office Word</Application>
  <DocSecurity>0</DocSecurity>
  <Lines>643</Lines>
  <Paragraphs>147</Paragraphs>
  <ScaleCrop>false</ScaleCrop>
  <Company/>
  <LinksUpToDate>false</LinksUpToDate>
  <CharactersWithSpaces>47597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dcterms:created xsi:type="dcterms:W3CDTF">2026-05-22T12:52:00Z</dcterms:created>
  <dcterms:modified xsi:type="dcterms:W3CDTF">2026-05-22T13:01:00Z</dcterms:modified>
</cp:coreProperties>
</file>