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C8E52" w14:textId="77777777" w:rsidR="006633A4" w:rsidRPr="00653F38" w:rsidRDefault="00000000">
      <w:pPr>
        <w:spacing w:after="100"/>
        <w:jc w:val="center"/>
      </w:pPr>
      <w:r w:rsidRPr="00653F38">
        <w:rPr>
          <w:b/>
          <w:bCs/>
          <w:sz w:val="42"/>
          <w:szCs w:val="42"/>
        </w:rPr>
        <w:t>Before the Brick:</w:t>
      </w:r>
    </w:p>
    <w:p w14:paraId="6A5C97D5" w14:textId="77777777" w:rsidR="006633A4" w:rsidRPr="00653F38" w:rsidRDefault="00000000">
      <w:pPr>
        <w:spacing w:after="100"/>
        <w:jc w:val="center"/>
      </w:pPr>
      <w:r w:rsidRPr="00653F38">
        <w:rPr>
          <w:b/>
          <w:bCs/>
          <w:sz w:val="32"/>
          <w:szCs w:val="32"/>
        </w:rPr>
        <w:t>The Gulf of Khambhat Cultural Complex, Post-LGM Coastal Displacement,</w:t>
      </w:r>
    </w:p>
    <w:p w14:paraId="7D39C17C" w14:textId="77777777" w:rsidR="006633A4" w:rsidRPr="00653F38" w:rsidRDefault="00000000">
      <w:pPr>
        <w:spacing w:after="100"/>
        <w:jc w:val="center"/>
      </w:pPr>
      <w:r w:rsidRPr="00653F38">
        <w:rPr>
          <w:b/>
          <w:bCs/>
          <w:sz w:val="32"/>
          <w:szCs w:val="32"/>
        </w:rPr>
        <w:t>and the Origins of Indus Valley Civilization Complexity</w:t>
      </w:r>
    </w:p>
    <w:p w14:paraId="2BC09C99" w14:textId="77777777" w:rsidR="006633A4" w:rsidRPr="00653F38" w:rsidRDefault="006633A4">
      <w:pPr>
        <w:spacing w:after="60"/>
      </w:pPr>
    </w:p>
    <w:p w14:paraId="1744584D" w14:textId="77777777" w:rsidR="006633A4" w:rsidRPr="00653F38" w:rsidRDefault="00000000">
      <w:pPr>
        <w:spacing w:after="100"/>
        <w:jc w:val="center"/>
      </w:pPr>
      <w:r w:rsidRPr="00653F38">
        <w:rPr>
          <w:i/>
          <w:iCs/>
        </w:rPr>
        <w:t xml:space="preserve">A Geological, </w:t>
      </w:r>
      <w:proofErr w:type="spellStart"/>
      <w:r w:rsidRPr="00653F38">
        <w:rPr>
          <w:i/>
          <w:iCs/>
        </w:rPr>
        <w:t>Behavioural</w:t>
      </w:r>
      <w:proofErr w:type="spellEnd"/>
      <w:r w:rsidRPr="00653F38">
        <w:rPr>
          <w:i/>
          <w:iCs/>
        </w:rPr>
        <w:t>, and Symbolic Systems Analysis</w:t>
      </w:r>
    </w:p>
    <w:p w14:paraId="231D1144" w14:textId="77777777" w:rsidR="00653F38" w:rsidRPr="00653F38" w:rsidRDefault="00653F38" w:rsidP="00653F38">
      <w:pPr>
        <w:spacing w:after="100"/>
      </w:pPr>
    </w:p>
    <w:p w14:paraId="7AB861D8" w14:textId="77777777" w:rsidR="00653F38" w:rsidRPr="00653F38" w:rsidRDefault="00653F38" w:rsidP="00653F38">
      <w:pPr>
        <w:spacing w:after="100"/>
      </w:pPr>
    </w:p>
    <w:p w14:paraId="11473807" w14:textId="77777777" w:rsidR="00653F38" w:rsidRDefault="00653F38" w:rsidP="00653F38">
      <w:pPr>
        <w:spacing w:after="100"/>
      </w:pPr>
    </w:p>
    <w:p w14:paraId="638F94E1" w14:textId="77777777" w:rsidR="00653F38" w:rsidRDefault="00653F38" w:rsidP="00653F38">
      <w:pPr>
        <w:spacing w:after="100"/>
      </w:pPr>
    </w:p>
    <w:p w14:paraId="7CFA5BC7" w14:textId="77777777" w:rsidR="00653F38" w:rsidRDefault="00653F38" w:rsidP="00653F38">
      <w:pPr>
        <w:spacing w:after="100"/>
      </w:pPr>
    </w:p>
    <w:p w14:paraId="304CCEDE" w14:textId="77777777" w:rsidR="00653F38" w:rsidRDefault="00653F38" w:rsidP="00653F38">
      <w:pPr>
        <w:spacing w:after="100"/>
      </w:pPr>
    </w:p>
    <w:p w14:paraId="22E6B18B" w14:textId="77777777" w:rsidR="00653F38" w:rsidRDefault="00653F38" w:rsidP="00653F38">
      <w:pPr>
        <w:spacing w:after="100"/>
      </w:pPr>
    </w:p>
    <w:p w14:paraId="3CB00726" w14:textId="77777777" w:rsidR="00653F38" w:rsidRDefault="00653F38" w:rsidP="00653F38">
      <w:pPr>
        <w:spacing w:after="100"/>
      </w:pPr>
    </w:p>
    <w:p w14:paraId="04047F37" w14:textId="77777777" w:rsidR="00653F38" w:rsidRDefault="00653F38" w:rsidP="00653F38">
      <w:pPr>
        <w:spacing w:after="100"/>
      </w:pPr>
    </w:p>
    <w:p w14:paraId="476042F6" w14:textId="77777777" w:rsidR="00653F38" w:rsidRDefault="00653F38" w:rsidP="00653F38">
      <w:pPr>
        <w:spacing w:after="100"/>
      </w:pPr>
    </w:p>
    <w:p w14:paraId="36657262" w14:textId="77777777" w:rsidR="00653F38" w:rsidRDefault="00653F38" w:rsidP="00653F38">
      <w:pPr>
        <w:spacing w:after="100"/>
      </w:pPr>
    </w:p>
    <w:p w14:paraId="337025C9" w14:textId="77777777" w:rsidR="00653F38" w:rsidRDefault="00653F38" w:rsidP="00653F38">
      <w:pPr>
        <w:spacing w:after="100"/>
      </w:pPr>
    </w:p>
    <w:p w14:paraId="2065D7B9" w14:textId="77777777" w:rsidR="00653F38" w:rsidRDefault="00653F38" w:rsidP="00653F38">
      <w:pPr>
        <w:spacing w:after="100"/>
      </w:pPr>
    </w:p>
    <w:p w14:paraId="02698C6C" w14:textId="77777777" w:rsidR="00653F38" w:rsidRDefault="00653F38" w:rsidP="00653F38">
      <w:pPr>
        <w:spacing w:after="100"/>
      </w:pPr>
    </w:p>
    <w:p w14:paraId="026A696F" w14:textId="77777777" w:rsidR="00653F38" w:rsidRDefault="00653F38" w:rsidP="00653F38">
      <w:pPr>
        <w:spacing w:after="100"/>
      </w:pPr>
    </w:p>
    <w:p w14:paraId="1CFB6B35" w14:textId="77777777" w:rsidR="00653F38" w:rsidRDefault="00653F38" w:rsidP="00653F38">
      <w:pPr>
        <w:spacing w:after="100"/>
      </w:pPr>
    </w:p>
    <w:p w14:paraId="395D4C77" w14:textId="77777777" w:rsidR="00653F38" w:rsidRDefault="00653F38" w:rsidP="00653F38">
      <w:pPr>
        <w:spacing w:after="100"/>
      </w:pPr>
    </w:p>
    <w:p w14:paraId="20699BC9" w14:textId="77777777" w:rsidR="00653F38" w:rsidRDefault="00653F38" w:rsidP="00653F38">
      <w:pPr>
        <w:spacing w:after="100"/>
      </w:pPr>
    </w:p>
    <w:p w14:paraId="667E3C6D" w14:textId="77777777" w:rsidR="00653F38" w:rsidRDefault="00653F38" w:rsidP="00653F38">
      <w:pPr>
        <w:spacing w:after="100"/>
      </w:pPr>
    </w:p>
    <w:p w14:paraId="39880472" w14:textId="77777777" w:rsidR="00653F38" w:rsidRPr="00653F38" w:rsidRDefault="00653F38" w:rsidP="00653F38">
      <w:pPr>
        <w:spacing w:after="100"/>
      </w:pPr>
    </w:p>
    <w:p w14:paraId="69394DAE" w14:textId="77777777" w:rsidR="00653F38" w:rsidRPr="00653F38" w:rsidRDefault="00653F38" w:rsidP="00653F38">
      <w:pPr>
        <w:spacing w:after="100"/>
      </w:pPr>
    </w:p>
    <w:p w14:paraId="235BD72A" w14:textId="77777777" w:rsidR="00653F38" w:rsidRPr="00653F38" w:rsidRDefault="00653F38" w:rsidP="00653F38">
      <w:pPr>
        <w:spacing w:after="100"/>
        <w:rPr>
          <w:b/>
          <w:bCs/>
          <w:sz w:val="26"/>
          <w:szCs w:val="26"/>
        </w:rPr>
      </w:pPr>
    </w:p>
    <w:p w14:paraId="13926A39" w14:textId="77777777" w:rsidR="00653F38" w:rsidRPr="00653F38" w:rsidRDefault="00653F38">
      <w:pPr>
        <w:spacing w:after="100"/>
        <w:jc w:val="center"/>
        <w:rPr>
          <w:b/>
          <w:bCs/>
          <w:sz w:val="26"/>
          <w:szCs w:val="26"/>
        </w:rPr>
      </w:pPr>
    </w:p>
    <w:p w14:paraId="2821FB20" w14:textId="77777777" w:rsidR="00653F38" w:rsidRPr="00653F38" w:rsidRDefault="00653F38">
      <w:pPr>
        <w:spacing w:after="100"/>
        <w:jc w:val="center"/>
        <w:rPr>
          <w:b/>
          <w:bCs/>
          <w:sz w:val="26"/>
          <w:szCs w:val="26"/>
        </w:rPr>
      </w:pPr>
    </w:p>
    <w:p w14:paraId="6DCC2C40" w14:textId="7301D3A9" w:rsidR="006633A4" w:rsidRPr="00653F38" w:rsidRDefault="00000000">
      <w:pPr>
        <w:spacing w:after="100"/>
        <w:jc w:val="center"/>
      </w:pPr>
      <w:r w:rsidRPr="00653F38">
        <w:rPr>
          <w:b/>
          <w:bCs/>
          <w:sz w:val="26"/>
          <w:szCs w:val="26"/>
        </w:rPr>
        <w:t>Anthony Vondoom</w:t>
      </w:r>
    </w:p>
    <w:p w14:paraId="4CCA734F" w14:textId="0DFBD177" w:rsidR="00653F38" w:rsidRPr="00653F38" w:rsidRDefault="00653F38" w:rsidP="00653F38">
      <w:pPr>
        <w:spacing w:after="100"/>
        <w:jc w:val="center"/>
        <w:rPr>
          <w:sz w:val="22"/>
          <w:szCs w:val="22"/>
        </w:rPr>
      </w:pPr>
      <w:proofErr w:type="spellStart"/>
      <w:r>
        <w:rPr>
          <w:sz w:val="22"/>
          <w:szCs w:val="22"/>
        </w:rPr>
        <w:t>Figshare</w:t>
      </w:r>
      <w:proofErr w:type="spellEnd"/>
      <w:r>
        <w:rPr>
          <w:sz w:val="22"/>
          <w:szCs w:val="22"/>
        </w:rPr>
        <w:t xml:space="preserve"> </w:t>
      </w:r>
    </w:p>
    <w:p w14:paraId="2B4B83DC" w14:textId="10FE9D0F" w:rsidR="006633A4" w:rsidRPr="00653F38" w:rsidRDefault="00653F38">
      <w:pPr>
        <w:spacing w:after="100"/>
        <w:jc w:val="center"/>
      </w:pPr>
      <w:proofErr w:type="gramStart"/>
      <w:r>
        <w:rPr>
          <w:sz w:val="22"/>
          <w:szCs w:val="22"/>
        </w:rPr>
        <w:t>21.05.2</w:t>
      </w:r>
      <w:r w:rsidR="00000000" w:rsidRPr="00653F38">
        <w:rPr>
          <w:sz w:val="22"/>
          <w:szCs w:val="22"/>
        </w:rPr>
        <w:t>026  |</w:t>
      </w:r>
      <w:proofErr w:type="gramEnd"/>
      <w:r w:rsidR="00000000" w:rsidRPr="00653F38">
        <w:rPr>
          <w:sz w:val="22"/>
          <w:szCs w:val="22"/>
        </w:rPr>
        <w:t xml:space="preserve">  CC BY 4.0</w:t>
      </w:r>
    </w:p>
    <w:p w14:paraId="0B0E55E2" w14:textId="77777777" w:rsidR="006633A4" w:rsidRDefault="006633A4">
      <w:pPr>
        <w:spacing w:after="60"/>
      </w:pPr>
    </w:p>
    <w:p w14:paraId="33122010" w14:textId="77777777" w:rsidR="00E67B6D" w:rsidRDefault="00E67B6D">
      <w:pPr>
        <w:pStyle w:val="Heading1"/>
        <w:rPr>
          <w:color w:val="auto"/>
        </w:rPr>
      </w:pPr>
    </w:p>
    <w:p w14:paraId="4001731A" w14:textId="74747750" w:rsidR="006633A4" w:rsidRPr="00653F38" w:rsidRDefault="00000000">
      <w:pPr>
        <w:pStyle w:val="Heading1"/>
        <w:rPr>
          <w:color w:val="auto"/>
        </w:rPr>
      </w:pPr>
      <w:r w:rsidRPr="00653F38">
        <w:rPr>
          <w:color w:val="auto"/>
        </w:rPr>
        <w:lastRenderedPageBreak/>
        <w:t>Abstract</w:t>
      </w:r>
    </w:p>
    <w:p w14:paraId="12A98889" w14:textId="77777777" w:rsidR="006633A4" w:rsidRPr="00653F38" w:rsidRDefault="00000000">
      <w:pPr>
        <w:spacing w:after="180" w:line="284" w:lineRule="auto"/>
        <w:jc w:val="both"/>
      </w:pPr>
      <w:r w:rsidRPr="00653F38">
        <w:t xml:space="preserve">The Indus Valley Civilization (IVC) presents one of the most consequential unresolved problems in prehistoric archaeology: a Bronze Age polity covering an area larger than contemporary Egypt and Mesopotamia combined (Kenoyer, 2006; Possehl, 2002), exhibiting </w:t>
      </w:r>
      <w:proofErr w:type="spellStart"/>
      <w:r w:rsidRPr="00653F38">
        <w:t>standardised</w:t>
      </w:r>
      <w:proofErr w:type="spellEnd"/>
      <w:r w:rsidRPr="00653F38">
        <w:t xml:space="preserve"> weights and measures, sophisticated hydraulic infrastructure, and a conspicuous absence of palaces, royal tombs, and monumental ego-architecture — appearing in the archaeological record already at high symbolic complexity, without a fully traceable trajectory of accumulation. This paper argues that the Gulf of Khambhat Cultural Complex (GKCC), identified by sonar surveys conducted by India's National Institute of Ocean Technology (NIOT) between 2000 and 2004 at depths of 30–40 </w:t>
      </w:r>
      <w:proofErr w:type="spellStart"/>
      <w:r w:rsidRPr="00653F38">
        <w:t>metres</w:t>
      </w:r>
      <w:proofErr w:type="spellEnd"/>
      <w:r w:rsidRPr="00653F38">
        <w:t xml:space="preserve"> off the Gujarat coast, constitutes a geologically defensible antecedent to IVC complexity — not as a confirmed archaeological site, but as a structurally defensible hypothesis given the independent geological record.</w:t>
      </w:r>
    </w:p>
    <w:p w14:paraId="0CE7AC51" w14:textId="77777777" w:rsidR="006633A4" w:rsidRPr="00653F38" w:rsidRDefault="00000000">
      <w:pPr>
        <w:spacing w:after="180" w:line="284" w:lineRule="auto"/>
        <w:jc w:val="both"/>
      </w:pPr>
      <w:r w:rsidRPr="00653F38">
        <w:t xml:space="preserve">The argument proceeds in four stages. First, published Holocene sea-level data independently confirm that the Gujarat coastal lowlands were fertile, river-drained habitable terrain prior to post-Last Glacial Maximum (post-LGM) inundation, with documented rise rates exceeding two </w:t>
      </w:r>
      <w:proofErr w:type="spellStart"/>
      <w:r w:rsidRPr="00653F38">
        <w:t>metres</w:t>
      </w:r>
      <w:proofErr w:type="spellEnd"/>
      <w:r w:rsidRPr="00653F38">
        <w:t xml:space="preserve"> per century between 10,800 and 9,200 years before present — precisely the window of the GKCC carbon dates. Second, the </w:t>
      </w:r>
      <w:proofErr w:type="spellStart"/>
      <w:r w:rsidRPr="00653F38">
        <w:t>behavioural</w:t>
      </w:r>
      <w:proofErr w:type="spellEnd"/>
      <w:r w:rsidRPr="00653F38">
        <w:t xml:space="preserve"> consequences of catastrophic coastal displacement are established through validated analogs: the Persian Gulf Oasis inundation sequence (Rose, 2010), the Carmel coast Neolithic submergence record (</w:t>
      </w:r>
      <w:proofErr w:type="spellStart"/>
      <w:r w:rsidRPr="00653F38">
        <w:t>Galili</w:t>
      </w:r>
      <w:proofErr w:type="spellEnd"/>
      <w:r w:rsidRPr="00653F38">
        <w:t xml:space="preserve"> et al., 2019), and the Toba </w:t>
      </w:r>
      <w:proofErr w:type="spellStart"/>
      <w:r w:rsidRPr="00653F38">
        <w:t>supervolcano</w:t>
      </w:r>
      <w:proofErr w:type="spellEnd"/>
      <w:r w:rsidRPr="00653F38">
        <w:t xml:space="preserve"> dispersal (Kappelman et al., 2024). Third, the Deep Symbolic Systems Model (DSSM) — applied here as a theoretical projection rather than a scored site assessment, given the absence of controlled excavation data — provides a mechanism by which displaced coastal populations carrying accumulated Stage 2–3 symbolic infrastructure may have contributed to the convergence event that produced IVC's anomalous complexity (Vondoom, 2026b: DOI 10.21608/IWNW.2026.464676.1075). Fourth, DSSM analyses of Mehrgarh (Vondoom, 2026a) and the Taş </w:t>
      </w:r>
      <w:proofErr w:type="spellStart"/>
      <w:r w:rsidRPr="00653F38">
        <w:t>Tepeler</w:t>
      </w:r>
      <w:proofErr w:type="spellEnd"/>
      <w:r w:rsidRPr="00653F38">
        <w:t xml:space="preserve"> landscape (Vondoom, 2026c) independently suggest that symbolic </w:t>
      </w:r>
      <w:proofErr w:type="spellStart"/>
      <w:r w:rsidRPr="00653F38">
        <w:t>stabilisation</w:t>
      </w:r>
      <w:proofErr w:type="spellEnd"/>
      <w:r w:rsidRPr="00653F38">
        <w:t xml:space="preserve"> of the complexity level implied by IVC's emergence both precedes and enables urbanism — not the reverse.</w:t>
      </w:r>
    </w:p>
    <w:p w14:paraId="2ECA49E9" w14:textId="77777777" w:rsidR="006633A4" w:rsidRPr="00653F38" w:rsidRDefault="00000000">
      <w:pPr>
        <w:spacing w:after="180" w:line="284" w:lineRule="auto"/>
        <w:jc w:val="both"/>
      </w:pPr>
      <w:r w:rsidRPr="00653F38">
        <w:t>The GKCC does not need to be confirmed to sustain this argument. The geology is sufficient. The excavation, if conducted, would not discover a hypothesis. It would name a population the geological and symbolic record already implies was there.</w:t>
      </w:r>
    </w:p>
    <w:p w14:paraId="2182491C" w14:textId="77777777" w:rsidR="006633A4" w:rsidRPr="00653F38" w:rsidRDefault="006633A4">
      <w:pPr>
        <w:spacing w:after="60"/>
      </w:pPr>
    </w:p>
    <w:p w14:paraId="1E3B8C5E" w14:textId="77777777" w:rsidR="006633A4" w:rsidRPr="00653F38" w:rsidRDefault="00000000">
      <w:pPr>
        <w:spacing w:after="180" w:line="284" w:lineRule="auto"/>
        <w:jc w:val="both"/>
      </w:pPr>
      <w:r w:rsidRPr="00653F38">
        <w:rPr>
          <w:i/>
          <w:iCs/>
        </w:rPr>
        <w:t>Keywords: Indus Valley Civilization, IVC complexity, Gulf of Khambhat, GKCC, NIOT, post-LGM sea level, Holocene inundation, pre-Harappan, Mehrgarh, Deep Symbolic Systems Model, DSSM, coastal displacement, egalitarian urbanism, symbolic convergence</w:t>
      </w:r>
    </w:p>
    <w:p w14:paraId="6D84B9C7" w14:textId="77777777" w:rsidR="006633A4" w:rsidRPr="00653F38" w:rsidRDefault="006633A4">
      <w:pPr>
        <w:spacing w:after="60"/>
      </w:pPr>
    </w:p>
    <w:p w14:paraId="17D7FA03" w14:textId="77777777" w:rsidR="006633A4" w:rsidRPr="00653F38" w:rsidRDefault="00000000">
      <w:pPr>
        <w:pStyle w:val="Heading1"/>
        <w:rPr>
          <w:color w:val="auto"/>
        </w:rPr>
      </w:pPr>
      <w:r w:rsidRPr="00653F38">
        <w:rPr>
          <w:color w:val="auto"/>
        </w:rPr>
        <w:t>1.  Introduction: The Problem of Arrival</w:t>
      </w:r>
    </w:p>
    <w:p w14:paraId="539EFC29" w14:textId="77777777" w:rsidR="006633A4" w:rsidRPr="00653F38" w:rsidRDefault="00000000">
      <w:pPr>
        <w:spacing w:after="180" w:line="284" w:lineRule="auto"/>
        <w:jc w:val="both"/>
      </w:pPr>
      <w:r w:rsidRPr="00653F38">
        <w:t>When Sir John Marshall supervised the first systematic excavations at Harappa and Mohenjo-daro in the early 1920s, he observed something that a century of subsequent fieldwork has not resolved:</w:t>
      </w:r>
    </w:p>
    <w:p w14:paraId="153C9E25" w14:textId="77777777" w:rsidR="006633A4" w:rsidRPr="00653F38" w:rsidRDefault="00000000">
      <w:pPr>
        <w:pBdr>
          <w:left w:val="single" w:sz="14" w:space="12" w:color="2E5394"/>
        </w:pBdr>
        <w:spacing w:after="160" w:line="270" w:lineRule="auto"/>
        <w:ind w:left="720" w:right="720"/>
        <w:jc w:val="both"/>
      </w:pPr>
      <w:r w:rsidRPr="00653F38">
        <w:rPr>
          <w:i/>
          <w:iCs/>
          <w:sz w:val="22"/>
          <w:szCs w:val="22"/>
        </w:rPr>
        <w:t>In Mesopotamia and Egypt, much money and thought were lavished on the building of magnificent temples for the gods and on palaces and tombs of kings, but the rest of the people seemingly had to content themselves with insignificant dwellings of mud. In the Indus Valley, the picture is reversed and the finest structures were those erected for the convenience of the citizens. (Marshall, 1924, Annual Report of the Archaeological Survey of India)</w:t>
      </w:r>
    </w:p>
    <w:p w14:paraId="518B9E79" w14:textId="77777777" w:rsidR="006633A4" w:rsidRPr="00653F38" w:rsidRDefault="00000000">
      <w:pPr>
        <w:spacing w:after="180" w:line="284" w:lineRule="auto"/>
        <w:jc w:val="both"/>
      </w:pPr>
      <w:r w:rsidRPr="00653F38">
        <w:t xml:space="preserve">The IVC in its Mature Harappan phase (c. 2600–1900 BCE) covered an estimated 1.25 million square </w:t>
      </w:r>
      <w:proofErr w:type="spellStart"/>
      <w:r w:rsidRPr="00653F38">
        <w:t>kilometres</w:t>
      </w:r>
      <w:proofErr w:type="spellEnd"/>
      <w:r w:rsidRPr="00653F38">
        <w:t xml:space="preserve"> — larger than the territories of Egypt and Mesopotamia combined (Kenoyer, 2006; Possehl, 2002). Across this range it produced </w:t>
      </w:r>
      <w:proofErr w:type="spellStart"/>
      <w:r w:rsidRPr="00653F38">
        <w:t>standardised</w:t>
      </w:r>
      <w:proofErr w:type="spellEnd"/>
      <w:r w:rsidRPr="00653F38">
        <w:t xml:space="preserve"> brick ratios consistent across thousands of </w:t>
      </w:r>
      <w:proofErr w:type="spellStart"/>
      <w:r w:rsidRPr="00653F38">
        <w:t>kilometres</w:t>
      </w:r>
      <w:proofErr w:type="spellEnd"/>
      <w:r w:rsidRPr="00653F38">
        <w:t xml:space="preserve">, a writing system that remains undeciphered, drainage infrastructure not again </w:t>
      </w:r>
      <w:proofErr w:type="spellStart"/>
      <w:r w:rsidRPr="00653F38">
        <w:t>equalled</w:t>
      </w:r>
      <w:proofErr w:type="spellEnd"/>
      <w:r w:rsidRPr="00653F38">
        <w:t xml:space="preserve"> in Europe until the Roman period, and </w:t>
      </w:r>
      <w:proofErr w:type="spellStart"/>
      <w:r w:rsidRPr="00653F38">
        <w:t>standardised</w:t>
      </w:r>
      <w:proofErr w:type="spellEnd"/>
      <w:r w:rsidRPr="00653F38">
        <w:t xml:space="preserve"> weights and measures implying cross-regional coordination — alongside no identifiable palaces, no royal tombs, no weapons caches, no iconography of kings or conquest. A 2020 study in the Journal of Archaeological Research concluded that the conspicuous lack of political and economic inequality noted by Mohenjo-daro's initial excavators was, after a century of further investigation, essentially confirmed (Tewari et al., 2020).</w:t>
      </w:r>
    </w:p>
    <w:p w14:paraId="744B6829" w14:textId="77777777" w:rsidR="006633A4" w:rsidRPr="00653F38" w:rsidRDefault="00000000">
      <w:pPr>
        <w:spacing w:after="180" w:line="284" w:lineRule="auto"/>
        <w:jc w:val="both"/>
      </w:pPr>
      <w:r w:rsidRPr="00653F38">
        <w:t>Standard accounts trace IVC origins to pre-Harappan farming communities in Baluchistan from the 7th millennium BCE, with the Mehrgarh sequence providing the most complete precursor record (</w:t>
      </w:r>
      <w:proofErr w:type="spellStart"/>
      <w:r w:rsidRPr="00653F38">
        <w:t>Jarrige</w:t>
      </w:r>
      <w:proofErr w:type="spellEnd"/>
      <w:r w:rsidRPr="00653F38">
        <w:t xml:space="preserve"> &amp; Meadow, 2008; Kenoyer, 2006). DSSM analysis of Mehrgarh (Vondoom, 2026a) documents this inland trajectory at full symbolic saturation: </w:t>
      </w:r>
      <w:proofErr w:type="spellStart"/>
      <w:r w:rsidRPr="00653F38">
        <w:t>standardised</w:t>
      </w:r>
      <w:proofErr w:type="spellEnd"/>
      <w:r w:rsidRPr="00653F38">
        <w:t xml:space="preserve"> bead forms, pottery motifs, and burial practices persisting across centuries, meeting all four DSSM </w:t>
      </w:r>
      <w:proofErr w:type="spellStart"/>
      <w:r w:rsidRPr="00653F38">
        <w:t>stabilisation</w:t>
      </w:r>
      <w:proofErr w:type="spellEnd"/>
      <w:r w:rsidRPr="00653F38">
        <w:t xml:space="preserve"> criteria across 3,500 years of continuous occupation. This trajectory is documented and real. It does not, however, account for the full character of IVC's emergence. The maritime symbolic grammar visible in Gujarat coastal sites — Lothal, </w:t>
      </w:r>
      <w:proofErr w:type="spellStart"/>
      <w:r w:rsidRPr="00653F38">
        <w:t>Dholavira</w:t>
      </w:r>
      <w:proofErr w:type="spellEnd"/>
      <w:r w:rsidRPr="00653F38">
        <w:t xml:space="preserve"> — the hydraulic sophistication at a scale requiring multi-generational transmission, and the distributed, non-hierarchical symbolic authority structure of mature IVC have no complete precursor in the Baluchistan inland sequence alone. The question this paper addresses is whether that precursor is underwater — and whether the geological record, independent of any archaeological confirmation, already answers that question affirmatively.</w:t>
      </w:r>
    </w:p>
    <w:p w14:paraId="1EC968D6" w14:textId="77777777" w:rsidR="00653F38" w:rsidRDefault="00653F38">
      <w:pPr>
        <w:pStyle w:val="Heading1"/>
        <w:rPr>
          <w:color w:val="auto"/>
        </w:rPr>
      </w:pPr>
    </w:p>
    <w:p w14:paraId="0BE7F5CB" w14:textId="12DC0C1D" w:rsidR="006633A4" w:rsidRPr="00653F38" w:rsidRDefault="00000000">
      <w:pPr>
        <w:pStyle w:val="Heading1"/>
        <w:rPr>
          <w:color w:val="auto"/>
        </w:rPr>
      </w:pPr>
      <w:r w:rsidRPr="00653F38">
        <w:rPr>
          <w:color w:val="auto"/>
        </w:rPr>
        <w:lastRenderedPageBreak/>
        <w:t>2.  The GKCC: Survey Record and Methodological Status</w:t>
      </w:r>
    </w:p>
    <w:p w14:paraId="5CCD1AD3" w14:textId="77777777" w:rsidR="006633A4" w:rsidRPr="00653F38" w:rsidRDefault="00000000">
      <w:pPr>
        <w:pStyle w:val="Heading2"/>
        <w:rPr>
          <w:color w:val="auto"/>
        </w:rPr>
      </w:pPr>
      <w:proofErr w:type="gramStart"/>
      <w:r w:rsidRPr="00653F38">
        <w:rPr>
          <w:color w:val="auto"/>
        </w:rPr>
        <w:t>2.1  What</w:t>
      </w:r>
      <w:proofErr w:type="gramEnd"/>
      <w:r w:rsidRPr="00653F38">
        <w:rPr>
          <w:color w:val="auto"/>
        </w:rPr>
        <w:t xml:space="preserve"> the Surveys Found</w:t>
      </w:r>
    </w:p>
    <w:p w14:paraId="438B05B1" w14:textId="77777777" w:rsidR="006633A4" w:rsidRPr="00653F38" w:rsidRDefault="00000000">
      <w:pPr>
        <w:spacing w:after="180" w:line="284" w:lineRule="auto"/>
        <w:jc w:val="both"/>
      </w:pPr>
      <w:r w:rsidRPr="00653F38">
        <w:t xml:space="preserve">In December 2000, scientists aboard an NIOT coastal research vessel conducting routine pollution studies in the Gulf of Khambhat encountered anomalous side-scan sonar returns: square and rectangular features in arranged geometric patterns at depths of 30–40 </w:t>
      </w:r>
      <w:proofErr w:type="spellStart"/>
      <w:r w:rsidRPr="00653F38">
        <w:t>metres</w:t>
      </w:r>
      <w:proofErr w:type="spellEnd"/>
      <w:r w:rsidRPr="00653F38">
        <w:t xml:space="preserve">, approximately 20 </w:t>
      </w:r>
      <w:proofErr w:type="spellStart"/>
      <w:r w:rsidRPr="00653F38">
        <w:t>kilometres</w:t>
      </w:r>
      <w:proofErr w:type="spellEnd"/>
      <w:r w:rsidRPr="00653F38">
        <w:t xml:space="preserve"> from the present Gujarat coastline, assessed by chief scientist Dr. S. Badrinarayan as inconsistent with natural marine geological processes (Badrinarayan, 2006). The site — designated the Gulf of Khambhat Cultural Complex (GKCC) — spans over 9 </w:t>
      </w:r>
      <w:proofErr w:type="spellStart"/>
      <w:r w:rsidRPr="00653F38">
        <w:t>kilometres</w:t>
      </w:r>
      <w:proofErr w:type="spellEnd"/>
      <w:r w:rsidRPr="00653F38">
        <w:t xml:space="preserve"> in extent.</w:t>
      </w:r>
    </w:p>
    <w:p w14:paraId="47662680" w14:textId="77777777" w:rsidR="006633A4" w:rsidRPr="00653F38" w:rsidRDefault="00000000">
      <w:pPr>
        <w:spacing w:after="180" w:line="284" w:lineRule="auto"/>
        <w:jc w:val="both"/>
      </w:pPr>
      <w:r w:rsidRPr="00653F38">
        <w:t xml:space="preserve">Follow-up investigations were conducted in November 2001, October 2002 to January 2003, and October 2003 to January 2004, employing bathymetric, sub-bottom, side-scan, and magnetic survey techniques. Dredging operations recovered a piece of wood; pottery sherds; microliths; wattle and daub construction remains composed of locally available clay, reed, husk, pottery pieces, and freshwater shell with evidence of partial burning; hearth materials; </w:t>
      </w:r>
      <w:proofErr w:type="spellStart"/>
      <w:r w:rsidRPr="00653F38">
        <w:t>fossilised</w:t>
      </w:r>
      <w:proofErr w:type="spellEnd"/>
      <w:r w:rsidRPr="00653F38">
        <w:t xml:space="preserve"> bones; and a human tooth (Kathiroli et al., 2004). The wood was carbon-dated independently by two laboratories — the National Geophysical Research Institute, Hyderabad returned 7190 BCE; the Birbal Sahni Institute of Paleobotany, Lucknow returned 7545–7490 BCE — with additional material sent for dating to Manipur University and Oxford University (Kathiroli et al., 2004). The 2002–2003 surveys additionally identified two paleochannels running through the GKCC zone at depths of 20–40 </w:t>
      </w:r>
      <w:proofErr w:type="spellStart"/>
      <w:r w:rsidRPr="00653F38">
        <w:t>metres</w:t>
      </w:r>
      <w:proofErr w:type="spellEnd"/>
      <w:r w:rsidRPr="00653F38">
        <w:t>, interpreted as submerged extensions of major Gujarat river systems, alongside an anomalous sand ripple set whose orientation appeared to relate to underlying structural features rather than surface hydrodynamics (Badrinarayan, 2006). The most recent academic synthesis of GKCC evidence — a 2025 review covering all NIOT survey data from 2000 to 2024 — confirms the question remains open and unresolved (Ramakrishna Rao, 2025).</w:t>
      </w:r>
    </w:p>
    <w:p w14:paraId="34DFD61E" w14:textId="77777777" w:rsidR="006633A4" w:rsidRPr="00653F38" w:rsidRDefault="00000000">
      <w:pPr>
        <w:pStyle w:val="Heading2"/>
        <w:rPr>
          <w:color w:val="auto"/>
        </w:rPr>
      </w:pPr>
      <w:proofErr w:type="gramStart"/>
      <w:r w:rsidRPr="00653F38">
        <w:rPr>
          <w:color w:val="auto"/>
        </w:rPr>
        <w:t>2.2  The</w:t>
      </w:r>
      <w:proofErr w:type="gramEnd"/>
      <w:r w:rsidRPr="00653F38">
        <w:rPr>
          <w:color w:val="auto"/>
        </w:rPr>
        <w:t xml:space="preserve"> Methodological Position</w:t>
      </w:r>
    </w:p>
    <w:p w14:paraId="0A25F9AB" w14:textId="77777777" w:rsidR="006633A4" w:rsidRPr="00653F38" w:rsidRDefault="00000000">
      <w:pPr>
        <w:spacing w:after="180" w:line="284" w:lineRule="auto"/>
        <w:jc w:val="both"/>
      </w:pPr>
      <w:r w:rsidRPr="00653F38">
        <w:t>The mainstream archaeological objection to interpreting the GKCC as a human settlement is methodologically sound and must be stated plainly. Artifacts recovered by dredging cannot be definitively linked to specific structural contexts. No controlled underwater excavation has been conducted. No marine archaeologist has physically inspected the structures in situ. Without stratigraphic context, carbon dates — however consistent — cannot be used to date the site itself. The critique that ancient wood on a seafloor proves nothing, given the scale of post-LGM forest submergence, is correct as stated (Agrawal, 2002).</w:t>
      </w:r>
    </w:p>
    <w:p w14:paraId="6DE7D482" w14:textId="77777777" w:rsidR="006633A4" w:rsidRPr="00653F38" w:rsidRDefault="00000000">
      <w:pPr>
        <w:spacing w:after="180" w:line="284" w:lineRule="auto"/>
        <w:jc w:val="both"/>
      </w:pPr>
      <w:r w:rsidRPr="00653F38">
        <w:t xml:space="preserve">This paper accepts that objection entirely. The GKCC is an unexcavated anomaly. In 2024, British Museum archaeologist Justin Morris reiterated the need for further investigation before any definitive conclusions could be drawn (Morris, cited in Ramakrishna Rao, 2025) — a position simultaneously cautious and implicitly </w:t>
      </w:r>
      <w:r w:rsidRPr="00653F38">
        <w:lastRenderedPageBreak/>
        <w:t>acknowledging the case is not closed. The argument that follows does not depend on the GKCC being confirmed. It depends on the geological record, which is independent of the GKCC controversy. The GKCC is the location at which the geological prediction would most productively be tested.</w:t>
      </w:r>
    </w:p>
    <w:p w14:paraId="71D072B0" w14:textId="77777777" w:rsidR="006633A4" w:rsidRPr="00653F38" w:rsidRDefault="00000000">
      <w:pPr>
        <w:pStyle w:val="Heading1"/>
        <w:rPr>
          <w:color w:val="auto"/>
        </w:rPr>
      </w:pPr>
      <w:r w:rsidRPr="00653F38">
        <w:rPr>
          <w:color w:val="auto"/>
        </w:rPr>
        <w:t>3.  The Geological Record: Habitable Terrain and Its Submergence</w:t>
      </w:r>
    </w:p>
    <w:p w14:paraId="64CCC6B1" w14:textId="77777777" w:rsidR="006633A4" w:rsidRPr="00653F38" w:rsidRDefault="00000000">
      <w:pPr>
        <w:pStyle w:val="Heading2"/>
        <w:rPr>
          <w:color w:val="auto"/>
        </w:rPr>
      </w:pPr>
      <w:proofErr w:type="gramStart"/>
      <w:r w:rsidRPr="00653F38">
        <w:rPr>
          <w:color w:val="auto"/>
        </w:rPr>
        <w:t>3.1  The</w:t>
      </w:r>
      <w:proofErr w:type="gramEnd"/>
      <w:r w:rsidRPr="00653F38">
        <w:rPr>
          <w:color w:val="auto"/>
        </w:rPr>
        <w:t xml:space="preserve"> Pre-Submergence Landscape</w:t>
      </w:r>
    </w:p>
    <w:p w14:paraId="1EEF5EC7" w14:textId="77777777" w:rsidR="006633A4" w:rsidRPr="00653F38" w:rsidRDefault="00000000">
      <w:pPr>
        <w:spacing w:after="180" w:line="284" w:lineRule="auto"/>
        <w:jc w:val="both"/>
      </w:pPr>
      <w:r w:rsidRPr="00653F38">
        <w:t xml:space="preserve">During the Last Glacial Maximum (LGM, c. 26,500–19,000 BP), global sea levels stood 120–130 </w:t>
      </w:r>
      <w:proofErr w:type="spellStart"/>
      <w:r w:rsidRPr="00653F38">
        <w:t>metres</w:t>
      </w:r>
      <w:proofErr w:type="spellEnd"/>
      <w:r w:rsidRPr="00653F38">
        <w:t xml:space="preserve"> below current levels. The low-lying coastal plains of Gujarat — including the terrain now occupied by the Gulf of Khambhat — were exposed, river-drained lowland. Four major river systems, the Narmada, Tapti, Mahi, and Sabarmati, drained these plains toward an Arabian Sea coastline standing far to the west of its current position. The NIOT surveys independently confirmed paleochannels in the GKCC zone at 20–40 </w:t>
      </w:r>
      <w:proofErr w:type="spellStart"/>
      <w:r w:rsidRPr="00653F38">
        <w:t>metres</w:t>
      </w:r>
      <w:proofErr w:type="spellEnd"/>
      <w:r w:rsidRPr="00653F38">
        <w:t xml:space="preserve"> depth, consistent with this paleogeographic reconstruction (Kathiroli et al., 2004). Landsat TM coastal geomorphic mapping of the Gujarat coast has additionally identified </w:t>
      </w:r>
      <w:proofErr w:type="spellStart"/>
      <w:r w:rsidRPr="00653F38">
        <w:t>paleomeanders</w:t>
      </w:r>
      <w:proofErr w:type="spellEnd"/>
      <w:r w:rsidRPr="00653F38">
        <w:t xml:space="preserve">, oxbow lakes, drowned river valleys, and </w:t>
      </w:r>
      <w:proofErr w:type="spellStart"/>
      <w:r w:rsidRPr="00653F38">
        <w:t>paleomudflats</w:t>
      </w:r>
      <w:proofErr w:type="spellEnd"/>
      <w:r w:rsidRPr="00653F38">
        <w:t xml:space="preserve"> — the surface record of a landscape progressively inundated through the Holocene (Nayak et al., 2004).</w:t>
      </w:r>
    </w:p>
    <w:p w14:paraId="6013B00A" w14:textId="77777777" w:rsidR="006633A4" w:rsidRPr="00653F38" w:rsidRDefault="00000000">
      <w:pPr>
        <w:spacing w:after="180" w:line="284" w:lineRule="auto"/>
        <w:jc w:val="both"/>
      </w:pPr>
      <w:r w:rsidRPr="00653F38">
        <w:t xml:space="preserve">The pre-submergence Gujarat lowlands represented exceptionally </w:t>
      </w:r>
      <w:proofErr w:type="spellStart"/>
      <w:r w:rsidRPr="00653F38">
        <w:t>favourable</w:t>
      </w:r>
      <w:proofErr w:type="spellEnd"/>
      <w:r w:rsidRPr="00653F38">
        <w:t xml:space="preserve"> terrain for human habitation: freshwater from multiple major river systems, coastal protein resources, flat terrain suitable for settled occupation, and a climate moderated by proximity to the Arabian Sea. The African Humid Period (c. 11,000–5,000 BCE) simultaneously expanded monsoon rainfall across South Asia, further enhancing habitability. The Gujarat coast during this period was not a marginal zone.</w:t>
      </w:r>
    </w:p>
    <w:p w14:paraId="6E554EDD" w14:textId="77777777" w:rsidR="006633A4" w:rsidRPr="00653F38" w:rsidRDefault="00000000">
      <w:pPr>
        <w:pStyle w:val="Heading2"/>
        <w:rPr>
          <w:color w:val="auto"/>
        </w:rPr>
      </w:pPr>
      <w:proofErr w:type="gramStart"/>
      <w:r w:rsidRPr="00653F38">
        <w:rPr>
          <w:color w:val="auto"/>
        </w:rPr>
        <w:t>3.2  The</w:t>
      </w:r>
      <w:proofErr w:type="gramEnd"/>
      <w:r w:rsidRPr="00653F38">
        <w:rPr>
          <w:color w:val="auto"/>
        </w:rPr>
        <w:t xml:space="preserve"> Inundation: Published Data</w:t>
      </w:r>
    </w:p>
    <w:p w14:paraId="59BF6F51" w14:textId="77777777" w:rsidR="006633A4" w:rsidRPr="00653F38" w:rsidRDefault="00000000">
      <w:pPr>
        <w:spacing w:after="180" w:line="284" w:lineRule="auto"/>
        <w:jc w:val="both"/>
      </w:pPr>
      <w:r w:rsidRPr="00653F38">
        <w:t xml:space="preserve">The submergence of this terrain is documented in the published geological record with precision sufficient to assess its human consequences. A 2026 synthesis of </w:t>
      </w:r>
      <w:proofErr w:type="spellStart"/>
      <w:r w:rsidRPr="00653F38">
        <w:t>standardised</w:t>
      </w:r>
      <w:proofErr w:type="spellEnd"/>
      <w:r w:rsidRPr="00653F38">
        <w:t xml:space="preserve"> Sea-Level Index Points (SLIPs) from five coastal sites within the Gulf of Khambhat — the most methodologically rigorous compilation currently available — confirms a mid-Holocene relative sea-level high stand of +1.2 </w:t>
      </w:r>
      <w:proofErr w:type="spellStart"/>
      <w:r w:rsidRPr="00653F38">
        <w:t>metres</w:t>
      </w:r>
      <w:proofErr w:type="spellEnd"/>
      <w:r w:rsidRPr="00653F38">
        <w:t xml:space="preserve"> at Lothal and +2.0 </w:t>
      </w:r>
      <w:proofErr w:type="spellStart"/>
      <w:r w:rsidRPr="00653F38">
        <w:t>metres</w:t>
      </w:r>
      <w:proofErr w:type="spellEnd"/>
      <w:r w:rsidRPr="00653F38">
        <w:t xml:space="preserve"> at Diu Island, drawing on a body of regional sea-level research spanning multiple decades (Das et al., 2017, 2022; Sharma et al., 2021; Vedpathak et al., 2024; Menon et al., 2024; </w:t>
      </w:r>
      <w:proofErr w:type="spellStart"/>
      <w:r w:rsidRPr="00653F38">
        <w:t>synthesised</w:t>
      </w:r>
      <w:proofErr w:type="spellEnd"/>
      <w:r w:rsidRPr="00653F38">
        <w:t xml:space="preserve"> in Solanki et al., 2026). The transgressive sequence recorded at the Sabarmati River mouth at </w:t>
      </w:r>
      <w:proofErr w:type="spellStart"/>
      <w:r w:rsidRPr="00653F38">
        <w:t>Vadgam</w:t>
      </w:r>
      <w:proofErr w:type="spellEnd"/>
      <w:r w:rsidRPr="00653F38">
        <w:t xml:space="preserve"> spans 11,300 to 1,300 BP, with the earliest zone </w:t>
      </w:r>
      <w:proofErr w:type="spellStart"/>
      <w:r w:rsidRPr="00653F38">
        <w:t>characterised</w:t>
      </w:r>
      <w:proofErr w:type="spellEnd"/>
      <w:r w:rsidRPr="00653F38">
        <w:t xml:space="preserve"> by a fining-upward sediment sequence documenting post-glacial marine transgression (Das et al., 2022). Independent sea-level data from the eastern Arabian Sea records a steep rise phase at 2.06 </w:t>
      </w:r>
      <w:proofErr w:type="spellStart"/>
      <w:r w:rsidRPr="00653F38">
        <w:t>metres</w:t>
      </w:r>
      <w:proofErr w:type="spellEnd"/>
      <w:r w:rsidRPr="00653F38">
        <w:t xml:space="preserve"> per century between </w:t>
      </w:r>
      <w:r w:rsidRPr="00653F38">
        <w:lastRenderedPageBreak/>
        <w:t>10,800 and 9,200 BP — the precise terminal phase of the Younger Dryas, and the window consistent with the GKCC carbon dates (Hashimi et al., 1995).</w:t>
      </w:r>
    </w:p>
    <w:p w14:paraId="201E5A02" w14:textId="77777777" w:rsidR="006633A4" w:rsidRPr="00653F38" w:rsidRDefault="00000000">
      <w:pPr>
        <w:spacing w:after="180" w:line="284" w:lineRule="auto"/>
        <w:jc w:val="both"/>
      </w:pPr>
      <w:r w:rsidRPr="00653F38">
        <w:t xml:space="preserve">Persian Gulf basin data provides independent regional confirmation. Post-LGM sea-level rise reached maximum rates of approximately 15 </w:t>
      </w:r>
      <w:proofErr w:type="spellStart"/>
      <w:r w:rsidRPr="00653F38">
        <w:t>millimetres</w:t>
      </w:r>
      <w:proofErr w:type="spellEnd"/>
      <w:r w:rsidRPr="00653F38">
        <w:t xml:space="preserve"> per year from 11,500 to 9,000 BP, with successive stages of Gulf flooding </w:t>
      </w:r>
      <w:proofErr w:type="spellStart"/>
      <w:r w:rsidRPr="00653F38">
        <w:t>centred</w:t>
      </w:r>
      <w:proofErr w:type="spellEnd"/>
      <w:r w:rsidRPr="00653F38">
        <w:t xml:space="preserve"> on 10,400 and 9,200 BP (Lambeck, 1996; Al-</w:t>
      </w:r>
      <w:proofErr w:type="spellStart"/>
      <w:r w:rsidRPr="00653F38">
        <w:t>Muqdadi</w:t>
      </w:r>
      <w:proofErr w:type="spellEnd"/>
      <w:r w:rsidRPr="00653F38">
        <w:t xml:space="preserve"> et al., 2025). The structural parallel with the Gujarat situation is geologically exact: fertile coastal lowlands adjacent to major river systems, catastrophic inundation, same millennium. Translated into human terms, a population living at the GKCC depth of 30–40 </w:t>
      </w:r>
      <w:proofErr w:type="spellStart"/>
      <w:r w:rsidRPr="00653F38">
        <w:t>metres</w:t>
      </w:r>
      <w:proofErr w:type="spellEnd"/>
      <w:r w:rsidRPr="00653F38">
        <w:t xml:space="preserve"> would have experienced 1–2 </w:t>
      </w:r>
      <w:proofErr w:type="spellStart"/>
      <w:r w:rsidRPr="00653F38">
        <w:t>metres</w:t>
      </w:r>
      <w:proofErr w:type="spellEnd"/>
      <w:r w:rsidRPr="00653F38">
        <w:t xml:space="preserve"> of sea-level rise per generation — coastlines retreating inland by </w:t>
      </w:r>
      <w:proofErr w:type="spellStart"/>
      <w:r w:rsidRPr="00653F38">
        <w:t>kilometres</w:t>
      </w:r>
      <w:proofErr w:type="spellEnd"/>
      <w:r w:rsidRPr="00653F38">
        <w:t xml:space="preserve"> within living memory, river deltas drowning, freshwater zones turning saline.</w:t>
      </w:r>
    </w:p>
    <w:p w14:paraId="476FC190" w14:textId="77777777" w:rsidR="006633A4" w:rsidRPr="00653F38" w:rsidRDefault="00000000">
      <w:pPr>
        <w:pStyle w:val="Heading2"/>
        <w:rPr>
          <w:color w:val="auto"/>
        </w:rPr>
      </w:pPr>
      <w:proofErr w:type="gramStart"/>
      <w:r w:rsidRPr="00653F38">
        <w:rPr>
          <w:color w:val="auto"/>
        </w:rPr>
        <w:t>3.3  The</w:t>
      </w:r>
      <w:proofErr w:type="gramEnd"/>
      <w:r w:rsidRPr="00653F38">
        <w:rPr>
          <w:color w:val="auto"/>
        </w:rPr>
        <w:t xml:space="preserve"> Carmel Coast: Proof of Concept</w:t>
      </w:r>
    </w:p>
    <w:p w14:paraId="25618C0D" w14:textId="77777777" w:rsidR="006633A4" w:rsidRPr="00653F38" w:rsidRDefault="00000000">
      <w:pPr>
        <w:spacing w:after="180" w:line="284" w:lineRule="auto"/>
        <w:jc w:val="both"/>
      </w:pPr>
      <w:r w:rsidRPr="00653F38">
        <w:t xml:space="preserve">The plausibility of submerged Neolithic settlements in this period is not theoretical. The Carmel coast of northern Israel has produced controlled archaeological confirmation. </w:t>
      </w:r>
      <w:proofErr w:type="spellStart"/>
      <w:proofErr w:type="gramStart"/>
      <w:r w:rsidRPr="00653F38">
        <w:t>Atlit</w:t>
      </w:r>
      <w:proofErr w:type="spellEnd"/>
      <w:r w:rsidRPr="00653F38">
        <w:t>-Yam,</w:t>
      </w:r>
      <w:proofErr w:type="gramEnd"/>
      <w:r w:rsidRPr="00653F38">
        <w:t xml:space="preserve"> located 200–400 </w:t>
      </w:r>
      <w:proofErr w:type="spellStart"/>
      <w:r w:rsidRPr="00653F38">
        <w:t>metres</w:t>
      </w:r>
      <w:proofErr w:type="spellEnd"/>
      <w:r w:rsidRPr="00653F38">
        <w:t xml:space="preserve"> offshore at depths of 8–12 </w:t>
      </w:r>
      <w:proofErr w:type="spellStart"/>
      <w:r w:rsidRPr="00653F38">
        <w:t>metres</w:t>
      </w:r>
      <w:proofErr w:type="spellEnd"/>
      <w:r w:rsidRPr="00653F38">
        <w:t>, represents a permanent Pre-Pottery Neolithic C village dated to 9,120–8,500 BP — directly contemporaneous with the early GKCC carbon dates (</w:t>
      </w:r>
      <w:proofErr w:type="spellStart"/>
      <w:r w:rsidRPr="00653F38">
        <w:t>Galili</w:t>
      </w:r>
      <w:proofErr w:type="spellEnd"/>
      <w:r w:rsidRPr="00653F38">
        <w:t xml:space="preserve"> et al., 2019). Fifteen additional inundated settlements on the same coast date to the following millennium, with archaeological analysis demonstrating a direct correlation between site depth and site age precisely as post-glacial sea-level rise predicts. One Carmel coast site preserves evidence of deliberate seawall construction — the earliest known coastal infrastructure </w:t>
      </w:r>
      <w:proofErr w:type="spellStart"/>
      <w:r w:rsidRPr="00653F38">
        <w:t>defence</w:t>
      </w:r>
      <w:proofErr w:type="spellEnd"/>
      <w:r w:rsidRPr="00653F38">
        <w:t xml:space="preserve"> against sea-level rise (</w:t>
      </w:r>
      <w:proofErr w:type="spellStart"/>
      <w:r w:rsidRPr="00653F38">
        <w:t>Galili</w:t>
      </w:r>
      <w:proofErr w:type="spellEnd"/>
      <w:r w:rsidRPr="00653F38">
        <w:t xml:space="preserve"> et al., 2019). The Gulf of Khambhat, at greater depth and in a geologically more active zone with stronger tidal currents, presents greater methodological challenge. It presents no geological impossibility.</w:t>
      </w:r>
    </w:p>
    <w:p w14:paraId="2A46A74A" w14:textId="77777777" w:rsidR="006633A4" w:rsidRPr="00653F38" w:rsidRDefault="00000000">
      <w:pPr>
        <w:pStyle w:val="Heading2"/>
        <w:rPr>
          <w:color w:val="auto"/>
        </w:rPr>
      </w:pPr>
      <w:proofErr w:type="gramStart"/>
      <w:r w:rsidRPr="00653F38">
        <w:rPr>
          <w:color w:val="auto"/>
        </w:rPr>
        <w:t>3.4  The</w:t>
      </w:r>
      <w:proofErr w:type="gramEnd"/>
      <w:r w:rsidRPr="00653F38">
        <w:rPr>
          <w:color w:val="auto"/>
        </w:rPr>
        <w:t xml:space="preserve"> Persian Gulf Oasis: The Nearest Structural Analog</w:t>
      </w:r>
    </w:p>
    <w:p w14:paraId="738C902E" w14:textId="77777777" w:rsidR="006633A4" w:rsidRPr="00653F38" w:rsidRDefault="00000000">
      <w:pPr>
        <w:spacing w:after="180" w:line="284" w:lineRule="auto"/>
        <w:jc w:val="both"/>
      </w:pPr>
      <w:r w:rsidRPr="00653F38">
        <w:t xml:space="preserve">The closest geographic and structural parallel to the proposed Gujarat situation is the Persian Gulf Oasis sequence. During the LGM, the Gulf basin was exposed terrain fed by the Tigris, Euphrates, Karun, and Wadi Batin rivers. Paleoenvironmental, archaeological, and genetic evidence collectively indicate this zone supported significant human populations through the Late Pleistocene and Early Holocene before progressive inundation forced populations northward into lower Mesopotamia (Rose, 2010). The populations contributing to Sumerian </w:t>
      </w:r>
      <w:proofErr w:type="spellStart"/>
      <w:r w:rsidRPr="00653F38">
        <w:t>civilisation</w:t>
      </w:r>
      <w:proofErr w:type="spellEnd"/>
      <w:r w:rsidRPr="00653F38">
        <w:t xml:space="preserve"> — the </w:t>
      </w:r>
      <w:proofErr w:type="spellStart"/>
      <w:r w:rsidRPr="00653F38">
        <w:t>civilisation</w:t>
      </w:r>
      <w:proofErr w:type="spellEnd"/>
      <w:r w:rsidRPr="00653F38">
        <w:t xml:space="preserve"> that produced the oldest written flood narrative — arrived carrying the symbolic infrastructure of a drowned coastal world. The Gujarat situation is the Arabian Sea version of this sequence. The mechanism is identical.</w:t>
      </w:r>
    </w:p>
    <w:p w14:paraId="1A04FB07" w14:textId="77777777" w:rsidR="00653F38" w:rsidRDefault="00653F38">
      <w:pPr>
        <w:pStyle w:val="Heading1"/>
        <w:rPr>
          <w:color w:val="auto"/>
        </w:rPr>
      </w:pPr>
    </w:p>
    <w:p w14:paraId="72842DCB" w14:textId="2FC7AB57" w:rsidR="006633A4" w:rsidRPr="00653F38" w:rsidRDefault="00000000">
      <w:pPr>
        <w:pStyle w:val="Heading1"/>
        <w:rPr>
          <w:color w:val="auto"/>
        </w:rPr>
      </w:pPr>
      <w:r w:rsidRPr="00653F38">
        <w:rPr>
          <w:color w:val="auto"/>
        </w:rPr>
        <w:lastRenderedPageBreak/>
        <w:t>4.  The DSSM Framework: Theoretical Projection</w:t>
      </w:r>
    </w:p>
    <w:p w14:paraId="53DDB2F7" w14:textId="77777777" w:rsidR="006633A4" w:rsidRPr="00653F38" w:rsidRDefault="00000000">
      <w:pPr>
        <w:pStyle w:val="Heading2"/>
        <w:rPr>
          <w:color w:val="auto"/>
        </w:rPr>
      </w:pPr>
      <w:proofErr w:type="gramStart"/>
      <w:r w:rsidRPr="00653F38">
        <w:rPr>
          <w:color w:val="auto"/>
        </w:rPr>
        <w:t>4.1  Framework</w:t>
      </w:r>
      <w:proofErr w:type="gramEnd"/>
      <w:r w:rsidRPr="00653F38">
        <w:rPr>
          <w:color w:val="auto"/>
        </w:rPr>
        <w:t xml:space="preserve"> and Scope of Application</w:t>
      </w:r>
    </w:p>
    <w:p w14:paraId="7B278F0F" w14:textId="77777777" w:rsidR="006633A4" w:rsidRPr="00653F38" w:rsidRDefault="00000000">
      <w:pPr>
        <w:spacing w:after="180" w:line="284" w:lineRule="auto"/>
        <w:jc w:val="both"/>
      </w:pPr>
      <w:r w:rsidRPr="00653F38">
        <w:t xml:space="preserve">The Deep Symbolic Systems Model provides the theoretical mechanism through which this paper projects the consequences of coastal displacement onto IVC's symbolic character. It is applied here as a theoretical lens, not as a scored site assessment: no excavation data exists for the GKCC, and no FCP scoring of the site is therefore possible or claimed. The framework proposes that </w:t>
      </w:r>
      <w:proofErr w:type="spellStart"/>
      <w:r w:rsidRPr="00653F38">
        <w:t>civilisation</w:t>
      </w:r>
      <w:proofErr w:type="spellEnd"/>
      <w:r w:rsidRPr="00653F38">
        <w:t xml:space="preserve"> advances through four stages — Embodied Symbolic Familiarity (Stage 1), Ritualized Repetition (Stage 2), Material Amplification and </w:t>
      </w:r>
      <w:proofErr w:type="spellStart"/>
      <w:r w:rsidRPr="00653F38">
        <w:t>Externalisation</w:t>
      </w:r>
      <w:proofErr w:type="spellEnd"/>
      <w:r w:rsidRPr="00653F38">
        <w:t xml:space="preserve"> (Stage 3), and Cognitive Offloading and Institutional Emergence (Stage 4) — and that monuments, cities, and writing are Stage 3–4 externalizations, the material output of symbolic systems accumulating since Stage 1 (Vondoom, 2026b: DOI 10.21608/IWNW.2026.464676.1075). The monument is never the origin of symbolic complexity. It is its late-stage compression.</w:t>
      </w:r>
    </w:p>
    <w:p w14:paraId="37A830C7" w14:textId="77777777" w:rsidR="006633A4" w:rsidRPr="00653F38" w:rsidRDefault="00000000">
      <w:pPr>
        <w:spacing w:after="180" w:line="284" w:lineRule="auto"/>
        <w:jc w:val="both"/>
      </w:pPr>
      <w:r w:rsidRPr="00653F38">
        <w:t xml:space="preserve">The Taş </w:t>
      </w:r>
      <w:proofErr w:type="spellStart"/>
      <w:r w:rsidRPr="00653F38">
        <w:t>Tepeler</w:t>
      </w:r>
      <w:proofErr w:type="spellEnd"/>
      <w:r w:rsidRPr="00653F38">
        <w:t xml:space="preserve"> landscape in southeastern Turkey provides an empirical illustration of this causal sequence: twelve Pre-Pottery Neolithic sites active 9,600–8,000 BCE, built and maintained by hunter-gatherer communities, with wheat domestication in the region dating to approximately 8,500–8,000 BCE — a minimum of one thousand years after monumental symbolic construction was already underway (Cauvin, 2000; Vondoom, 2026c [Preprint]). The Mehrgarh sequence documents the same pattern in South Asia: </w:t>
      </w:r>
      <w:proofErr w:type="spellStart"/>
      <w:r w:rsidRPr="00653F38">
        <w:t>standardised</w:t>
      </w:r>
      <w:proofErr w:type="spellEnd"/>
      <w:r w:rsidRPr="00653F38">
        <w:t xml:space="preserve"> bead forms, pottery motifs, and burial practices persisting across centuries in the Baluchistan interior, across 3,500 years of continuous occupation preceding proto-Harappan urban consolidation (Vondoom, 2026a [Preprint]; </w:t>
      </w:r>
      <w:proofErr w:type="spellStart"/>
      <w:r w:rsidRPr="00653F38">
        <w:t>Jarrige</w:t>
      </w:r>
      <w:proofErr w:type="spellEnd"/>
      <w:r w:rsidRPr="00653F38">
        <w:t xml:space="preserve"> &amp; Meadow, 2008; Kenoyer, 2006).</w:t>
      </w:r>
    </w:p>
    <w:p w14:paraId="4A642593" w14:textId="77777777" w:rsidR="006633A4" w:rsidRPr="00653F38" w:rsidRDefault="00000000">
      <w:pPr>
        <w:pStyle w:val="Heading2"/>
        <w:rPr>
          <w:color w:val="auto"/>
        </w:rPr>
      </w:pPr>
      <w:proofErr w:type="gramStart"/>
      <w:r w:rsidRPr="00653F38">
        <w:rPr>
          <w:color w:val="auto"/>
        </w:rPr>
        <w:t>4.2  The</w:t>
      </w:r>
      <w:proofErr w:type="gramEnd"/>
      <w:r w:rsidRPr="00653F38">
        <w:rPr>
          <w:color w:val="auto"/>
        </w:rPr>
        <w:t xml:space="preserve"> Stage 3 Threshold: Theoretical Conditions</w:t>
      </w:r>
    </w:p>
    <w:p w14:paraId="7F0245BA" w14:textId="77777777" w:rsidR="006633A4" w:rsidRPr="00653F38" w:rsidRDefault="00000000">
      <w:pPr>
        <w:spacing w:after="180" w:line="284" w:lineRule="auto"/>
        <w:jc w:val="both"/>
      </w:pPr>
      <w:r w:rsidRPr="00653F38">
        <w:t xml:space="preserve">The DSSM framework proposes that when effective community size consistently exceeds approximately 500 individuals, face-to-face transmission becomes structurally insufficient to maintain symbolic fidelity across the full community, generating adaptive pressure to </w:t>
      </w:r>
      <w:proofErr w:type="spellStart"/>
      <w:r w:rsidRPr="00653F38">
        <w:t>externalise</w:t>
      </w:r>
      <w:proofErr w:type="spellEnd"/>
      <w:r w:rsidRPr="00653F38">
        <w:t xml:space="preserve"> symbolic content into durable, portable, </w:t>
      </w:r>
      <w:proofErr w:type="spellStart"/>
      <w:r w:rsidRPr="00653F38">
        <w:t>standardised</w:t>
      </w:r>
      <w:proofErr w:type="spellEnd"/>
      <w:r w:rsidRPr="00653F38">
        <w:t xml:space="preserve"> objects capable of carrying meaning across sub-group boundaries without co-presence (Vondoom, 2026b: DOI 10.21608/IWNW.2026.464676.1075). This is a theoretical threshold derived from transmission fidelity modelling, not a figure measured at any specific site.</w:t>
      </w:r>
    </w:p>
    <w:p w14:paraId="1539DBCC" w14:textId="77777777" w:rsidR="006633A4" w:rsidRPr="00653F38" w:rsidRDefault="00000000">
      <w:pPr>
        <w:spacing w:after="180" w:line="284" w:lineRule="auto"/>
        <w:jc w:val="both"/>
      </w:pPr>
      <w:r w:rsidRPr="00653F38">
        <w:t xml:space="preserve">Applied to the Gujarat coastal context as a conditional projection: if a settled coastal community existed at the GKCC location at 9,500 BCE, and if that community's effective coordination network — extended by maritime access and positioned at the intersection of four major river systems — exceeded this threshold, the DSSM framework predicts it would already have been generating Stage 3 </w:t>
      </w:r>
      <w:proofErr w:type="spellStart"/>
      <w:r w:rsidRPr="00653F38">
        <w:t>externalisation</w:t>
      </w:r>
      <w:proofErr w:type="spellEnd"/>
      <w:r w:rsidRPr="00653F38">
        <w:t xml:space="preserve"> pressure. That pressure, carried inland by displaced populations, would contribute to </w:t>
      </w:r>
      <w:r w:rsidRPr="00653F38">
        <w:lastRenderedPageBreak/>
        <w:t>the downstream symbolic consolidation visible in the pre-Harappan and Harappan sequences. Both conditions are plausible given the geological and geographic record. Neither is confirmed by excavation.</w:t>
      </w:r>
    </w:p>
    <w:p w14:paraId="67B1D1E3" w14:textId="77777777" w:rsidR="006633A4" w:rsidRPr="00653F38" w:rsidRDefault="00000000">
      <w:pPr>
        <w:pStyle w:val="Heading1"/>
        <w:rPr>
          <w:color w:val="auto"/>
        </w:rPr>
      </w:pPr>
      <w:r w:rsidRPr="00653F38">
        <w:rPr>
          <w:color w:val="auto"/>
        </w:rPr>
        <w:t>5.  From the Coast to the City: The Convergence Mechanism</w:t>
      </w:r>
    </w:p>
    <w:p w14:paraId="2BCDD4D2" w14:textId="77777777" w:rsidR="006633A4" w:rsidRPr="00653F38" w:rsidRDefault="00000000">
      <w:pPr>
        <w:pStyle w:val="Heading2"/>
        <w:rPr>
          <w:color w:val="auto"/>
        </w:rPr>
      </w:pPr>
      <w:proofErr w:type="gramStart"/>
      <w:r w:rsidRPr="00653F38">
        <w:rPr>
          <w:color w:val="auto"/>
        </w:rPr>
        <w:t>5.1  Catastrophic</w:t>
      </w:r>
      <w:proofErr w:type="gramEnd"/>
      <w:r w:rsidRPr="00653F38">
        <w:rPr>
          <w:color w:val="auto"/>
        </w:rPr>
        <w:t xml:space="preserve"> Displacement as Symbolic Transmission Vector</w:t>
      </w:r>
    </w:p>
    <w:p w14:paraId="126A5096" w14:textId="77777777" w:rsidR="006633A4" w:rsidRPr="00653F38" w:rsidRDefault="00000000">
      <w:pPr>
        <w:spacing w:after="180" w:line="284" w:lineRule="auto"/>
        <w:jc w:val="both"/>
      </w:pPr>
      <w:r w:rsidRPr="00653F38">
        <w:t xml:space="preserve">The geological record establishes that a coastal population in the Gujarat zone experienced progressive inundation across several centuries in the 10th and 9th millennia BCE. The behavioral consequences of such displacement — though operating over a longer timescale than acute catastrophic events — are documented across comparable cases in the archaeological and genetic record. The Toba </w:t>
      </w:r>
      <w:proofErr w:type="spellStart"/>
      <w:r w:rsidRPr="00653F38">
        <w:t>supervolcano</w:t>
      </w:r>
      <w:proofErr w:type="spellEnd"/>
      <w:r w:rsidRPr="00653F38">
        <w:t xml:space="preserve"> eruption (74,000 BP) provides a behavioral baseline of a different kind: a rapid, discrete event that forced adaptive dispersal along river corridors and facilitated downstream symbolic consolidation (Kappelman et al., 2024). Post-LGM coastal inundation operated progressively rather than catastrophically, but the directional behavioral consequence — landward migration along river corridors, carrying accumulated symbolic infrastructure — is structurally identical across both timescales.</w:t>
      </w:r>
    </w:p>
    <w:p w14:paraId="13A24B3C" w14:textId="77777777" w:rsidR="006633A4" w:rsidRPr="00653F38" w:rsidRDefault="00000000">
      <w:pPr>
        <w:spacing w:after="180" w:line="284" w:lineRule="auto"/>
        <w:jc w:val="both"/>
      </w:pPr>
      <w:r w:rsidRPr="00653F38">
        <w:t xml:space="preserve">By 9,500 BCE, populations in the Gujarat coastal zone were operating at DSSM Stage 2–3, projecting the framework onto what the archaeological record of contemporaneous South Asian sites indicates. They carried accumulated craft knowledge, spatial </w:t>
      </w:r>
      <w:proofErr w:type="spellStart"/>
      <w:r w:rsidRPr="00653F38">
        <w:t>organisation</w:t>
      </w:r>
      <w:proofErr w:type="spellEnd"/>
      <w:r w:rsidRPr="00653F38">
        <w:t xml:space="preserve"> traditions, hydraulic management protocols, and portable symbolic standards into the river corridors connecting the drowning coast to the subcontinent's interior. The Narmada, Tapti, Mahi, and Sabarmati valleys were the natural migration routes of the Holocene coastal transition.</w:t>
      </w:r>
    </w:p>
    <w:p w14:paraId="542CEDE0" w14:textId="77777777" w:rsidR="006633A4" w:rsidRPr="00653F38" w:rsidRDefault="00000000">
      <w:pPr>
        <w:pStyle w:val="Heading2"/>
        <w:rPr>
          <w:color w:val="auto"/>
        </w:rPr>
      </w:pPr>
      <w:proofErr w:type="gramStart"/>
      <w:r w:rsidRPr="00653F38">
        <w:rPr>
          <w:color w:val="auto"/>
        </w:rPr>
        <w:t>5.2  Symbolic</w:t>
      </w:r>
      <w:proofErr w:type="gramEnd"/>
      <w:r w:rsidRPr="00653F38">
        <w:rPr>
          <w:color w:val="auto"/>
        </w:rPr>
        <w:t xml:space="preserve"> Convergence and the IVC Composite</w:t>
      </w:r>
    </w:p>
    <w:p w14:paraId="5AAE833D" w14:textId="77777777" w:rsidR="006633A4" w:rsidRPr="00653F38" w:rsidRDefault="00000000">
      <w:pPr>
        <w:spacing w:after="180" w:line="284" w:lineRule="auto"/>
        <w:jc w:val="both"/>
      </w:pPr>
      <w:r w:rsidRPr="00653F38">
        <w:t xml:space="preserve">DSSM analysis identifies multiple contributing symbolic streams to IVC emergence. The Mehrgarh sequence (Vondoom, 2026a [Preprint]) documents the inland agricultural stream: farming communities and craft </w:t>
      </w:r>
      <w:proofErr w:type="spellStart"/>
      <w:r w:rsidRPr="00653F38">
        <w:t>specialisation</w:t>
      </w:r>
      <w:proofErr w:type="spellEnd"/>
      <w:r w:rsidRPr="00653F38">
        <w:t xml:space="preserve"> accumulating from the 7th millennium BCE in Baluchistan, contributing spatial </w:t>
      </w:r>
      <w:proofErr w:type="spellStart"/>
      <w:r w:rsidRPr="00653F38">
        <w:t>organisation</w:t>
      </w:r>
      <w:proofErr w:type="spellEnd"/>
      <w:r w:rsidRPr="00653F38">
        <w:t xml:space="preserve"> grammar and material culture continuity directly traceable into proto-Harappan assemblages (Kenoyer, 2006; Possehl, 2002). Iranian Plateau and Zagros lineages contribute a second stream, documented in early IVC genetic and material culture overlap (Possehl, 2002).</w:t>
      </w:r>
    </w:p>
    <w:p w14:paraId="73EDA555" w14:textId="77777777" w:rsidR="006633A4" w:rsidRPr="00653F38" w:rsidRDefault="00000000">
      <w:pPr>
        <w:spacing w:after="180" w:line="284" w:lineRule="auto"/>
        <w:jc w:val="both"/>
      </w:pPr>
      <w:r w:rsidRPr="00653F38">
        <w:t xml:space="preserve">The Gujarat coastal stream — the one this paper addresses — would, under this theoretical projection, have contributed what the inland sequences structurally lack: maritime symbolic grammar; hydraulic management traditions developed for coastal freshwater maintenance; spatial </w:t>
      </w:r>
      <w:proofErr w:type="spellStart"/>
      <w:r w:rsidRPr="00653F38">
        <w:t>organisation</w:t>
      </w:r>
      <w:proofErr w:type="spellEnd"/>
      <w:r w:rsidRPr="00653F38">
        <w:t xml:space="preserve"> conventions adapted for dispersed </w:t>
      </w:r>
      <w:r w:rsidRPr="00653F38">
        <w:lastRenderedPageBreak/>
        <w:t xml:space="preserve">community coordination across trade networks; and portable symbolic standards </w:t>
      </w:r>
      <w:proofErr w:type="spellStart"/>
      <w:r w:rsidRPr="00653F38">
        <w:t>optimised</w:t>
      </w:r>
      <w:proofErr w:type="spellEnd"/>
      <w:r w:rsidRPr="00653F38">
        <w:t xml:space="preserve"> for cross-community exchange without co-presence. When these streams converge under shared displacement pressure, the DSSM framework projects a process of symbolic convergence under stress: the contact and partial integration of multiple symbolic traditions accelerating </w:t>
      </w:r>
      <w:proofErr w:type="spellStart"/>
      <w:r w:rsidRPr="00653F38">
        <w:t>stabilisation</w:t>
      </w:r>
      <w:proofErr w:type="spellEnd"/>
      <w:r w:rsidRPr="00653F38">
        <w:t xml:space="preserve"> beyond what any single contributing stream would produce. The downstream output, millennia later, is a </w:t>
      </w:r>
      <w:proofErr w:type="spellStart"/>
      <w:r w:rsidRPr="00653F38">
        <w:t>civilisation</w:t>
      </w:r>
      <w:proofErr w:type="spellEnd"/>
      <w:r w:rsidRPr="00653F38">
        <w:t xml:space="preserve"> that already knows how to </w:t>
      </w:r>
      <w:proofErr w:type="spellStart"/>
      <w:r w:rsidRPr="00653F38">
        <w:t>standardise</w:t>
      </w:r>
      <w:proofErr w:type="spellEnd"/>
      <w:r w:rsidRPr="00653F38">
        <w:t xml:space="preserve"> weights across 1.25 million square </w:t>
      </w:r>
      <w:proofErr w:type="spellStart"/>
      <w:r w:rsidRPr="00653F38">
        <w:t>kilometres</w:t>
      </w:r>
      <w:proofErr w:type="spellEnd"/>
      <w:r w:rsidRPr="00653F38">
        <w:t xml:space="preserve"> without a palace to enforce the standard.</w:t>
      </w:r>
    </w:p>
    <w:p w14:paraId="7EEC967A" w14:textId="77777777" w:rsidR="006633A4" w:rsidRPr="00653F38" w:rsidRDefault="00000000">
      <w:pPr>
        <w:pStyle w:val="Heading2"/>
        <w:rPr>
          <w:color w:val="auto"/>
        </w:rPr>
      </w:pPr>
      <w:proofErr w:type="gramStart"/>
      <w:r w:rsidRPr="00653F38">
        <w:rPr>
          <w:color w:val="auto"/>
        </w:rPr>
        <w:t>5.3  Why</w:t>
      </w:r>
      <w:proofErr w:type="gramEnd"/>
      <w:r w:rsidRPr="00653F38">
        <w:rPr>
          <w:color w:val="auto"/>
        </w:rPr>
        <w:t xml:space="preserve"> IVC Has No Palaces</w:t>
      </w:r>
    </w:p>
    <w:p w14:paraId="5555B60A" w14:textId="77777777" w:rsidR="006633A4" w:rsidRPr="00653F38" w:rsidRDefault="00000000">
      <w:pPr>
        <w:spacing w:after="180" w:line="284" w:lineRule="auto"/>
        <w:jc w:val="both"/>
      </w:pPr>
      <w:r w:rsidRPr="00653F38">
        <w:t xml:space="preserve">The absence of palaces, royal tombs, and monumental ego-architecture in the IVC is not a mystery requiring explanation away. It is a signal with a specific reading within the DSSM theoretical framework. </w:t>
      </w:r>
      <w:proofErr w:type="spellStart"/>
      <w:r w:rsidRPr="00653F38">
        <w:t>Centralised</w:t>
      </w:r>
      <w:proofErr w:type="spellEnd"/>
      <w:r w:rsidRPr="00653F38">
        <w:t xml:space="preserve"> symbolic authority — the kind that produces pharaohs and ziggurats — emerges from conquest traditions: one symbolic system absorbing subordinate ones and </w:t>
      </w:r>
      <w:proofErr w:type="spellStart"/>
      <w:r w:rsidRPr="00653F38">
        <w:t>externalising</w:t>
      </w:r>
      <w:proofErr w:type="spellEnd"/>
      <w:r w:rsidRPr="00653F38">
        <w:t xml:space="preserve"> the domination in stone. Distributed symbolic authority — the kind that produces </w:t>
      </w:r>
      <w:proofErr w:type="spellStart"/>
      <w:r w:rsidRPr="00653F38">
        <w:t>standardised</w:t>
      </w:r>
      <w:proofErr w:type="spellEnd"/>
      <w:r w:rsidRPr="00653F38">
        <w:t xml:space="preserve"> weights and public baths without a king's face anywhere — emerges from cooperation traditions: multiple symbolic systems that learned to coordinate without subordination, because coordination is what kept their ancestors alive.</w:t>
      </w:r>
    </w:p>
    <w:p w14:paraId="543570E1" w14:textId="77777777" w:rsidR="006633A4" w:rsidRPr="00653F38" w:rsidRDefault="00000000">
      <w:pPr>
        <w:spacing w:after="180" w:line="284" w:lineRule="auto"/>
        <w:jc w:val="both"/>
      </w:pPr>
      <w:r w:rsidRPr="00653F38">
        <w:t xml:space="preserve">Populations that survive progressive coastal inundation over multiple generations, relocating incrementally inland, merging with other displaced communities, and rebuilding cooperative settlements in unfamiliar terrain, would be expected — under this framework — to encode cooperation in their symbolic infrastructure rather than conquest. The DSSM framework projects that the character of a </w:t>
      </w:r>
      <w:proofErr w:type="spellStart"/>
      <w:r w:rsidRPr="00653F38">
        <w:t>civilisation's</w:t>
      </w:r>
      <w:proofErr w:type="spellEnd"/>
      <w:r w:rsidRPr="00653F38">
        <w:t xml:space="preserve"> symbolic architecture reflects the selection pressures under which its foundational symbolic infrastructure was accumulated. IVC's symbolic architecture is consistent with this projection for populations whose foundational infrastructure was accumulated under coastal survival conditions. This remains a theoretical argument pending excavation data.</w:t>
      </w:r>
    </w:p>
    <w:p w14:paraId="21383A03" w14:textId="77777777" w:rsidR="006633A4" w:rsidRPr="00653F38" w:rsidRDefault="00000000">
      <w:pPr>
        <w:pStyle w:val="Heading1"/>
        <w:rPr>
          <w:color w:val="auto"/>
        </w:rPr>
      </w:pPr>
      <w:r w:rsidRPr="00653F38">
        <w:rPr>
          <w:color w:val="auto"/>
        </w:rPr>
        <w:t>6.  The Geological Argument Does Not Require the Archaeology</w:t>
      </w:r>
    </w:p>
    <w:p w14:paraId="05164981" w14:textId="77777777" w:rsidR="006633A4" w:rsidRPr="00653F38" w:rsidRDefault="00000000">
      <w:pPr>
        <w:spacing w:after="180" w:line="284" w:lineRule="auto"/>
        <w:jc w:val="both"/>
      </w:pPr>
      <w:r w:rsidRPr="00653F38">
        <w:t xml:space="preserve">The central methodological contribution of this paper is the separation of two questions the GKCC debate has conflated: whether the GKCC structures are anthropogenic, and whether a pre-IVC coastal symbolic tradition existed in the Gujarat zone. The first question requires controlled underwater excavation. It has not been answered. The second question does not require the GKCC at all. It requires only the geological record — which confirms habitable terrain, multiple major river systems, </w:t>
      </w:r>
      <w:proofErr w:type="spellStart"/>
      <w:r w:rsidRPr="00653F38">
        <w:t>favourable</w:t>
      </w:r>
      <w:proofErr w:type="spellEnd"/>
      <w:r w:rsidRPr="00653F38">
        <w:t xml:space="preserve"> climate, and catastrophic inundation in the temporal window consistent with the GKCC carbon dates (Solanki et al., 2026; Hashimi et al., 1995; Lambeck, 1996).</w:t>
      </w:r>
    </w:p>
    <w:p w14:paraId="430E871F" w14:textId="77777777" w:rsidR="006633A4" w:rsidRPr="00653F38" w:rsidRDefault="00000000">
      <w:pPr>
        <w:spacing w:after="180" w:line="284" w:lineRule="auto"/>
        <w:jc w:val="both"/>
      </w:pPr>
      <w:r w:rsidRPr="00653F38">
        <w:lastRenderedPageBreak/>
        <w:t xml:space="preserve">The population that lived in this zone before the sea took it is not a hypothesis. It is the baseline probabilistic inference from the geological evidence: resource-productive, freshwater-accessible coastal lowlands at the intersection of four major river systems, in a period of </w:t>
      </w:r>
      <w:proofErr w:type="spellStart"/>
      <w:r w:rsidRPr="00653F38">
        <w:t>favourable</w:t>
      </w:r>
      <w:proofErr w:type="spellEnd"/>
      <w:r w:rsidRPr="00653F38">
        <w:t xml:space="preserve"> climate, represent among the most habitable terrain available on the subcontinent. The Carmel coast confirms that analogous coastal networks existed in the contemporaneous Levant (</w:t>
      </w:r>
      <w:proofErr w:type="spellStart"/>
      <w:r w:rsidRPr="00653F38">
        <w:t>Galili</w:t>
      </w:r>
      <w:proofErr w:type="spellEnd"/>
      <w:r w:rsidRPr="00653F38">
        <w:t xml:space="preserve"> et al., 2019). The Persian Gulf Oasis literature establishes the analogous framework for the </w:t>
      </w:r>
      <w:proofErr w:type="gramStart"/>
      <w:r w:rsidRPr="00653F38">
        <w:t>Arabian peninsula</w:t>
      </w:r>
      <w:proofErr w:type="gramEnd"/>
      <w:r w:rsidRPr="00653F38">
        <w:t xml:space="preserve"> (Rose, 2010). The Gujarat coast, at the intersection of the Arabian Sea and the subcontinent's primary river drainage systems, is structurally the most </w:t>
      </w:r>
      <w:proofErr w:type="spellStart"/>
      <w:r w:rsidRPr="00653F38">
        <w:t>favourable</w:t>
      </w:r>
      <w:proofErr w:type="spellEnd"/>
      <w:r w:rsidRPr="00653F38">
        <w:t xml:space="preserve"> location in South Asia for a coastal symbolic tradition of the kind the DSSM framework projects would have preceded IVC.</w:t>
      </w:r>
    </w:p>
    <w:p w14:paraId="1F627F03" w14:textId="77777777" w:rsidR="006633A4" w:rsidRPr="00653F38" w:rsidRDefault="00000000">
      <w:pPr>
        <w:pStyle w:val="Heading1"/>
        <w:rPr>
          <w:color w:val="auto"/>
        </w:rPr>
      </w:pPr>
      <w:r w:rsidRPr="00653F38">
        <w:rPr>
          <w:color w:val="auto"/>
        </w:rPr>
        <w:t>7.  Testable Predictions</w:t>
      </w:r>
    </w:p>
    <w:p w14:paraId="20AF6C42" w14:textId="77777777" w:rsidR="006633A4" w:rsidRPr="00653F38" w:rsidRDefault="00000000">
      <w:pPr>
        <w:spacing w:after="180" w:line="284" w:lineRule="auto"/>
        <w:jc w:val="both"/>
      </w:pPr>
      <w:r w:rsidRPr="00653F38">
        <w:t>The hypothesis advanced here generates four predictions that a controlled GKCC excavation could confirm or refute, stated here as falsifiable claims.</w:t>
      </w:r>
    </w:p>
    <w:p w14:paraId="04D8F579" w14:textId="77777777" w:rsidR="006633A4" w:rsidRPr="00653F38" w:rsidRDefault="00000000">
      <w:pPr>
        <w:spacing w:after="180" w:line="284" w:lineRule="auto"/>
        <w:jc w:val="both"/>
      </w:pPr>
      <w:r w:rsidRPr="00653F38">
        <w:rPr>
          <w:b/>
          <w:bCs/>
        </w:rPr>
        <w:t xml:space="preserve">P1 — Spatial </w:t>
      </w:r>
      <w:proofErr w:type="spellStart"/>
      <w:r w:rsidRPr="00653F38">
        <w:rPr>
          <w:b/>
          <w:bCs/>
        </w:rPr>
        <w:t>organisation</w:t>
      </w:r>
      <w:proofErr w:type="spellEnd"/>
      <w:r w:rsidRPr="00653F38">
        <w:rPr>
          <w:b/>
          <w:bCs/>
        </w:rPr>
        <w:t xml:space="preserve">: </w:t>
      </w:r>
      <w:r w:rsidRPr="00653F38">
        <w:t xml:space="preserve">Confirmed anthropogenic structures should exhibit regularities consistent with Stage 2–3 symbolic infrastructure — </w:t>
      </w:r>
      <w:proofErr w:type="spellStart"/>
      <w:r w:rsidRPr="00653F38">
        <w:t>standardised</w:t>
      </w:r>
      <w:proofErr w:type="spellEnd"/>
      <w:r w:rsidRPr="00653F38">
        <w:t xml:space="preserve"> spatial separation of functions, orientation consistent with cosmological or seasonal symbolic frameworks — distinguishable from natural geological formations by regularity at scales and orientations inconsistent with tidal or sedimentary processes.</w:t>
      </w:r>
    </w:p>
    <w:p w14:paraId="124DE01A" w14:textId="77777777" w:rsidR="006633A4" w:rsidRPr="00653F38" w:rsidRDefault="00000000">
      <w:pPr>
        <w:spacing w:after="180" w:line="284" w:lineRule="auto"/>
        <w:jc w:val="both"/>
      </w:pPr>
      <w:r w:rsidRPr="00653F38">
        <w:rPr>
          <w:b/>
          <w:bCs/>
        </w:rPr>
        <w:t xml:space="preserve">P2 — Material culture continuity: </w:t>
      </w:r>
      <w:r w:rsidRPr="00653F38">
        <w:t xml:space="preserve">Recoverable artifact assemblages should show typological continuities with known pre-Harappan and early Harappan coastal Gujarat sites — particularly </w:t>
      </w:r>
      <w:proofErr w:type="spellStart"/>
      <w:r w:rsidRPr="00653F38">
        <w:t>Padri</w:t>
      </w:r>
      <w:proofErr w:type="spellEnd"/>
      <w:r w:rsidRPr="00653F38">
        <w:t xml:space="preserve">, Lothal, and </w:t>
      </w:r>
      <w:proofErr w:type="spellStart"/>
      <w:r w:rsidRPr="00653F38">
        <w:t>Dholavira</w:t>
      </w:r>
      <w:proofErr w:type="spellEnd"/>
      <w:r w:rsidRPr="00653F38">
        <w:t xml:space="preserve"> — in ceramic typologies, lithic technologies, and symbolic marking conventions. Absence of such continuity would constitute a significant constraint on the convergence hypothesis.</w:t>
      </w:r>
    </w:p>
    <w:p w14:paraId="509B0150" w14:textId="77777777" w:rsidR="006633A4" w:rsidRPr="00653F38" w:rsidRDefault="00000000">
      <w:pPr>
        <w:spacing w:after="180" w:line="284" w:lineRule="auto"/>
        <w:jc w:val="both"/>
      </w:pPr>
      <w:r w:rsidRPr="00653F38">
        <w:rPr>
          <w:b/>
          <w:bCs/>
        </w:rPr>
        <w:t xml:space="preserve">P3 — Planned abandonment signature: </w:t>
      </w:r>
      <w:r w:rsidRPr="00653F38">
        <w:t>If inundation was progressive — as the sea-level data indicates, operating over centuries — the archaeological signature should reflect selective removal of portable high-value symbolic objects. Items of low symbolic portability should remain; items of high symbolic and portable value (</w:t>
      </w:r>
      <w:proofErr w:type="spellStart"/>
      <w:r w:rsidRPr="00653F38">
        <w:t>standardised</w:t>
      </w:r>
      <w:proofErr w:type="spellEnd"/>
      <w:r w:rsidRPr="00653F38">
        <w:t xml:space="preserve"> weights, seal-type objects, symbolic markers) should be systematically absent from confirmed structural contexts, having been carried inland.</w:t>
      </w:r>
    </w:p>
    <w:p w14:paraId="658E38EB" w14:textId="77777777" w:rsidR="006633A4" w:rsidRPr="00653F38" w:rsidRDefault="00000000">
      <w:pPr>
        <w:spacing w:after="180" w:line="284" w:lineRule="auto"/>
        <w:jc w:val="both"/>
      </w:pPr>
      <w:r w:rsidRPr="00653F38">
        <w:rPr>
          <w:b/>
          <w:bCs/>
        </w:rPr>
        <w:t xml:space="preserve">P4 — Paleochannel correspondence: </w:t>
      </w:r>
      <w:r w:rsidRPr="00653F38">
        <w:t>The paleochannel orientations confirmed by NIOT surveys (Kathiroli et al., 2004) should correspond to known Gujarat river system trajectories from the early Holocene, linking the GKCC zone to the inland river corridors connecting geographically to the known pre-Harappan archaeological sequence.</w:t>
      </w:r>
    </w:p>
    <w:p w14:paraId="1C2A8DED" w14:textId="77777777" w:rsidR="006633A4" w:rsidRPr="00653F38" w:rsidRDefault="00000000">
      <w:pPr>
        <w:spacing w:after="180" w:line="284" w:lineRule="auto"/>
        <w:jc w:val="both"/>
      </w:pPr>
      <w:r w:rsidRPr="00653F38">
        <w:t xml:space="preserve">The methodological requirements for testing these predictions are established and technologically feasible: controlled remotely operated vehicle inspection of structural features; in-situ sediment coring for stratigraphic dating; systematic artifact recovery </w:t>
      </w:r>
      <w:r w:rsidRPr="00653F38">
        <w:lastRenderedPageBreak/>
        <w:t>from confirmed structural contexts; magnetic survey discrimination of anthropogenic from geological patterning. Twenty-five years after the site's discovery, none of this has been conducted.</w:t>
      </w:r>
    </w:p>
    <w:p w14:paraId="27938EEC" w14:textId="77777777" w:rsidR="006633A4" w:rsidRPr="00653F38" w:rsidRDefault="00000000">
      <w:pPr>
        <w:pStyle w:val="Heading1"/>
        <w:rPr>
          <w:color w:val="auto"/>
        </w:rPr>
      </w:pPr>
      <w:r w:rsidRPr="00653F38">
        <w:rPr>
          <w:color w:val="auto"/>
        </w:rPr>
        <w:t>8.  The Case for Investigation</w:t>
      </w:r>
    </w:p>
    <w:p w14:paraId="62DEB4B2" w14:textId="77777777" w:rsidR="006633A4" w:rsidRPr="00653F38" w:rsidRDefault="00000000">
      <w:pPr>
        <w:spacing w:after="180" w:line="284" w:lineRule="auto"/>
        <w:jc w:val="both"/>
      </w:pPr>
      <w:r w:rsidRPr="00653F38">
        <w:t xml:space="preserve">The GKCC is not the only unexcavated underwater site on the planet. It is the one where the geological case for pre-submergence habitation is most precisely documented, where the temporal window of inundation most closely corresponds to the artifact dates recovered, where the downstream </w:t>
      </w:r>
      <w:proofErr w:type="spellStart"/>
      <w:r w:rsidRPr="00653F38">
        <w:t>civilisational</w:t>
      </w:r>
      <w:proofErr w:type="spellEnd"/>
      <w:r w:rsidRPr="00653F38">
        <w:t xml:space="preserve"> consequence — if the convergence hypothesis is correct — is most significant for understanding South Asian prehistory, and where the methodological requirements for controlled investigation are most clearly specified.</w:t>
      </w:r>
    </w:p>
    <w:p w14:paraId="14C6FD03" w14:textId="77777777" w:rsidR="006633A4" w:rsidRPr="00653F38" w:rsidRDefault="00000000">
      <w:pPr>
        <w:spacing w:after="180" w:line="284" w:lineRule="auto"/>
        <w:jc w:val="both"/>
      </w:pPr>
      <w:r w:rsidRPr="00653F38">
        <w:t>The 2024 revival of academic engagement with the GKCC, including the British Museum's call for systematic further investigation (Morris, cited in Ramakrishna Rao, 2025), and the 2025 publication of the most comprehensive synthesis of GKCC evidence to date (Ramakrishna Rao, 2025), indicate that the scholarly community has not permanently closed this question. The geological record has already made the case for habitation. The behavioral analogs have already demonstrated that populations respond to coastal inundation through inland corridor dispersal (</w:t>
      </w:r>
      <w:proofErr w:type="spellStart"/>
      <w:r w:rsidRPr="00653F38">
        <w:t>Galili</w:t>
      </w:r>
      <w:proofErr w:type="spellEnd"/>
      <w:r w:rsidRPr="00653F38">
        <w:t xml:space="preserve"> et al., 2019; Rose, 2010; Kappelman et al., 2024). The Mehrgarh sequence has already documented the inland symbolic stream that would have been the convergence partner (</w:t>
      </w:r>
      <w:proofErr w:type="spellStart"/>
      <w:r w:rsidRPr="00653F38">
        <w:t>Jarrige</w:t>
      </w:r>
      <w:proofErr w:type="spellEnd"/>
      <w:r w:rsidRPr="00653F38">
        <w:t xml:space="preserve"> &amp; Meadow, 2008; Kenoyer, 2006; Vondoom, 2026a [Preprint]).</w:t>
      </w:r>
    </w:p>
    <w:p w14:paraId="30E52898" w14:textId="77777777" w:rsidR="006633A4" w:rsidRPr="00653F38" w:rsidRDefault="00000000">
      <w:pPr>
        <w:spacing w:after="180" w:line="284" w:lineRule="auto"/>
        <w:jc w:val="both"/>
      </w:pPr>
      <w:r w:rsidRPr="00653F38">
        <w:t xml:space="preserve">What remains is the controlled underwater investigation of a 9-kilometre anomaly at 30–40 </w:t>
      </w:r>
      <w:proofErr w:type="spellStart"/>
      <w:r w:rsidRPr="00653F38">
        <w:t>metres</w:t>
      </w:r>
      <w:proofErr w:type="spellEnd"/>
      <w:r w:rsidRPr="00653F38">
        <w:t xml:space="preserve"> depth off the Gujarat coast, in a zone the geological record confirms was among the most habitable terrain on the subcontinent before the sea took it. The excavation would not be looking for a lost </w:t>
      </w:r>
      <w:proofErr w:type="spellStart"/>
      <w:r w:rsidRPr="00653F38">
        <w:t>civilisation</w:t>
      </w:r>
      <w:proofErr w:type="spellEnd"/>
      <w:r w:rsidRPr="00653F38">
        <w:t>. It would be looking for the people the evidence already implies were there.</w:t>
      </w:r>
    </w:p>
    <w:p w14:paraId="62531427" w14:textId="77777777" w:rsidR="006633A4" w:rsidRPr="00653F38" w:rsidRDefault="00000000">
      <w:pPr>
        <w:pStyle w:val="Heading1"/>
        <w:rPr>
          <w:color w:val="auto"/>
        </w:rPr>
      </w:pPr>
      <w:r w:rsidRPr="00653F38">
        <w:rPr>
          <w:color w:val="auto"/>
        </w:rPr>
        <w:t>9.  Conclusion</w:t>
      </w:r>
    </w:p>
    <w:p w14:paraId="2838FA34" w14:textId="77777777" w:rsidR="006633A4" w:rsidRPr="00653F38" w:rsidRDefault="00000000">
      <w:pPr>
        <w:spacing w:after="180" w:line="284" w:lineRule="auto"/>
        <w:jc w:val="both"/>
      </w:pPr>
      <w:r w:rsidRPr="00653F38">
        <w:t xml:space="preserve">The Indus Valley Civilization does not require a lost </w:t>
      </w:r>
      <w:proofErr w:type="spellStart"/>
      <w:r w:rsidRPr="00653F38">
        <w:t>civilisation</w:t>
      </w:r>
      <w:proofErr w:type="spellEnd"/>
      <w:r w:rsidRPr="00653F38">
        <w:t xml:space="preserve"> to explain its complexity. It requires a prior coastal symbolic tradition — one that accumulated over millennia in the Gujarat coastal zone before post-LGM inundation forced its inland displacement and eventual convergence with the Mehrgarh inland sequence and other contributing streams to produce the IVC we excavate.</w:t>
      </w:r>
    </w:p>
    <w:p w14:paraId="2CE37528" w14:textId="77777777" w:rsidR="006633A4" w:rsidRPr="00653F38" w:rsidRDefault="00000000">
      <w:pPr>
        <w:spacing w:after="180" w:line="284" w:lineRule="auto"/>
        <w:jc w:val="both"/>
      </w:pPr>
      <w:r w:rsidRPr="00653F38">
        <w:t xml:space="preserve">The geological case for this tradition's existence is established independently of any archaeological discovery (Solanki et al., 2026; Hashimi et al., 1995; Lambeck, 1996; </w:t>
      </w:r>
      <w:proofErr w:type="spellStart"/>
      <w:r w:rsidRPr="00653F38">
        <w:t>Galili</w:t>
      </w:r>
      <w:proofErr w:type="spellEnd"/>
      <w:r w:rsidRPr="00653F38">
        <w:t xml:space="preserve"> et al., 2019; Rose, 2010). The behavioral response to coastal inundation — inland migration along river corridors, carrying accumulated symbolic infrastructure — is consistent with every comparable displacement event in the archaeological record </w:t>
      </w:r>
      <w:r w:rsidRPr="00653F38">
        <w:lastRenderedPageBreak/>
        <w:t xml:space="preserve">(Kappelman et al., 2024; </w:t>
      </w:r>
      <w:proofErr w:type="spellStart"/>
      <w:r w:rsidRPr="00653F38">
        <w:t>Galili</w:t>
      </w:r>
      <w:proofErr w:type="spellEnd"/>
      <w:r w:rsidRPr="00653F38">
        <w:t xml:space="preserve"> et al., 2019; Rose, 2010). The symbolic consequences — distributed authority, hydraulic mastery, portable standards, cooperative spatial </w:t>
      </w:r>
      <w:proofErr w:type="spellStart"/>
      <w:r w:rsidRPr="00653F38">
        <w:t>organisation</w:t>
      </w:r>
      <w:proofErr w:type="spellEnd"/>
      <w:r w:rsidRPr="00653F38">
        <w:t xml:space="preserve"> — are the features most distinguishing IVC from its contemporaries, and the features the DSSM framework projects as the expected output of symbolic systems accumulated under coastal survival conditions.</w:t>
      </w:r>
    </w:p>
    <w:p w14:paraId="2D125853" w14:textId="77777777" w:rsidR="006633A4" w:rsidRPr="00653F38" w:rsidRDefault="00000000">
      <w:pPr>
        <w:spacing w:after="180" w:line="284" w:lineRule="auto"/>
        <w:jc w:val="both"/>
      </w:pPr>
      <w:r w:rsidRPr="00653F38">
        <w:t>The GKCC may or may not be a built settlement. That question requires an excavation. But the population that would have built such a settlement — the people who lived at the intersection of the Narmada, Tapti, Mahi, and Sabarmati river systems on a coast that drowned between 10,800 and 9,200 years before present — is not a hypothesis. The geological record has already placed them there. The IVC is, at least in part, what they built when they arrived.</w:t>
      </w:r>
    </w:p>
    <w:p w14:paraId="33D324FF" w14:textId="77777777" w:rsidR="006633A4" w:rsidRPr="00653F38" w:rsidRDefault="00000000">
      <w:pPr>
        <w:spacing w:after="180" w:line="284" w:lineRule="auto"/>
        <w:jc w:val="both"/>
      </w:pPr>
      <w:r w:rsidRPr="00653F38">
        <w:t>The brick is never the beginning. The beginning is the practice that knew, before the brick existed, how to lay one straight.</w:t>
      </w:r>
    </w:p>
    <w:p w14:paraId="463F10FF" w14:textId="77777777" w:rsidR="006633A4" w:rsidRPr="00653F38" w:rsidRDefault="006633A4">
      <w:pPr>
        <w:spacing w:after="60"/>
      </w:pPr>
    </w:p>
    <w:p w14:paraId="7C7BCF9D" w14:textId="77777777" w:rsidR="006633A4" w:rsidRPr="00653F38" w:rsidRDefault="006633A4">
      <w:pPr>
        <w:pBdr>
          <w:bottom w:val="single" w:sz="4" w:space="1" w:color="CCCCCC"/>
        </w:pBdr>
        <w:spacing w:before="200" w:after="200"/>
      </w:pPr>
    </w:p>
    <w:p w14:paraId="34D8B717" w14:textId="77777777" w:rsidR="006633A4" w:rsidRPr="00653F38" w:rsidRDefault="00000000">
      <w:pPr>
        <w:pStyle w:val="Heading1"/>
        <w:rPr>
          <w:color w:val="auto"/>
        </w:rPr>
      </w:pPr>
      <w:r w:rsidRPr="00653F38">
        <w:rPr>
          <w:color w:val="auto"/>
        </w:rPr>
        <w:t>Sustainable Development Goals (SDG) Relevance</w:t>
      </w:r>
    </w:p>
    <w:p w14:paraId="78F4CD56" w14:textId="77777777" w:rsidR="006633A4" w:rsidRPr="00653F38" w:rsidRDefault="00000000">
      <w:pPr>
        <w:spacing w:after="180" w:line="284" w:lineRule="auto"/>
        <w:jc w:val="both"/>
      </w:pPr>
      <w:r w:rsidRPr="00653F38">
        <w:t xml:space="preserve">SDG 4 (Quality Education): This research contributes interdisciplinary methodology connecting geology, cognitive archaeology, and symbolic systems analysis, expanding the documented foundation of South Asian </w:t>
      </w:r>
      <w:proofErr w:type="spellStart"/>
      <w:r w:rsidRPr="00653F38">
        <w:t>civilisational</w:t>
      </w:r>
      <w:proofErr w:type="spellEnd"/>
      <w:r w:rsidRPr="00653F38">
        <w:t xml:space="preserve"> development.</w:t>
      </w:r>
    </w:p>
    <w:p w14:paraId="6276503B" w14:textId="77777777" w:rsidR="006633A4" w:rsidRPr="00653F38" w:rsidRDefault="00000000">
      <w:pPr>
        <w:spacing w:after="180" w:line="284" w:lineRule="auto"/>
        <w:jc w:val="both"/>
      </w:pPr>
      <w:r w:rsidRPr="00653F38">
        <w:t>SDG 11 (Sustainable Cities and Communities): The IVC's egalitarian urban model — distributed authority, citizen-</w:t>
      </w:r>
      <w:proofErr w:type="spellStart"/>
      <w:r w:rsidRPr="00653F38">
        <w:t>centred</w:t>
      </w:r>
      <w:proofErr w:type="spellEnd"/>
      <w:r w:rsidRPr="00653F38">
        <w:t xml:space="preserve"> infrastructure, absence of monumental power consolidation — represents the most fully documented case of large-scale urban coordination without </w:t>
      </w:r>
      <w:proofErr w:type="spellStart"/>
      <w:r w:rsidRPr="00653F38">
        <w:t>centralised</w:t>
      </w:r>
      <w:proofErr w:type="spellEnd"/>
      <w:r w:rsidRPr="00653F38">
        <w:t xml:space="preserve"> coercive authority in the archaeological record, with relevance to contemporary urban governance theory.</w:t>
      </w:r>
    </w:p>
    <w:p w14:paraId="6FF0C82A" w14:textId="77777777" w:rsidR="006633A4" w:rsidRPr="00653F38" w:rsidRDefault="00000000">
      <w:pPr>
        <w:spacing w:after="180" w:line="284" w:lineRule="auto"/>
        <w:jc w:val="both"/>
      </w:pPr>
      <w:r w:rsidRPr="00653F38">
        <w:t xml:space="preserve">SDG 13 (Climate Action): Post-LGM coastal inundation at rates exceeding two </w:t>
      </w:r>
      <w:proofErr w:type="spellStart"/>
      <w:r w:rsidRPr="00653F38">
        <w:t>metres</w:t>
      </w:r>
      <w:proofErr w:type="spellEnd"/>
      <w:r w:rsidRPr="00653F38">
        <w:t xml:space="preserve"> per century is the closest prehistoric analog to projected anthropogenic sea-level rise. The </w:t>
      </w:r>
      <w:proofErr w:type="spellStart"/>
      <w:r w:rsidRPr="00653F38">
        <w:t>behavioural</w:t>
      </w:r>
      <w:proofErr w:type="spellEnd"/>
      <w:r w:rsidRPr="00653F38">
        <w:t xml:space="preserve"> responses of displaced coastal populations documented here have direct relevance to contemporary climate displacement policy and cultural heritage protection.</w:t>
      </w:r>
    </w:p>
    <w:p w14:paraId="033BE035" w14:textId="77777777" w:rsidR="006633A4" w:rsidRPr="00653F38" w:rsidRDefault="00000000">
      <w:pPr>
        <w:spacing w:after="180" w:line="284" w:lineRule="auto"/>
        <w:jc w:val="both"/>
      </w:pPr>
      <w:r w:rsidRPr="00653F38">
        <w:t>SDG 14 (Life Below Water): This paper advocates for controlled archaeological investigation of the Gulf of Khambhat under established international marine cultural heritage frameworks, contributing to the documentation and protection of submerged cultural heritage.</w:t>
      </w:r>
    </w:p>
    <w:p w14:paraId="2B1508C7" w14:textId="77777777" w:rsidR="006633A4" w:rsidRPr="00653F38" w:rsidRDefault="00000000">
      <w:pPr>
        <w:spacing w:after="180" w:line="284" w:lineRule="auto"/>
        <w:jc w:val="both"/>
      </w:pPr>
      <w:r w:rsidRPr="00653F38">
        <w:t>SDG 16 (Peace, Justice and Strong Institutions): The IVC's distributed symbolic authority model offers empirical grounding for institutional design theory based on cooperative rather than hierarchical authority structures.</w:t>
      </w:r>
    </w:p>
    <w:p w14:paraId="60FE849F" w14:textId="77777777" w:rsidR="006633A4" w:rsidRPr="00653F38" w:rsidRDefault="006633A4">
      <w:pPr>
        <w:spacing w:after="60"/>
      </w:pPr>
    </w:p>
    <w:p w14:paraId="1F32BFCD" w14:textId="77777777" w:rsidR="006633A4" w:rsidRPr="00653F38" w:rsidRDefault="00000000">
      <w:pPr>
        <w:pStyle w:val="Heading1"/>
        <w:rPr>
          <w:color w:val="auto"/>
        </w:rPr>
      </w:pPr>
      <w:r w:rsidRPr="00653F38">
        <w:rPr>
          <w:color w:val="auto"/>
        </w:rPr>
        <w:t>AI Disclosure</w:t>
      </w:r>
    </w:p>
    <w:p w14:paraId="78F4CE7F" w14:textId="77777777" w:rsidR="006633A4" w:rsidRPr="00653F38" w:rsidRDefault="00000000">
      <w:pPr>
        <w:spacing w:after="180" w:line="284" w:lineRule="auto"/>
        <w:jc w:val="both"/>
      </w:pPr>
      <w:r w:rsidRPr="00653F38">
        <w:t>This paper was developed with the assistance of Claude (Anthropic, claude-sonnet-4-6) for literature synthesis, structural development, and academic prose refinement. All theoretical positions, interpretive claims, analytical conclusions, and the DSSM framework are the sole intellectual work of the author. All citations have been verified against primary and secondary sources. Published under Creative Commons Attribution 4.0 International (CC BY 4.0).</w:t>
      </w:r>
    </w:p>
    <w:p w14:paraId="62A2D2B9" w14:textId="77777777" w:rsidR="006633A4" w:rsidRPr="00653F38" w:rsidRDefault="006633A4">
      <w:pPr>
        <w:spacing w:after="60"/>
      </w:pPr>
    </w:p>
    <w:p w14:paraId="1B7AF553" w14:textId="77777777" w:rsidR="006633A4" w:rsidRPr="00653F38" w:rsidRDefault="006633A4">
      <w:pPr>
        <w:pBdr>
          <w:bottom w:val="single" w:sz="4" w:space="1" w:color="CCCCCC"/>
        </w:pBdr>
        <w:spacing w:before="200" w:after="200"/>
      </w:pPr>
    </w:p>
    <w:p w14:paraId="57223D21" w14:textId="77777777" w:rsidR="006633A4" w:rsidRPr="00653F38" w:rsidRDefault="00000000">
      <w:pPr>
        <w:pStyle w:val="Heading1"/>
        <w:rPr>
          <w:color w:val="auto"/>
        </w:rPr>
      </w:pPr>
      <w:r w:rsidRPr="00653F38">
        <w:rPr>
          <w:color w:val="auto"/>
        </w:rPr>
        <w:t>References</w:t>
      </w:r>
    </w:p>
    <w:p w14:paraId="578FFBDF" w14:textId="77777777" w:rsidR="006633A4" w:rsidRPr="00653F38" w:rsidRDefault="00000000">
      <w:pPr>
        <w:spacing w:after="110"/>
        <w:ind w:left="720" w:hanging="720"/>
        <w:rPr>
          <w:lang w:val="it-IT"/>
        </w:rPr>
      </w:pPr>
      <w:r w:rsidRPr="00653F38">
        <w:rPr>
          <w:sz w:val="20"/>
          <w:szCs w:val="20"/>
        </w:rPr>
        <w:t xml:space="preserve">Agrawal, D.P. (2002). The Gulf of Khambhat debate. </w:t>
      </w:r>
      <w:r w:rsidRPr="00653F38">
        <w:rPr>
          <w:sz w:val="20"/>
          <w:szCs w:val="20"/>
          <w:lang w:val="it-IT"/>
        </w:rPr>
        <w:t>Frontline Magazine, 30 March 2002.</w:t>
      </w:r>
    </w:p>
    <w:p w14:paraId="49BE6E88" w14:textId="77777777" w:rsidR="006633A4" w:rsidRPr="00653F38" w:rsidRDefault="00000000">
      <w:pPr>
        <w:spacing w:after="110"/>
        <w:ind w:left="720" w:hanging="720"/>
      </w:pPr>
      <w:r w:rsidRPr="00653F38">
        <w:rPr>
          <w:sz w:val="20"/>
          <w:szCs w:val="20"/>
          <w:lang w:val="it-IT"/>
        </w:rPr>
        <w:t>Al-</w:t>
      </w:r>
      <w:proofErr w:type="spellStart"/>
      <w:r w:rsidRPr="00653F38">
        <w:rPr>
          <w:sz w:val="20"/>
          <w:szCs w:val="20"/>
          <w:lang w:val="it-IT"/>
        </w:rPr>
        <w:t>Muqdadi</w:t>
      </w:r>
      <w:proofErr w:type="spellEnd"/>
      <w:r w:rsidRPr="00653F38">
        <w:rPr>
          <w:sz w:val="20"/>
          <w:szCs w:val="20"/>
          <w:lang w:val="it-IT"/>
        </w:rPr>
        <w:t xml:space="preserve">, S.W., et al. </w:t>
      </w:r>
      <w:r w:rsidRPr="00653F38">
        <w:rPr>
          <w:sz w:val="20"/>
          <w:szCs w:val="20"/>
        </w:rPr>
        <w:t>(2025). Paleo-shoreline changes in the northwestern Persian Gulf during the Holocene. Quaternary International. ScienceDirect.</w:t>
      </w:r>
    </w:p>
    <w:p w14:paraId="29A32D0D" w14:textId="77777777" w:rsidR="006633A4" w:rsidRPr="00653F38" w:rsidRDefault="00000000">
      <w:pPr>
        <w:spacing w:after="110"/>
        <w:ind w:left="720" w:hanging="720"/>
      </w:pPr>
      <w:r w:rsidRPr="00653F38">
        <w:rPr>
          <w:sz w:val="20"/>
          <w:szCs w:val="20"/>
        </w:rPr>
        <w:t>Badrinarayan, B. (2006). Gulf of Cambay cradle of ancient civilization. Retrieved from Graham Hancock website. [Grey literature; cited for NIOT lead scientist assessment.]</w:t>
      </w:r>
    </w:p>
    <w:p w14:paraId="740416CC" w14:textId="77777777" w:rsidR="006633A4" w:rsidRPr="00653F38" w:rsidRDefault="00000000">
      <w:pPr>
        <w:spacing w:after="110"/>
        <w:ind w:left="720" w:hanging="720"/>
      </w:pPr>
      <w:r w:rsidRPr="00653F38">
        <w:rPr>
          <w:sz w:val="20"/>
          <w:szCs w:val="20"/>
        </w:rPr>
        <w:t>Cauvin, J. (2000). The birth of the gods and the origins of agriculture. Cambridge University Press.</w:t>
      </w:r>
    </w:p>
    <w:p w14:paraId="5BEB9076" w14:textId="77777777" w:rsidR="006633A4" w:rsidRPr="00653F38" w:rsidRDefault="00000000">
      <w:pPr>
        <w:spacing w:after="110"/>
        <w:ind w:left="720" w:hanging="720"/>
      </w:pPr>
      <w:r w:rsidRPr="00653F38">
        <w:rPr>
          <w:sz w:val="20"/>
          <w:szCs w:val="20"/>
        </w:rPr>
        <w:t>Das, S., et al. (2017). Holocene sea-level changes, Gulf of Khambhat region. Quaternary International.</w:t>
      </w:r>
    </w:p>
    <w:p w14:paraId="7711DE8C" w14:textId="77777777" w:rsidR="006633A4" w:rsidRPr="00653F38" w:rsidRDefault="00000000">
      <w:pPr>
        <w:spacing w:after="110"/>
        <w:ind w:left="720" w:hanging="720"/>
      </w:pPr>
      <w:r w:rsidRPr="00653F38">
        <w:rPr>
          <w:sz w:val="20"/>
          <w:szCs w:val="20"/>
        </w:rPr>
        <w:t xml:space="preserve">Das, S., et al. (2022). Stratigraphic and </w:t>
      </w:r>
      <w:proofErr w:type="spellStart"/>
      <w:r w:rsidRPr="00653F38">
        <w:rPr>
          <w:sz w:val="20"/>
          <w:szCs w:val="20"/>
        </w:rPr>
        <w:t>palaeoenvironmental</w:t>
      </w:r>
      <w:proofErr w:type="spellEnd"/>
      <w:r w:rsidRPr="00653F38">
        <w:rPr>
          <w:sz w:val="20"/>
          <w:szCs w:val="20"/>
        </w:rPr>
        <w:t xml:space="preserve"> analyses, Sabarmati River mouth, Gulf of Khambhat. Quaternary International.</w:t>
      </w:r>
    </w:p>
    <w:p w14:paraId="03939F58" w14:textId="77777777" w:rsidR="006633A4" w:rsidRPr="00653F38" w:rsidRDefault="00000000">
      <w:pPr>
        <w:spacing w:after="110"/>
        <w:ind w:left="720" w:hanging="720"/>
      </w:pPr>
      <w:proofErr w:type="spellStart"/>
      <w:r w:rsidRPr="00653F38">
        <w:rPr>
          <w:sz w:val="20"/>
          <w:szCs w:val="20"/>
        </w:rPr>
        <w:t>Galili</w:t>
      </w:r>
      <w:proofErr w:type="spellEnd"/>
      <w:r w:rsidRPr="00653F38">
        <w:rPr>
          <w:sz w:val="20"/>
          <w:szCs w:val="20"/>
        </w:rPr>
        <w:t xml:space="preserve">, E., et al. (2019). A submerged 7000-year-old village and seawall demonstrate earliest known coastal </w:t>
      </w:r>
      <w:proofErr w:type="spellStart"/>
      <w:r w:rsidRPr="00653F38">
        <w:rPr>
          <w:sz w:val="20"/>
          <w:szCs w:val="20"/>
        </w:rPr>
        <w:t>defence</w:t>
      </w:r>
      <w:proofErr w:type="spellEnd"/>
      <w:r w:rsidRPr="00653F38">
        <w:rPr>
          <w:sz w:val="20"/>
          <w:szCs w:val="20"/>
        </w:rPr>
        <w:t xml:space="preserve"> against sea-level rise. PLOS ONE, 14(12), e0222560.</w:t>
      </w:r>
    </w:p>
    <w:p w14:paraId="51549775" w14:textId="77777777" w:rsidR="006633A4" w:rsidRPr="00653F38" w:rsidRDefault="00000000">
      <w:pPr>
        <w:spacing w:after="110"/>
        <w:ind w:left="720" w:hanging="720"/>
      </w:pPr>
      <w:r w:rsidRPr="00653F38">
        <w:rPr>
          <w:sz w:val="20"/>
          <w:szCs w:val="20"/>
        </w:rPr>
        <w:t>Hashimi, N.H., et al. (1995). Holocene sea level curve and related climatic fluctuations for the western Indian continental margin. Journal of the Geological Society of India, 46(2), 157–174.</w:t>
      </w:r>
    </w:p>
    <w:p w14:paraId="35434EF4" w14:textId="77777777" w:rsidR="006633A4" w:rsidRPr="00653F38" w:rsidRDefault="00000000">
      <w:pPr>
        <w:spacing w:after="110"/>
        <w:ind w:left="720" w:hanging="720"/>
      </w:pPr>
      <w:r w:rsidRPr="00653F38">
        <w:rPr>
          <w:sz w:val="20"/>
          <w:szCs w:val="20"/>
        </w:rPr>
        <w:t>Jarrige, J.-F., &amp; Meadow, R. (2008). Mehrgarh: Field reports and excavation summaries.</w:t>
      </w:r>
    </w:p>
    <w:p w14:paraId="7238AC3F" w14:textId="77777777" w:rsidR="006633A4" w:rsidRPr="00653F38" w:rsidRDefault="00000000">
      <w:pPr>
        <w:spacing w:after="110"/>
        <w:ind w:left="720" w:hanging="720"/>
      </w:pPr>
      <w:r w:rsidRPr="00653F38">
        <w:rPr>
          <w:sz w:val="20"/>
          <w:szCs w:val="20"/>
        </w:rPr>
        <w:t xml:space="preserve">Kappelman, J., et al. (2024). Surviving a volcanic </w:t>
      </w:r>
      <w:proofErr w:type="spellStart"/>
      <w:r w:rsidRPr="00653F38">
        <w:rPr>
          <w:sz w:val="20"/>
          <w:szCs w:val="20"/>
        </w:rPr>
        <w:t>supereruption</w:t>
      </w:r>
      <w:proofErr w:type="spellEnd"/>
      <w:r w:rsidRPr="00653F38">
        <w:rPr>
          <w:sz w:val="20"/>
          <w:szCs w:val="20"/>
        </w:rPr>
        <w:t xml:space="preserve"> may have facilitated human dispersal out of Africa. Nature.</w:t>
      </w:r>
    </w:p>
    <w:p w14:paraId="0334E347" w14:textId="77777777" w:rsidR="006633A4" w:rsidRPr="00653F38" w:rsidRDefault="00000000">
      <w:pPr>
        <w:spacing w:after="110"/>
        <w:ind w:left="720" w:hanging="720"/>
      </w:pPr>
      <w:r w:rsidRPr="00653F38">
        <w:rPr>
          <w:sz w:val="20"/>
          <w:szCs w:val="20"/>
        </w:rPr>
        <w:t>Kathiroli, S., et al. (2004). Recent marine archaeological finds in Khambhat, Gujarat. Journal of Indian Ocean Archaeology, 1, 141–149.</w:t>
      </w:r>
    </w:p>
    <w:p w14:paraId="1EFFCDF9" w14:textId="77777777" w:rsidR="006633A4" w:rsidRPr="00653F38" w:rsidRDefault="00000000">
      <w:pPr>
        <w:spacing w:after="110"/>
        <w:ind w:left="720" w:hanging="720"/>
      </w:pPr>
      <w:r w:rsidRPr="00653F38">
        <w:rPr>
          <w:sz w:val="20"/>
          <w:szCs w:val="20"/>
        </w:rPr>
        <w:t>Kenoyer, J.M. (2006). Ancient cities of the Indus Valley Civilization. Oxford University Press.</w:t>
      </w:r>
    </w:p>
    <w:p w14:paraId="568D7F42" w14:textId="77777777" w:rsidR="006633A4" w:rsidRPr="00653F38" w:rsidRDefault="00000000">
      <w:pPr>
        <w:spacing w:after="110"/>
        <w:ind w:left="720" w:hanging="720"/>
      </w:pPr>
      <w:r w:rsidRPr="00653F38">
        <w:rPr>
          <w:sz w:val="20"/>
          <w:szCs w:val="20"/>
        </w:rPr>
        <w:t>Lambeck, K. (1996). Shoreline reconstructions for the Persian Gulf since the last glacial maximum. Earth and Planetary Science Letters, 142(1–2), 43–57.</w:t>
      </w:r>
    </w:p>
    <w:p w14:paraId="0D57E17E" w14:textId="77777777" w:rsidR="006633A4" w:rsidRPr="00653F38" w:rsidRDefault="00000000">
      <w:pPr>
        <w:spacing w:after="110"/>
        <w:ind w:left="720" w:hanging="720"/>
      </w:pPr>
      <w:r w:rsidRPr="00653F38">
        <w:rPr>
          <w:sz w:val="20"/>
          <w:szCs w:val="20"/>
        </w:rPr>
        <w:t>Marshall, J. (1924). Annual Report of the Archaeological Survey of India. Government of India Press.</w:t>
      </w:r>
    </w:p>
    <w:p w14:paraId="7F72626E" w14:textId="77777777" w:rsidR="006633A4" w:rsidRPr="00653F38" w:rsidRDefault="00000000">
      <w:pPr>
        <w:spacing w:after="110"/>
        <w:ind w:left="720" w:hanging="720"/>
      </w:pPr>
      <w:r w:rsidRPr="00653F38">
        <w:rPr>
          <w:sz w:val="20"/>
          <w:szCs w:val="20"/>
        </w:rPr>
        <w:t>Menon, A., et al. (2024). Sea-level limiting points for reconstruction, Gulf of Khambhat. Quaternary Science Reviews.</w:t>
      </w:r>
    </w:p>
    <w:p w14:paraId="623716FC" w14:textId="77777777" w:rsidR="006633A4" w:rsidRPr="00653F38" w:rsidRDefault="00000000">
      <w:pPr>
        <w:spacing w:after="110"/>
        <w:ind w:left="720" w:hanging="720"/>
      </w:pPr>
      <w:r w:rsidRPr="00653F38">
        <w:rPr>
          <w:sz w:val="20"/>
          <w:szCs w:val="20"/>
        </w:rPr>
        <w:t>Morris, J. (2024). Assessment of Gulf of Khambhat findings. [Cited in Ramakrishna Rao, 2025.]</w:t>
      </w:r>
    </w:p>
    <w:p w14:paraId="7679B981" w14:textId="77777777" w:rsidR="006633A4" w:rsidRPr="00653F38" w:rsidRDefault="00000000">
      <w:pPr>
        <w:spacing w:after="110"/>
        <w:ind w:left="720" w:hanging="720"/>
      </w:pPr>
      <w:r w:rsidRPr="00653F38">
        <w:rPr>
          <w:sz w:val="20"/>
          <w:szCs w:val="20"/>
        </w:rPr>
        <w:t>Nayak, S., et al. (2004). Coastal landform mapping around the Gulf of Khambhat using Landsat TM data. Journal of the Indian Society of Remote Sensing, 32(1).</w:t>
      </w:r>
    </w:p>
    <w:p w14:paraId="36CE82A6" w14:textId="77777777" w:rsidR="006633A4" w:rsidRPr="00653F38" w:rsidRDefault="00000000">
      <w:pPr>
        <w:spacing w:after="110"/>
        <w:ind w:left="720" w:hanging="720"/>
      </w:pPr>
      <w:r w:rsidRPr="00653F38">
        <w:rPr>
          <w:sz w:val="20"/>
          <w:szCs w:val="20"/>
        </w:rPr>
        <w:t>Possehl, G.L. (2002). The Indus civilization: A contemporary perspective. Rowman &amp; Littlefield.</w:t>
      </w:r>
    </w:p>
    <w:p w14:paraId="2B76ECA7" w14:textId="77777777" w:rsidR="006633A4" w:rsidRPr="00653F38" w:rsidRDefault="00000000">
      <w:pPr>
        <w:spacing w:after="110"/>
        <w:ind w:left="720" w:hanging="720"/>
      </w:pPr>
      <w:r w:rsidRPr="00653F38">
        <w:rPr>
          <w:sz w:val="20"/>
          <w:szCs w:val="20"/>
        </w:rPr>
        <w:lastRenderedPageBreak/>
        <w:t>Ramakrishna Rao, K.V. (2025). Review of the media reports and research papers on the NIOT survey conducted at the Gulf of Khambhat (Cambay) during 2000, 2001, 2002 and 2024. Academia.edu / ResearchGate.</w:t>
      </w:r>
    </w:p>
    <w:p w14:paraId="0C618E0D" w14:textId="77777777" w:rsidR="006633A4" w:rsidRPr="00653F38" w:rsidRDefault="00000000">
      <w:pPr>
        <w:spacing w:after="110"/>
        <w:ind w:left="720" w:hanging="720"/>
      </w:pPr>
      <w:r w:rsidRPr="00653F38">
        <w:rPr>
          <w:sz w:val="20"/>
          <w:szCs w:val="20"/>
        </w:rPr>
        <w:t>Rose, J.I. (2010). New light on human prehistory in the Arabo-Persian Gulf Oasis. Current Anthropology, 51(6), 849–883.</w:t>
      </w:r>
    </w:p>
    <w:p w14:paraId="159331DC" w14:textId="77777777" w:rsidR="006633A4" w:rsidRPr="00653F38" w:rsidRDefault="00000000">
      <w:pPr>
        <w:spacing w:after="110"/>
        <w:ind w:left="720" w:hanging="720"/>
      </w:pPr>
      <w:r w:rsidRPr="00653F38">
        <w:rPr>
          <w:sz w:val="20"/>
          <w:szCs w:val="20"/>
        </w:rPr>
        <w:t>Sharma, S., et al. (2021). Mid- to late-Holocene relative sea-level changes, Gulf of Khambhat region. Quaternary International.</w:t>
      </w:r>
    </w:p>
    <w:p w14:paraId="4AEC940C" w14:textId="77777777" w:rsidR="006633A4" w:rsidRPr="00653F38" w:rsidRDefault="00000000">
      <w:pPr>
        <w:spacing w:after="110"/>
        <w:ind w:left="720" w:hanging="720"/>
      </w:pPr>
      <w:r w:rsidRPr="00653F38">
        <w:rPr>
          <w:sz w:val="20"/>
          <w:szCs w:val="20"/>
        </w:rPr>
        <w:t>Solanki, H., et al. (2026). Holocene relative sea-level history of the Gulf of Khambhat, Western India: Revisiting regional records with standardized SLIP protocols. Quaternary International. DOI: 10.1016/j.quaint.2026.00049.</w:t>
      </w:r>
    </w:p>
    <w:p w14:paraId="70F86301" w14:textId="77777777" w:rsidR="006633A4" w:rsidRPr="00653F38" w:rsidRDefault="00000000">
      <w:pPr>
        <w:spacing w:after="110"/>
        <w:ind w:left="720" w:hanging="720"/>
      </w:pPr>
      <w:r w:rsidRPr="00653F38">
        <w:rPr>
          <w:sz w:val="20"/>
          <w:szCs w:val="20"/>
        </w:rPr>
        <w:t>Tewari, V.C., et al. (2020). Killing the priest-king: Addressing egalitarianism in the Indus Civilization. Journal of Archaeological Research. Springer Nature.</w:t>
      </w:r>
    </w:p>
    <w:p w14:paraId="03FB049E" w14:textId="77777777" w:rsidR="006633A4" w:rsidRPr="00653F38" w:rsidRDefault="00000000">
      <w:pPr>
        <w:spacing w:after="110"/>
        <w:ind w:left="720" w:hanging="720"/>
      </w:pPr>
      <w:r w:rsidRPr="00653F38">
        <w:rPr>
          <w:sz w:val="20"/>
          <w:szCs w:val="20"/>
        </w:rPr>
        <w:t>Vedpathak, A., et al. (2024). Sea-Level Index Points, Holocene, Gulf of Khambhat. Quaternary Science Reviews.</w:t>
      </w:r>
    </w:p>
    <w:p w14:paraId="4FECE06A" w14:textId="77777777" w:rsidR="006633A4" w:rsidRPr="00653F38" w:rsidRDefault="00000000">
      <w:pPr>
        <w:spacing w:after="110"/>
        <w:ind w:left="720" w:hanging="720"/>
      </w:pPr>
      <w:r w:rsidRPr="00653F38">
        <w:rPr>
          <w:sz w:val="20"/>
          <w:szCs w:val="20"/>
        </w:rPr>
        <w:t xml:space="preserve">Vondoom, A. (2026a). Mehrgarh culture and the origins of deep symbolic stabilization: A DSSM perspective. </w:t>
      </w:r>
      <w:proofErr w:type="spellStart"/>
      <w:r w:rsidRPr="00653F38">
        <w:rPr>
          <w:sz w:val="20"/>
          <w:szCs w:val="20"/>
        </w:rPr>
        <w:t>Figshare</w:t>
      </w:r>
      <w:proofErr w:type="spellEnd"/>
      <w:r w:rsidRPr="00653F38">
        <w:rPr>
          <w:sz w:val="20"/>
          <w:szCs w:val="20"/>
        </w:rPr>
        <w:t xml:space="preserve"> [Preprint]. DOI: [</w:t>
      </w:r>
      <w:proofErr w:type="spellStart"/>
      <w:r w:rsidRPr="00653F38">
        <w:rPr>
          <w:sz w:val="20"/>
          <w:szCs w:val="20"/>
        </w:rPr>
        <w:t>Figshare</w:t>
      </w:r>
      <w:proofErr w:type="spellEnd"/>
      <w:r w:rsidRPr="00653F38">
        <w:rPr>
          <w:sz w:val="20"/>
          <w:szCs w:val="20"/>
        </w:rPr>
        <w:t xml:space="preserve"> DOI].</w:t>
      </w:r>
    </w:p>
    <w:p w14:paraId="4D6A1321" w14:textId="77777777" w:rsidR="006633A4" w:rsidRPr="00653F38" w:rsidRDefault="00000000">
      <w:pPr>
        <w:spacing w:after="110"/>
        <w:ind w:left="720" w:hanging="720"/>
      </w:pPr>
      <w:r w:rsidRPr="00653F38">
        <w:rPr>
          <w:sz w:val="20"/>
          <w:szCs w:val="20"/>
        </w:rPr>
        <w:t>Vondoom, A. (2026b). Cognitive foundations of early Egyptian civilization: Insights from the Deep Symbolic Systems Model (DSSM). IWNW, Vol. 5 (2026), Ain Shams University. DOI: 10.21608/IWNW.2026.464676.1075.</w:t>
      </w:r>
    </w:p>
    <w:p w14:paraId="796CC3E8" w14:textId="77777777" w:rsidR="006633A4" w:rsidRPr="00653F38" w:rsidRDefault="00000000">
      <w:pPr>
        <w:spacing w:after="110"/>
        <w:ind w:left="720" w:hanging="720"/>
      </w:pPr>
      <w:r w:rsidRPr="00653F38">
        <w:rPr>
          <w:sz w:val="20"/>
          <w:szCs w:val="20"/>
        </w:rPr>
        <w:t xml:space="preserve">Vondoom, A. (2026c). Taş </w:t>
      </w:r>
      <w:proofErr w:type="spellStart"/>
      <w:r w:rsidRPr="00653F38">
        <w:rPr>
          <w:sz w:val="20"/>
          <w:szCs w:val="20"/>
        </w:rPr>
        <w:t>Tepeler</w:t>
      </w:r>
      <w:proofErr w:type="spellEnd"/>
      <w:r w:rsidRPr="00653F38">
        <w:rPr>
          <w:sz w:val="20"/>
          <w:szCs w:val="20"/>
        </w:rPr>
        <w:t xml:space="preserve"> landscape: Field Companion Protocol assessment and DSSM evaluation. </w:t>
      </w:r>
      <w:proofErr w:type="spellStart"/>
      <w:r w:rsidRPr="00653F38">
        <w:rPr>
          <w:sz w:val="20"/>
          <w:szCs w:val="20"/>
        </w:rPr>
        <w:t>Figshare</w:t>
      </w:r>
      <w:proofErr w:type="spellEnd"/>
      <w:r w:rsidRPr="00653F38">
        <w:rPr>
          <w:sz w:val="20"/>
          <w:szCs w:val="20"/>
        </w:rPr>
        <w:t xml:space="preserve"> [Preprint]. DOI: 10.6084/m9.figshare.32149396.</w:t>
      </w:r>
    </w:p>
    <w:p w14:paraId="5CA4A333" w14:textId="77777777" w:rsidR="006633A4" w:rsidRPr="00653F38" w:rsidRDefault="006633A4">
      <w:pPr>
        <w:spacing w:after="60"/>
      </w:pPr>
    </w:p>
    <w:sectPr w:rsidR="006633A4" w:rsidRPr="00653F38">
      <w:headerReference w:type="default" r:id="rId7"/>
      <w:footerReference w:type="even"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5A022" w14:textId="77777777" w:rsidR="0038732A" w:rsidRDefault="0038732A" w:rsidP="00E67B6D">
      <w:r>
        <w:separator/>
      </w:r>
    </w:p>
  </w:endnote>
  <w:endnote w:type="continuationSeparator" w:id="0">
    <w:p w14:paraId="633E18FA" w14:textId="77777777" w:rsidR="0038732A" w:rsidRDefault="0038732A" w:rsidP="00E6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082076"/>
      <w:docPartObj>
        <w:docPartGallery w:val="Page Numbers (Bottom of Page)"/>
        <w:docPartUnique/>
      </w:docPartObj>
    </w:sdtPr>
    <w:sdtContent>
      <w:p w14:paraId="63B4493F" w14:textId="1E7B7888" w:rsidR="00E67B6D" w:rsidRDefault="00E67B6D" w:rsidP="00E2502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8E426E0" w14:textId="77777777" w:rsidR="00E67B6D" w:rsidRDefault="00E67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9947763"/>
      <w:docPartObj>
        <w:docPartGallery w:val="Page Numbers (Bottom of Page)"/>
        <w:docPartUnique/>
      </w:docPartObj>
    </w:sdtPr>
    <w:sdtContent>
      <w:p w14:paraId="312207D1" w14:textId="6EF94920" w:rsidR="00E67B6D" w:rsidRDefault="00E67B6D" w:rsidP="00E2502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7EC396" w14:textId="77777777" w:rsidR="00E67B6D" w:rsidRDefault="00E67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C8718" w14:textId="77777777" w:rsidR="0038732A" w:rsidRDefault="0038732A" w:rsidP="00E67B6D">
      <w:r>
        <w:separator/>
      </w:r>
    </w:p>
  </w:footnote>
  <w:footnote w:type="continuationSeparator" w:id="0">
    <w:p w14:paraId="5A9758D8" w14:textId="77777777" w:rsidR="0038732A" w:rsidRDefault="0038732A" w:rsidP="00E67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3E530" w14:textId="7971304D" w:rsidR="00E67B6D" w:rsidRDefault="000C5A4D" w:rsidP="000C5A4D">
    <w:pPr>
      <w:pStyle w:val="Header"/>
      <w:tabs>
        <w:tab w:val="center" w:pos="4513"/>
        <w:tab w:val="left" w:pos="7351"/>
      </w:tabs>
    </w:pPr>
    <w:r>
      <w:tab/>
    </w:r>
    <w:hyperlink r:id="rId1" w:history="1">
      <w:r w:rsidR="00E67B6D" w:rsidRPr="00E2502D">
        <w:rPr>
          <w:rStyle w:val="Hyperlink"/>
        </w:rPr>
        <w:t>https://doi.org/10.6084/m9.figshare.32344539</w:t>
      </w:r>
    </w:hyperlink>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8614FC"/>
    <w:multiLevelType w:val="hybridMultilevel"/>
    <w:tmpl w:val="687855C4"/>
    <w:lvl w:ilvl="0" w:tplc="A9EA09DC">
      <w:start w:val="1"/>
      <w:numFmt w:val="bullet"/>
      <w:lvlText w:val="●"/>
      <w:lvlJc w:val="left"/>
      <w:pPr>
        <w:ind w:left="720" w:hanging="360"/>
      </w:pPr>
    </w:lvl>
    <w:lvl w:ilvl="1" w:tplc="8C3ECDE8">
      <w:start w:val="1"/>
      <w:numFmt w:val="bullet"/>
      <w:lvlText w:val="○"/>
      <w:lvlJc w:val="left"/>
      <w:pPr>
        <w:ind w:left="1440" w:hanging="360"/>
      </w:pPr>
    </w:lvl>
    <w:lvl w:ilvl="2" w:tplc="C40ECF34">
      <w:start w:val="1"/>
      <w:numFmt w:val="bullet"/>
      <w:lvlText w:val="■"/>
      <w:lvlJc w:val="left"/>
      <w:pPr>
        <w:ind w:left="2160" w:hanging="360"/>
      </w:pPr>
    </w:lvl>
    <w:lvl w:ilvl="3" w:tplc="A8FE950E">
      <w:start w:val="1"/>
      <w:numFmt w:val="bullet"/>
      <w:lvlText w:val="●"/>
      <w:lvlJc w:val="left"/>
      <w:pPr>
        <w:ind w:left="2880" w:hanging="360"/>
      </w:pPr>
    </w:lvl>
    <w:lvl w:ilvl="4" w:tplc="E48EC7DC">
      <w:start w:val="1"/>
      <w:numFmt w:val="bullet"/>
      <w:lvlText w:val="○"/>
      <w:lvlJc w:val="left"/>
      <w:pPr>
        <w:ind w:left="3600" w:hanging="360"/>
      </w:pPr>
    </w:lvl>
    <w:lvl w:ilvl="5" w:tplc="C610CB16">
      <w:start w:val="1"/>
      <w:numFmt w:val="bullet"/>
      <w:lvlText w:val="■"/>
      <w:lvlJc w:val="left"/>
      <w:pPr>
        <w:ind w:left="4320" w:hanging="360"/>
      </w:pPr>
    </w:lvl>
    <w:lvl w:ilvl="6" w:tplc="BC5CCEDA">
      <w:start w:val="1"/>
      <w:numFmt w:val="bullet"/>
      <w:lvlText w:val="●"/>
      <w:lvlJc w:val="left"/>
      <w:pPr>
        <w:ind w:left="5040" w:hanging="360"/>
      </w:pPr>
    </w:lvl>
    <w:lvl w:ilvl="7" w:tplc="0FDCC87A">
      <w:start w:val="1"/>
      <w:numFmt w:val="bullet"/>
      <w:lvlText w:val="●"/>
      <w:lvlJc w:val="left"/>
      <w:pPr>
        <w:ind w:left="5760" w:hanging="360"/>
      </w:pPr>
    </w:lvl>
    <w:lvl w:ilvl="8" w:tplc="670C9468">
      <w:start w:val="1"/>
      <w:numFmt w:val="bullet"/>
      <w:lvlText w:val="●"/>
      <w:lvlJc w:val="left"/>
      <w:pPr>
        <w:ind w:left="6480" w:hanging="360"/>
      </w:pPr>
    </w:lvl>
  </w:abstractNum>
  <w:num w:numId="1" w16cid:durableId="16590721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3A4"/>
    <w:rsid w:val="000A0A22"/>
    <w:rsid w:val="000C5A4D"/>
    <w:rsid w:val="0038732A"/>
    <w:rsid w:val="00653F38"/>
    <w:rsid w:val="006633A4"/>
    <w:rsid w:val="006667D6"/>
    <w:rsid w:val="00E67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7CC9F0"/>
  <w15:docId w15:val="{148DC80C-5E36-BC4D-9374-E7576CFF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40" w:after="200"/>
      <w:outlineLvl w:val="0"/>
    </w:pPr>
    <w:rPr>
      <w:b/>
      <w:bCs/>
      <w:color w:val="1F3864"/>
      <w:sz w:val="30"/>
      <w:szCs w:val="30"/>
    </w:rPr>
  </w:style>
  <w:style w:type="paragraph" w:styleId="Heading2">
    <w:name w:val="heading 2"/>
    <w:uiPriority w:val="9"/>
    <w:unhideWhenUsed/>
    <w:qFormat/>
    <w:pPr>
      <w:spacing w:before="300" w:after="140"/>
      <w:outlineLvl w:val="1"/>
    </w:pPr>
    <w:rPr>
      <w:b/>
      <w:bCs/>
      <w:color w:val="2E5394"/>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E67B6D"/>
    <w:rPr>
      <w:color w:val="605E5C"/>
      <w:shd w:val="clear" w:color="auto" w:fill="E1DFDD"/>
    </w:rPr>
  </w:style>
  <w:style w:type="paragraph" w:styleId="Footer">
    <w:name w:val="footer"/>
    <w:basedOn w:val="Normal"/>
    <w:link w:val="FooterChar"/>
    <w:uiPriority w:val="99"/>
    <w:unhideWhenUsed/>
    <w:rsid w:val="00E67B6D"/>
    <w:pPr>
      <w:tabs>
        <w:tab w:val="center" w:pos="4680"/>
        <w:tab w:val="right" w:pos="9360"/>
      </w:tabs>
    </w:pPr>
  </w:style>
  <w:style w:type="character" w:customStyle="1" w:styleId="FooterChar">
    <w:name w:val="Footer Char"/>
    <w:basedOn w:val="DefaultParagraphFont"/>
    <w:link w:val="Footer"/>
    <w:uiPriority w:val="99"/>
    <w:rsid w:val="00E67B6D"/>
  </w:style>
  <w:style w:type="character" w:styleId="PageNumber">
    <w:name w:val="page number"/>
    <w:basedOn w:val="DefaultParagraphFont"/>
    <w:uiPriority w:val="99"/>
    <w:semiHidden/>
    <w:unhideWhenUsed/>
    <w:rsid w:val="00E67B6D"/>
  </w:style>
  <w:style w:type="paragraph" w:styleId="Header">
    <w:name w:val="header"/>
    <w:basedOn w:val="Normal"/>
    <w:link w:val="HeaderChar"/>
    <w:uiPriority w:val="99"/>
    <w:unhideWhenUsed/>
    <w:rsid w:val="00E67B6D"/>
    <w:pPr>
      <w:tabs>
        <w:tab w:val="center" w:pos="4680"/>
        <w:tab w:val="right" w:pos="9360"/>
      </w:tabs>
    </w:pPr>
  </w:style>
  <w:style w:type="character" w:customStyle="1" w:styleId="HeaderChar">
    <w:name w:val="Header Char"/>
    <w:basedOn w:val="DefaultParagraphFont"/>
    <w:link w:val="Header"/>
    <w:uiPriority w:val="99"/>
    <w:rsid w:val="00E67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s://doi.org/10.6084/m9.figshare.323445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4801</Words>
  <Characters>30394</Characters>
  <Application>Microsoft Office Word</Application>
  <DocSecurity>0</DocSecurity>
  <Lines>506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anthony vondoom</cp:lastModifiedBy>
  <cp:revision>3</cp:revision>
  <cp:lastPrinted>2026-05-21T07:36:00Z</cp:lastPrinted>
  <dcterms:created xsi:type="dcterms:W3CDTF">2026-05-21T07:43:00Z</dcterms:created>
  <dcterms:modified xsi:type="dcterms:W3CDTF">2026-05-21T11:51:00Z</dcterms:modified>
</cp:coreProperties>
</file>