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BE9B" w14:textId="77777777" w:rsidR="00963DBA" w:rsidRDefault="00963DBA">
      <w:pPr>
        <w:spacing w:before="200" w:after="200"/>
      </w:pPr>
    </w:p>
    <w:p w14:paraId="34DD047F" w14:textId="77777777" w:rsidR="00963DBA" w:rsidRDefault="00000000">
      <w:pPr>
        <w:spacing w:after="80"/>
        <w:jc w:val="center"/>
      </w:pPr>
      <w:r>
        <w:rPr>
          <w:b/>
          <w:bCs/>
          <w:color w:val="1A1A2E"/>
          <w:sz w:val="48"/>
          <w:szCs w:val="48"/>
        </w:rPr>
        <w:t>SYMBOLIC SUFFICIENCY AND THE ARCHITECTURE BOTTLENECK</w:t>
      </w:r>
    </w:p>
    <w:p w14:paraId="1E023ADB" w14:textId="77777777" w:rsidR="00963DBA" w:rsidRDefault="00000000">
      <w:pPr>
        <w:spacing w:after="60"/>
        <w:jc w:val="center"/>
      </w:pPr>
      <w:r>
        <w:rPr>
          <w:i/>
          <w:iCs/>
          <w:color w:val="444444"/>
          <w:sz w:val="27"/>
          <w:szCs w:val="27"/>
        </w:rPr>
        <w:t>How Civilizations Transmit Knowledge, Why They Lose It,</w:t>
      </w:r>
    </w:p>
    <w:p w14:paraId="5698984F" w14:textId="77777777" w:rsidR="00963DBA" w:rsidRDefault="00000000">
      <w:pPr>
        <w:spacing w:after="200"/>
        <w:jc w:val="center"/>
        <w:rPr>
          <w:i/>
          <w:iCs/>
          <w:color w:val="444444"/>
          <w:sz w:val="27"/>
          <w:szCs w:val="27"/>
        </w:rPr>
      </w:pPr>
      <w:r>
        <w:rPr>
          <w:i/>
          <w:iCs/>
          <w:color w:val="444444"/>
          <w:sz w:val="27"/>
          <w:szCs w:val="27"/>
        </w:rPr>
        <w:t>and What the Destruction of Alexandria Still Costs Us</w:t>
      </w:r>
    </w:p>
    <w:p w14:paraId="52F42BD1" w14:textId="77777777" w:rsidR="00DD3FED" w:rsidRDefault="00DD3FED">
      <w:pPr>
        <w:spacing w:after="200"/>
        <w:jc w:val="center"/>
        <w:rPr>
          <w:i/>
          <w:iCs/>
          <w:color w:val="444444"/>
          <w:sz w:val="27"/>
          <w:szCs w:val="27"/>
        </w:rPr>
      </w:pPr>
    </w:p>
    <w:p w14:paraId="0656CCFD" w14:textId="77777777" w:rsidR="00DD3FED" w:rsidRDefault="00DD3FED">
      <w:pPr>
        <w:spacing w:after="200"/>
        <w:jc w:val="center"/>
        <w:rPr>
          <w:i/>
          <w:iCs/>
          <w:color w:val="444444"/>
          <w:sz w:val="27"/>
          <w:szCs w:val="27"/>
        </w:rPr>
      </w:pPr>
    </w:p>
    <w:p w14:paraId="3C188C1D" w14:textId="77777777" w:rsidR="00DD3FED" w:rsidRDefault="00DD3FED">
      <w:pPr>
        <w:spacing w:after="200"/>
        <w:jc w:val="center"/>
        <w:rPr>
          <w:i/>
          <w:iCs/>
          <w:color w:val="444444"/>
          <w:sz w:val="27"/>
          <w:szCs w:val="27"/>
        </w:rPr>
      </w:pPr>
    </w:p>
    <w:p w14:paraId="413D00FA" w14:textId="77777777" w:rsidR="00DD3FED" w:rsidRDefault="00DD3FED">
      <w:pPr>
        <w:spacing w:after="200"/>
        <w:jc w:val="center"/>
        <w:rPr>
          <w:i/>
          <w:iCs/>
          <w:color w:val="444444"/>
          <w:sz w:val="27"/>
          <w:szCs w:val="27"/>
        </w:rPr>
      </w:pPr>
    </w:p>
    <w:p w14:paraId="366BB27B" w14:textId="77777777" w:rsidR="00DD3FED" w:rsidRDefault="00DD3FED">
      <w:pPr>
        <w:spacing w:after="200"/>
        <w:jc w:val="center"/>
        <w:rPr>
          <w:i/>
          <w:iCs/>
          <w:color w:val="444444"/>
          <w:sz w:val="27"/>
          <w:szCs w:val="27"/>
        </w:rPr>
      </w:pPr>
    </w:p>
    <w:p w14:paraId="243B1AF5" w14:textId="77777777" w:rsidR="00DD3FED" w:rsidRDefault="00DD3FED">
      <w:pPr>
        <w:spacing w:after="200"/>
        <w:jc w:val="center"/>
        <w:rPr>
          <w:i/>
          <w:iCs/>
          <w:color w:val="444444"/>
          <w:sz w:val="27"/>
          <w:szCs w:val="27"/>
        </w:rPr>
      </w:pPr>
    </w:p>
    <w:p w14:paraId="50FCF797" w14:textId="77777777" w:rsidR="00DD3FED" w:rsidRDefault="00DD3FED">
      <w:pPr>
        <w:spacing w:after="200"/>
        <w:jc w:val="center"/>
        <w:rPr>
          <w:i/>
          <w:iCs/>
          <w:color w:val="444444"/>
          <w:sz w:val="27"/>
          <w:szCs w:val="27"/>
        </w:rPr>
      </w:pPr>
    </w:p>
    <w:p w14:paraId="5E0B74BB" w14:textId="77777777" w:rsidR="00DD3FED" w:rsidRDefault="00DD3FED">
      <w:pPr>
        <w:spacing w:after="200"/>
        <w:jc w:val="center"/>
        <w:rPr>
          <w:i/>
          <w:iCs/>
          <w:color w:val="444444"/>
          <w:sz w:val="27"/>
          <w:szCs w:val="27"/>
        </w:rPr>
      </w:pPr>
    </w:p>
    <w:p w14:paraId="62C808B4" w14:textId="77777777" w:rsidR="00DD3FED" w:rsidRDefault="00DD3FED">
      <w:pPr>
        <w:spacing w:after="200"/>
        <w:jc w:val="center"/>
        <w:rPr>
          <w:i/>
          <w:iCs/>
          <w:color w:val="444444"/>
          <w:sz w:val="27"/>
          <w:szCs w:val="27"/>
        </w:rPr>
      </w:pPr>
    </w:p>
    <w:p w14:paraId="1770D120" w14:textId="77777777" w:rsidR="00DD3FED" w:rsidRDefault="00DD3FED">
      <w:pPr>
        <w:spacing w:after="200"/>
        <w:jc w:val="center"/>
        <w:rPr>
          <w:i/>
          <w:iCs/>
          <w:color w:val="444444"/>
          <w:sz w:val="27"/>
          <w:szCs w:val="27"/>
        </w:rPr>
      </w:pPr>
    </w:p>
    <w:p w14:paraId="2B3AE6B4" w14:textId="3017A00E" w:rsidR="00DD3FED" w:rsidRDefault="00AA044C">
      <w:pPr>
        <w:spacing w:after="200"/>
        <w:jc w:val="center"/>
        <w:rPr>
          <w:i/>
          <w:iCs/>
          <w:color w:val="444444"/>
          <w:sz w:val="27"/>
          <w:szCs w:val="27"/>
        </w:rPr>
      </w:pPr>
      <w:r>
        <w:rPr>
          <w:i/>
          <w:iCs/>
          <w:color w:val="444444"/>
          <w:sz w:val="27"/>
          <w:szCs w:val="27"/>
        </w:rPr>
        <w:t xml:space="preserve">2026 </w:t>
      </w:r>
      <w:proofErr w:type="spellStart"/>
      <w:r>
        <w:rPr>
          <w:i/>
          <w:iCs/>
          <w:color w:val="444444"/>
          <w:sz w:val="27"/>
          <w:szCs w:val="27"/>
        </w:rPr>
        <w:t>Figshare</w:t>
      </w:r>
      <w:proofErr w:type="spellEnd"/>
    </w:p>
    <w:p w14:paraId="393456EB" w14:textId="286022C4" w:rsidR="00AA044C" w:rsidRDefault="00AA044C">
      <w:pPr>
        <w:spacing w:after="200"/>
        <w:jc w:val="center"/>
        <w:rPr>
          <w:i/>
          <w:iCs/>
          <w:color w:val="444444"/>
          <w:sz w:val="27"/>
          <w:szCs w:val="27"/>
        </w:rPr>
      </w:pPr>
      <w:hyperlink r:id="rId7" w:history="1">
        <w:r w:rsidRPr="00F23578">
          <w:rPr>
            <w:rStyle w:val="Hyperlink"/>
            <w:i/>
            <w:iCs/>
            <w:sz w:val="27"/>
            <w:szCs w:val="27"/>
          </w:rPr>
          <w:t>https://doi.org/10.6084/m9.figshare.32325282</w:t>
        </w:r>
      </w:hyperlink>
      <w:r>
        <w:rPr>
          <w:i/>
          <w:iCs/>
          <w:color w:val="444444"/>
          <w:sz w:val="27"/>
          <w:szCs w:val="27"/>
        </w:rPr>
        <w:t xml:space="preserve"> </w:t>
      </w:r>
    </w:p>
    <w:p w14:paraId="670EBB92" w14:textId="77777777" w:rsidR="00DD3FED" w:rsidRDefault="00DD3FED">
      <w:pPr>
        <w:spacing w:after="200"/>
        <w:jc w:val="center"/>
        <w:rPr>
          <w:i/>
          <w:iCs/>
          <w:color w:val="444444"/>
          <w:sz w:val="27"/>
          <w:szCs w:val="27"/>
        </w:rPr>
      </w:pPr>
    </w:p>
    <w:p w14:paraId="72BF3817" w14:textId="77777777" w:rsidR="00DD3FED" w:rsidRDefault="00DD3FED">
      <w:pPr>
        <w:spacing w:after="200"/>
        <w:jc w:val="center"/>
        <w:rPr>
          <w:i/>
          <w:iCs/>
          <w:color w:val="444444"/>
          <w:sz w:val="27"/>
          <w:szCs w:val="27"/>
        </w:rPr>
      </w:pPr>
    </w:p>
    <w:p w14:paraId="6CC4EA3B" w14:textId="77777777" w:rsidR="00DD3FED" w:rsidRDefault="00DD3FED">
      <w:pPr>
        <w:spacing w:after="200"/>
        <w:jc w:val="center"/>
        <w:rPr>
          <w:i/>
          <w:iCs/>
          <w:color w:val="444444"/>
          <w:sz w:val="27"/>
          <w:szCs w:val="27"/>
        </w:rPr>
      </w:pPr>
    </w:p>
    <w:p w14:paraId="091AA4E8" w14:textId="77777777" w:rsidR="00DD3FED" w:rsidRDefault="00DD3FED">
      <w:pPr>
        <w:spacing w:after="200"/>
        <w:jc w:val="center"/>
        <w:rPr>
          <w:i/>
          <w:iCs/>
          <w:color w:val="444444"/>
          <w:sz w:val="27"/>
          <w:szCs w:val="27"/>
        </w:rPr>
      </w:pPr>
    </w:p>
    <w:p w14:paraId="325916F0" w14:textId="77777777" w:rsidR="00DD3FED" w:rsidRDefault="00DD3FED">
      <w:pPr>
        <w:spacing w:after="200"/>
        <w:jc w:val="center"/>
        <w:rPr>
          <w:i/>
          <w:iCs/>
          <w:color w:val="444444"/>
          <w:sz w:val="27"/>
          <w:szCs w:val="27"/>
        </w:rPr>
      </w:pPr>
    </w:p>
    <w:p w14:paraId="6EB0175D" w14:textId="77777777" w:rsidR="00DD3FED" w:rsidRDefault="00DD3FED">
      <w:pPr>
        <w:spacing w:after="200"/>
        <w:jc w:val="center"/>
        <w:rPr>
          <w:i/>
          <w:iCs/>
          <w:color w:val="444444"/>
          <w:sz w:val="27"/>
          <w:szCs w:val="27"/>
        </w:rPr>
      </w:pPr>
    </w:p>
    <w:p w14:paraId="03D852ED" w14:textId="77777777" w:rsidR="00DD3FED" w:rsidRDefault="00DD3FED">
      <w:pPr>
        <w:spacing w:after="200"/>
        <w:jc w:val="center"/>
      </w:pPr>
    </w:p>
    <w:p w14:paraId="3717E3BE" w14:textId="77777777" w:rsidR="00963DBA" w:rsidRDefault="00000000">
      <w:pPr>
        <w:spacing w:after="60"/>
        <w:jc w:val="center"/>
      </w:pPr>
      <w:r>
        <w:rPr>
          <w:b/>
          <w:bCs/>
          <w:color w:val="1A1A2E"/>
          <w:sz w:val="28"/>
          <w:szCs w:val="28"/>
        </w:rPr>
        <w:t>Anthony Vondoom</w:t>
      </w:r>
    </w:p>
    <w:p w14:paraId="2A88D015" w14:textId="77777777" w:rsidR="00963DBA" w:rsidRDefault="00000000">
      <w:pPr>
        <w:spacing w:after="40"/>
        <w:jc w:val="center"/>
      </w:pPr>
      <w:r>
        <w:rPr>
          <w:color w:val="666666"/>
          <w:sz w:val="20"/>
          <w:szCs w:val="20"/>
        </w:rPr>
        <w:t>ORCID: 0009-0003-4953-1427</w:t>
      </w:r>
    </w:p>
    <w:p w14:paraId="5DA38A39" w14:textId="77777777" w:rsidR="00963DBA" w:rsidRDefault="00000000">
      <w:pPr>
        <w:spacing w:after="40"/>
        <w:jc w:val="center"/>
      </w:pPr>
      <w:r>
        <w:rPr>
          <w:color w:val="666666"/>
          <w:sz w:val="20"/>
          <w:szCs w:val="20"/>
        </w:rPr>
        <w:t>Independent Researcher | Deep Symbolic Systems Model (DSSM)</w:t>
      </w:r>
    </w:p>
    <w:p w14:paraId="65FA8951" w14:textId="77777777" w:rsidR="00963DBA" w:rsidRDefault="00000000">
      <w:pPr>
        <w:spacing w:after="40"/>
        <w:jc w:val="center"/>
      </w:pPr>
      <w:proofErr w:type="spellStart"/>
      <w:r>
        <w:rPr>
          <w:color w:val="666666"/>
          <w:sz w:val="20"/>
          <w:szCs w:val="20"/>
        </w:rPr>
        <w:t>Sirmione</w:t>
      </w:r>
      <w:proofErr w:type="spellEnd"/>
      <w:r>
        <w:rPr>
          <w:color w:val="666666"/>
          <w:sz w:val="20"/>
          <w:szCs w:val="20"/>
        </w:rPr>
        <w:t xml:space="preserve">, </w:t>
      </w:r>
      <w:proofErr w:type="gramStart"/>
      <w:r>
        <w:rPr>
          <w:color w:val="666666"/>
          <w:sz w:val="20"/>
          <w:szCs w:val="20"/>
        </w:rPr>
        <w:t>Italy  |</w:t>
      </w:r>
      <w:proofErr w:type="gramEnd"/>
      <w:r>
        <w:rPr>
          <w:color w:val="666666"/>
          <w:sz w:val="20"/>
          <w:szCs w:val="20"/>
        </w:rPr>
        <w:t xml:space="preserve">  anthony.vondoom@outlook.com</w:t>
      </w:r>
    </w:p>
    <w:p w14:paraId="5772D5BF" w14:textId="77777777" w:rsidR="00963DBA" w:rsidRDefault="00000000">
      <w:pPr>
        <w:spacing w:after="200"/>
        <w:jc w:val="center"/>
      </w:pPr>
      <w:r>
        <w:rPr>
          <w:color w:val="666666"/>
          <w:sz w:val="20"/>
          <w:szCs w:val="20"/>
        </w:rPr>
        <w:t>May 2026</w:t>
      </w:r>
    </w:p>
    <w:p w14:paraId="7C9AD3D5" w14:textId="77777777" w:rsidR="00963DBA" w:rsidRDefault="00963DBA">
      <w:pPr>
        <w:spacing w:before="80" w:after="80"/>
      </w:pPr>
    </w:p>
    <w:p w14:paraId="5ABD9BB9" w14:textId="77777777" w:rsidR="00963DBA" w:rsidRDefault="00000000">
      <w:pPr>
        <w:spacing w:after="80"/>
      </w:pPr>
      <w:r>
        <w:rPr>
          <w:b/>
          <w:bCs/>
          <w:color w:val="1A1A2E"/>
          <w:sz w:val="24"/>
          <w:szCs w:val="24"/>
        </w:rPr>
        <w:t>Abstract</w:t>
      </w:r>
    </w:p>
    <w:p w14:paraId="370BE019" w14:textId="77777777" w:rsidR="00963DBA" w:rsidRDefault="00000000">
      <w:pPr>
        <w:spacing w:after="120" w:line="310" w:lineRule="auto"/>
        <w:ind w:left="360" w:right="360"/>
        <w:jc w:val="both"/>
      </w:pPr>
      <w:r>
        <w:rPr>
          <w:color w:val="333333"/>
          <w:sz w:val="21"/>
          <w:szCs w:val="21"/>
        </w:rPr>
        <w:t>Across the full span of human civilizational history, the transmission of knowledge between cultures has followed a consistent but undertheorized pattern: the absorbing culture tends to acquire the procedural outputs of a symbolically richer predecessor while losing, suppressing, or failing to preserve the explanatory architecture that made those outputs legible. This paper introduces the Symbolic Sufficiency and Architecture Bottleneck (SSAB) principle as a formal extension of the Deep Symbolic Systems Model (DSSM; Vondoom, 2025a): the primary transmission bottleneck in civilizational knowledge transfer is architectural rather than procedural — concerning the conceptual framework that explains why procedures work, not merely how to execute them. Drawing on the Vinca culture (c. 5700-4500 BCE) as the earliest documented case of portable cognitive compression (Vondoom, 2026a; 2026b; 2026c), the Egypt-Greece-Rome transmission chain as the primary historical sequence (Vondoom, 2026d; 2026e), the destruction of the Library of Alexandria as a pivotal architectural erasure event, and the United States as a structurally instructive negative case, this paper argues that civilizational stability, knowledge transmission fidelity, and institutional durability are functions of whether absorbing cultures merge with or erase the symbolic architecture of their predecessors. The contemporary case of AI-assisted cognition is examined as a real-time demonstration of the same principle: symbolic sufficiency in the conceptual domain enables procedural leverage through available tools, suggesting that the bottleneck has not changed across this span of history. Implications for historiography, the science of civilizational stability, and contemporary knowledge preservation are discussed.</w:t>
      </w:r>
    </w:p>
    <w:p w14:paraId="5DA0FB64" w14:textId="77777777" w:rsidR="00963DBA" w:rsidRDefault="00963DBA">
      <w:pPr>
        <w:spacing w:before="40" w:after="40"/>
      </w:pPr>
    </w:p>
    <w:p w14:paraId="03D92324" w14:textId="77777777" w:rsidR="00963DBA" w:rsidRDefault="00000000">
      <w:pPr>
        <w:spacing w:after="80"/>
        <w:ind w:left="360" w:right="360"/>
      </w:pPr>
      <w:r>
        <w:rPr>
          <w:b/>
          <w:bCs/>
          <w:sz w:val="20"/>
          <w:szCs w:val="20"/>
        </w:rPr>
        <w:t xml:space="preserve">Keywords: </w:t>
      </w:r>
      <w:r>
        <w:rPr>
          <w:i/>
          <w:iCs/>
          <w:sz w:val="20"/>
          <w:szCs w:val="20"/>
        </w:rPr>
        <w:t>Deep Symbolic Systems Model; symbolic transmission; architecture bottleneck; civilizational knowledge transfer; Library of Alexandria; Vinca culture; symbolic sufficiency; institutional fragility; protocol power; AI-assisted cognition; DSSM</w:t>
      </w:r>
    </w:p>
    <w:p w14:paraId="3C25E090" w14:textId="77777777" w:rsidR="00963DBA" w:rsidRDefault="00963DBA">
      <w:pPr>
        <w:spacing w:before="40" w:after="40"/>
      </w:pPr>
    </w:p>
    <w:p w14:paraId="1424CEE7" w14:textId="77777777" w:rsidR="00963DBA" w:rsidRDefault="00000000">
      <w:pPr>
        <w:spacing w:after="80"/>
        <w:ind w:left="360" w:right="360"/>
      </w:pPr>
      <w:r>
        <w:rPr>
          <w:i/>
          <w:iCs/>
          <w:color w:val="777777"/>
          <w:sz w:val="19"/>
          <w:szCs w:val="19"/>
        </w:rPr>
        <w:t>This paper synthesizes and extends the author's previously published DSSM corpus. It introduces no empirically novel claims beyond those already established in the cited preprints. All citations refer to entries in the reference list. AI assistance transparently disclosed.</w:t>
      </w:r>
    </w:p>
    <w:p w14:paraId="33C65767" w14:textId="77777777" w:rsidR="00963DBA" w:rsidRDefault="00963DBA">
      <w:pPr>
        <w:spacing w:before="60" w:after="60"/>
      </w:pPr>
    </w:p>
    <w:p w14:paraId="098F88F6" w14:textId="77777777" w:rsidR="00DD3FED" w:rsidRDefault="00DD3FED">
      <w:pPr>
        <w:spacing w:before="60" w:after="60"/>
      </w:pPr>
    </w:p>
    <w:p w14:paraId="46C55DDE" w14:textId="77777777" w:rsidR="00DD3FED" w:rsidRDefault="00DD3FED">
      <w:pPr>
        <w:spacing w:before="60" w:after="60"/>
      </w:pPr>
    </w:p>
    <w:p w14:paraId="7D2735C0" w14:textId="77777777" w:rsidR="00DD3FED" w:rsidRDefault="00DD3FED">
      <w:pPr>
        <w:spacing w:before="60" w:after="60"/>
      </w:pPr>
    </w:p>
    <w:p w14:paraId="6DD60CC4" w14:textId="77777777" w:rsidR="00DD3FED" w:rsidRDefault="00DD3FED">
      <w:pPr>
        <w:spacing w:before="60" w:after="60"/>
      </w:pPr>
    </w:p>
    <w:p w14:paraId="76B52DEE" w14:textId="77777777" w:rsidR="00DD3FED" w:rsidRDefault="00DD3FED">
      <w:pPr>
        <w:spacing w:before="60" w:after="60"/>
      </w:pPr>
    </w:p>
    <w:p w14:paraId="3EF3BDA5" w14:textId="77777777" w:rsidR="00DD3FED" w:rsidRDefault="00DD3FED">
      <w:pPr>
        <w:spacing w:before="60" w:after="60"/>
      </w:pPr>
    </w:p>
    <w:p w14:paraId="6E9FB56C" w14:textId="77777777" w:rsidR="00DD3FED" w:rsidRDefault="00DD3FED">
      <w:pPr>
        <w:spacing w:before="60" w:after="60"/>
      </w:pPr>
    </w:p>
    <w:p w14:paraId="1453DCEE" w14:textId="77777777" w:rsidR="00DD3FED" w:rsidRDefault="00DD3FED">
      <w:pPr>
        <w:spacing w:before="60" w:after="60"/>
      </w:pPr>
    </w:p>
    <w:p w14:paraId="2CC8CE61" w14:textId="77777777" w:rsidR="00DD3FED" w:rsidRDefault="00DD3FED">
      <w:pPr>
        <w:spacing w:before="60" w:after="60"/>
      </w:pPr>
    </w:p>
    <w:p w14:paraId="1D1BEC7B" w14:textId="77777777" w:rsidR="00DD3FED" w:rsidRDefault="00DD3FED">
      <w:pPr>
        <w:spacing w:before="60" w:after="60"/>
      </w:pPr>
    </w:p>
    <w:p w14:paraId="20969C92" w14:textId="77777777" w:rsidR="00DD3FED" w:rsidRDefault="00DD3FED">
      <w:pPr>
        <w:spacing w:before="60" w:after="60"/>
      </w:pPr>
    </w:p>
    <w:p w14:paraId="44039A67" w14:textId="77777777" w:rsidR="00DD3FED" w:rsidRDefault="00DD3FED">
      <w:pPr>
        <w:spacing w:before="60" w:after="60"/>
      </w:pPr>
    </w:p>
    <w:p w14:paraId="1A9CBCF7" w14:textId="77777777" w:rsidR="00DD3FED" w:rsidRDefault="00DD3FED">
      <w:pPr>
        <w:spacing w:before="60" w:after="60"/>
      </w:pPr>
    </w:p>
    <w:p w14:paraId="3E380DC5" w14:textId="77777777" w:rsidR="00DD3FED" w:rsidRDefault="00DD3FED">
      <w:pPr>
        <w:spacing w:before="60" w:after="60"/>
      </w:pPr>
    </w:p>
    <w:p w14:paraId="319526B2" w14:textId="77777777" w:rsidR="00DD3FED" w:rsidRDefault="00DD3FED">
      <w:pPr>
        <w:spacing w:before="60" w:after="60"/>
      </w:pPr>
    </w:p>
    <w:p w14:paraId="5B13DC63" w14:textId="77777777" w:rsidR="00963DBA" w:rsidRDefault="00000000">
      <w:pPr>
        <w:pStyle w:val="Heading1"/>
      </w:pPr>
      <w:r>
        <w:t>1. The Problem That History Has Not Named</w:t>
      </w:r>
    </w:p>
    <w:p w14:paraId="23FAB73B" w14:textId="77777777" w:rsidR="00963DBA" w:rsidRDefault="00000000">
      <w:pPr>
        <w:spacing w:before="80" w:after="120" w:line="320" w:lineRule="auto"/>
        <w:jc w:val="both"/>
      </w:pPr>
      <w:r>
        <w:t>There is a question that sits beneath the standard narrative of Western civilization, left largely unasked because the narrative has arranged itself so that it cannot be asked within its own terms. The question is this: if the Greeks were the originators of philosophy, mathematics, and rational inquiry, why did they say — consistently, publicly, and without apparent embarrassment — that they learned these things from Egypt? And if Rome conquered Greece militarily, why did Rome immediately begin educating its children in Athens, adopting Greek philosophy wholesale, and relabeling the Greek pantheon with Latin names?</w:t>
      </w:r>
    </w:p>
    <w:p w14:paraId="6454102C" w14:textId="77777777" w:rsidR="00963DBA" w:rsidRDefault="00000000">
      <w:pPr>
        <w:spacing w:before="80" w:after="120" w:line="320" w:lineRule="auto"/>
        <w:jc w:val="both"/>
      </w:pPr>
      <w:r>
        <w:t xml:space="preserve">The standard historiographical answer is that intellectual borrowing is normal and unproblematic, and that the downstream tradition retains credit for what it builds on a borrowed foundation. But this answer obscures something important. The Deep Symbolic Systems Model holds that civilization advances through the recursive stabilization of embodied practices into durable symbolic systems — that what a civilization transmits is not merely its products but the cognitive and institutional infrastructure through which those products were generated (Vondoom, 2025a). On this account, intellectual borrowing is not a neutral act. It is a transfer of symbolic architecture across a bottleneck, and what passes through that bottleneck and what does not </w:t>
      </w:r>
      <w:proofErr w:type="gramStart"/>
      <w:r>
        <w:t>determines</w:t>
      </w:r>
      <w:proofErr w:type="gramEnd"/>
      <w:r>
        <w:t xml:space="preserve"> much of what the receiving civilization can subsequently build.</w:t>
      </w:r>
    </w:p>
    <w:p w14:paraId="07FD5B9A" w14:textId="77777777" w:rsidR="00963DBA" w:rsidRDefault="00000000">
      <w:pPr>
        <w:spacing w:before="80" w:after="120" w:line="320" w:lineRule="auto"/>
        <w:jc w:val="both"/>
      </w:pPr>
      <w:r>
        <w:t>If the Greeks drew mathematical foundations substantially from Egypt, then the standard history of mathematics does not begin where it is conventionally dated — a claim that this paper, following the sources it draws on, argues is supported by the primary textual evidence. If Roman philosophy is substantially derived from Greek schools, and Greek philosophy drew heavily from Egyptian temple education, then the intellectual lineage that European civilization traces back to Athens traces back, in significant part, to the Nile. And if the Library of Alexandria — which sat at the precise geographic and temporal intersection of Egyptian, Greek, and Roman knowledge systems — was progressively destroyed over several centuries through military action, political suppression, religious purging, and administrative neglect, then what was in that library is not a curiosity of intellectual history. It is one of the most consequential open questions in the history of human civilization.</w:t>
      </w:r>
    </w:p>
    <w:p w14:paraId="1DAFE0D7" w14:textId="77777777" w:rsidR="00963DBA" w:rsidRDefault="00000000">
      <w:pPr>
        <w:spacing w:before="80" w:after="120" w:line="320" w:lineRule="auto"/>
        <w:jc w:val="both"/>
      </w:pPr>
      <w:r>
        <w:t>This paper argues that these questions share a structural answer derivable from and extending the DSSM: the transmission of knowledge between civilizations operates through a bottleneck that is primarily architectural rather than procedural. What tends to get transmitted is the surface layer — the practices, the techniques, the institutional forms. What tends to be lost is the explanatory architecture: the conceptual framework that explains why the practices work, where they came from, and what cognitive and social conditions generated them. When that architecture survives, knowledge can compound across civilizational contact. When it is destroyed or lost, practices risk becoming ritual — continued without full comprehension — and the knowledge becomes progressively less generative even if the procedures persist (Vondoom, 2026d; 2026e).</w:t>
      </w:r>
    </w:p>
    <w:p w14:paraId="7F514CED" w14:textId="77777777" w:rsidR="00963DBA" w:rsidRDefault="00000000">
      <w:pPr>
        <w:spacing w:before="80" w:after="120" w:line="320" w:lineRule="auto"/>
        <w:jc w:val="both"/>
      </w:pPr>
      <w:r>
        <w:lastRenderedPageBreak/>
        <w:t xml:space="preserve">This is the Symbolic Sufficiency and Architecture Bottleneck (SSAB) principle. It is a structural prediction derived from DSSM's account of how symbolic systems stabilize and transmit across generations and cultural boundaries. It generates testable predictions about which civilizational transmissions should compound </w:t>
      </w:r>
      <w:proofErr w:type="gramStart"/>
      <w:r>
        <w:t>knowledge</w:t>
      </w:r>
      <w:proofErr w:type="gramEnd"/>
      <w:r>
        <w:t xml:space="preserve"> and which should degrade it. The historical record, read through DSSM, is consistent with those predictions in ways the standard narrative has difficulty explaining.</w:t>
      </w:r>
    </w:p>
    <w:p w14:paraId="6D012278" w14:textId="77777777" w:rsidR="00963DBA" w:rsidRDefault="00963DBA">
      <w:pPr>
        <w:spacing w:before="60" w:after="60"/>
      </w:pPr>
    </w:p>
    <w:p w14:paraId="5F9457E4" w14:textId="77777777" w:rsidR="00963DBA" w:rsidRDefault="00000000">
      <w:pPr>
        <w:pStyle w:val="Heading1"/>
      </w:pPr>
      <w:r>
        <w:t>2. Theoretical Framework: The SSAB Principle Within DSSM</w:t>
      </w:r>
    </w:p>
    <w:p w14:paraId="58FCC13C" w14:textId="77777777" w:rsidR="00963DBA" w:rsidRDefault="00000000">
      <w:pPr>
        <w:pStyle w:val="Heading2"/>
      </w:pPr>
      <w:r>
        <w:t>2.1 DSSM: The Stabilization Model</w:t>
      </w:r>
    </w:p>
    <w:p w14:paraId="738DFADA" w14:textId="77777777" w:rsidR="00963DBA" w:rsidRDefault="00000000">
      <w:pPr>
        <w:spacing w:before="80" w:after="120" w:line="320" w:lineRule="auto"/>
        <w:jc w:val="both"/>
      </w:pPr>
      <w:r>
        <w:t>The Deep Symbolic Systems Model (Vondoom, 2025a) proposes that civilization advances through the recursive stabilization of embodied practices into durable symbolic systems. Four stabilization criteria govern this process across documented cases: (1) intergenerational repetition — symbolic forms that persist across generations without requiring re-invention in each; (2) spatial constraint — symbolic content anchored to specific material locations, objects, or architectural forms; (3) cross-media redundancy — the same symbolic content expressed across multiple independent media channels simultaneously; and (4) persistence under stress — symbolic systems that survive ecological, demographic, and political disruption without requiring complete reconstruction (Vondoom, 2025a).</w:t>
      </w:r>
    </w:p>
    <w:p w14:paraId="28DD7828" w14:textId="77777777" w:rsidR="00963DBA" w:rsidRDefault="00000000">
      <w:pPr>
        <w:spacing w:before="80" w:after="120" w:line="320" w:lineRule="auto"/>
        <w:jc w:val="both"/>
      </w:pPr>
      <w:r>
        <w:t>DSSM distinguishes four stages of symbolic stabilization: Stage 1 (Embodied Symbolic Familiarity), Stage 2 (Ritualized Repetition), Stage 3 (Material Amplification and Externalization, threshold approximately 500 individuals), and Stage 4 (Cognitive Offloading and Institutional Emergence). Critically, DSSM distinguishes between symbolic saturation — the degree to which a culture's symbolic systems meet all four criteria across all four stages — and institutional elaboration, which is the downstream organizational output of saturated symbolic systems. A culture can develop sophisticated institutions without having achieved deep symbolic saturation; the result tends toward institutional fragility, because the institutions are not anchored in deep symbolic infrastructure. Conversely, a culture can achieve profound symbolic saturation without producing monumental institutions — the Indus Valley Civilization is the clearest case, as demonstrated by Vondoom (2026b).</w:t>
      </w:r>
    </w:p>
    <w:p w14:paraId="53574CDA" w14:textId="77777777" w:rsidR="00963DBA" w:rsidRDefault="00000000">
      <w:pPr>
        <w:spacing w:before="80" w:after="120" w:line="320" w:lineRule="auto"/>
        <w:jc w:val="both"/>
      </w:pPr>
      <w:r>
        <w:t>The four stabilization pathways identified in the DSSM corpus are directly relevant to the SSAB analysis: the Axial-River / Stone-Anchor pathway (Egypt, Mesopotamia), the Portable / Craft-based pathway (East Asia, Vinca), the Distributed / Network pathway (Mesoamerica), and the Infrastructural Embedding pathway (Indus Valley). Each pathway generates a different profile of architectural vulnerability — stone-anchor architectures are geographically stable but physically destructible; portable architectures are mobile but demographically fragile (Vondoom, 2026a; 2026b; 2026c).</w:t>
      </w:r>
    </w:p>
    <w:p w14:paraId="3B8E6A47" w14:textId="77777777" w:rsidR="00DD3FED" w:rsidRDefault="00DD3FED">
      <w:pPr>
        <w:pStyle w:val="Heading2"/>
      </w:pPr>
    </w:p>
    <w:p w14:paraId="6B014A86" w14:textId="77777777" w:rsidR="00DD3FED" w:rsidRDefault="00DD3FED">
      <w:pPr>
        <w:pStyle w:val="Heading2"/>
      </w:pPr>
    </w:p>
    <w:p w14:paraId="572C3B7C" w14:textId="618FF6F0" w:rsidR="00963DBA" w:rsidRDefault="00000000">
      <w:pPr>
        <w:pStyle w:val="Heading2"/>
      </w:pPr>
      <w:r>
        <w:t>2.2 The SSAB Principle: Three Components</w:t>
      </w:r>
    </w:p>
    <w:p w14:paraId="56F2DA4A" w14:textId="77777777" w:rsidR="00963DBA" w:rsidRDefault="00000000">
      <w:pPr>
        <w:spacing w:before="80" w:after="120" w:line="320" w:lineRule="auto"/>
        <w:jc w:val="both"/>
      </w:pPr>
      <w:r>
        <w:t>The SSAB principle extends the DSSM stabilization model to inter-civilizational knowledge transfer. It has three components, each generating independent testable predictions.</w:t>
      </w:r>
    </w:p>
    <w:p w14:paraId="3DAD2558" w14:textId="77777777" w:rsidR="00963DBA" w:rsidRDefault="00000000">
      <w:pPr>
        <w:spacing w:before="80" w:after="120" w:line="320" w:lineRule="auto"/>
        <w:jc w:val="both"/>
      </w:pPr>
      <w:r>
        <w:rPr>
          <w:b/>
          <w:bCs/>
        </w:rPr>
        <w:t xml:space="preserve">The architecture bottleneck: </w:t>
      </w:r>
      <w:r>
        <w:t xml:space="preserve">In knowledge transmission between symbolic systems — whether between individuals, generations, or civilizations — the primary bottleneck is architectural rather than procedural. Procedures are the accessible, visible, imitable surface of symbolic systems. They can be transmitted between practitioners who share no common language or worldview, because the procedure's output is observable and its steps demonstrable. What is harder to transmit is the explanatory framework that makes the procedure legible within a broader system: why it works, what conditions generated it, what cognitive architecture it encodes, and what structural relationships connect it to other procedures. This explanatory layer — the architecture — typically requires a pedagogical context in which the learner has access not only to the procedure but to the framework that makes it a solution to a specific problem (Donald, 2010; </w:t>
      </w:r>
      <w:proofErr w:type="spellStart"/>
      <w:r>
        <w:t>Malafouris</w:t>
      </w:r>
      <w:proofErr w:type="spellEnd"/>
      <w:r>
        <w:t>, 2021; Vondoom, 2025a).</w:t>
      </w:r>
    </w:p>
    <w:p w14:paraId="367E805A" w14:textId="77777777" w:rsidR="00963DBA" w:rsidRDefault="00000000">
      <w:pPr>
        <w:spacing w:before="80" w:after="120" w:line="320" w:lineRule="auto"/>
        <w:jc w:val="both"/>
      </w:pPr>
      <w:r>
        <w:rPr>
          <w:b/>
          <w:bCs/>
        </w:rPr>
        <w:t xml:space="preserve">Symbolic sufficiency: </w:t>
      </w:r>
      <w:r>
        <w:t>A receiver of knowledge requires architectural understanding — not procedural mastery — to leverage the transmitted system productively. Once a receiver possesses sufficient architectural knowledge of a domain, procedural capacity in that domain becomes a leverageable resource. The receiver can direct procedurally capable systems, tools, or agents toward meaningful outputs precisely because they understand what outputs are meaningful and why. This is the condition the DSSM corpus terms symbolic sufficiency: the threshold at which a cognitive agent possesses enough architectural knowledge to direct available procedural resources toward non-trivial ends (Vondoom, 2025a; 2026d).</w:t>
      </w:r>
    </w:p>
    <w:p w14:paraId="2E0EDF4D" w14:textId="77777777" w:rsidR="00963DBA" w:rsidRDefault="00000000">
      <w:pPr>
        <w:spacing w:before="80" w:after="120" w:line="320" w:lineRule="auto"/>
        <w:jc w:val="both"/>
      </w:pPr>
      <w:r>
        <w:rPr>
          <w:b/>
          <w:bCs/>
        </w:rPr>
        <w:t xml:space="preserve">The erasure prediction: </w:t>
      </w:r>
      <w:r>
        <w:t>When an absorbing civilization destroys, suppresses, or fails to preserve the explanatory architecture of a predecessor, it tends to acquire the procedures while losing the framework. Over time, procedures without architecture risk degrading into what Vondoom (2026d; 2026e) terms fossilized ritual: continued because they have always been continued, not because their purpose is fully understood. The knowledge becomes progressively less generative even if the practices persist. This process is often invisible in the material archaeological record because procedures leave physical traces while architecture, embedded in living transmission chains and pedagogical contexts, does not leave direct traces of its own absence.</w:t>
      </w:r>
    </w:p>
    <w:p w14:paraId="0B996850" w14:textId="77777777" w:rsidR="00963DBA" w:rsidRDefault="00000000">
      <w:pPr>
        <w:pStyle w:val="Heading2"/>
      </w:pPr>
      <w:r>
        <w:t>2.3 The Procedure / Architecture Distinction in Practice</w:t>
      </w:r>
    </w:p>
    <w:p w14:paraId="174388A7" w14:textId="77777777" w:rsidR="00963DBA" w:rsidRDefault="00000000">
      <w:pPr>
        <w:spacing w:before="80" w:after="120" w:line="320" w:lineRule="auto"/>
        <w:jc w:val="both"/>
      </w:pPr>
      <w:r>
        <w:t xml:space="preserve">The distinction between procedure and architecture requires careful operationalization. Not every element of a symbolic transmission is cleanly separable into procedural or architectural components; real transmissions involve partial architecture alongside procedures, and the completeness of architectural transfer is a continuum. The SSAB principle does not claim that procedure and architecture are always separable in practice — it claims that they are analytically </w:t>
      </w:r>
      <w:r>
        <w:lastRenderedPageBreak/>
        <w:t>distinguishable and that the architectural component is the systematically more vulnerable one in transmission events.</w:t>
      </w:r>
    </w:p>
    <w:p w14:paraId="14DE1C01" w14:textId="77777777" w:rsidR="00963DBA" w:rsidRDefault="00000000">
      <w:pPr>
        <w:spacing w:before="80" w:after="120" w:line="320" w:lineRule="auto"/>
        <w:jc w:val="both"/>
      </w:pPr>
      <w:r>
        <w:t>The distinction has antecedents in philosophy and cognitive science that deserve explicit acknowledgment. Ryle's (1949) knowing-how versus knowing-that, Polanyi's (1966) tacit versus explicit knowledge, and Collins and Evans's (2002) interactional versus contributory expertise all map onto the procedure/architecture distinction in ways that are analytically related. The SSAB contribution is not the observation that procedural and architectural knowledge are different — these traditions established that thoroughly. The SSAB contribution is the systematic application of that distinction at the civilizational transmission scale: the claim that the differential vulnerability of architectural versus procedural knowledge is the primary mechanism determining whether knowledge compounds or degrades across civilizational contact events, and that this mechanism generates specific historical predictions testable against the archaeological and documentary record. That application — and the predictions it generates — is what is novel here.</w:t>
      </w:r>
    </w:p>
    <w:p w14:paraId="27E501B8" w14:textId="77777777" w:rsidR="00963DBA" w:rsidRDefault="00000000">
      <w:pPr>
        <w:spacing w:before="80" w:after="120" w:line="320" w:lineRule="auto"/>
        <w:jc w:val="both"/>
      </w:pPr>
      <w:r>
        <w:t xml:space="preserve">The Egyptian temple tradition illustrates this with unusual clarity. The stronger evidence for Greek-Egyptian intellectual contact comes from primary sources: Plato's Timaeus is explicitly set in Egypt and attributes cosmological and mathematical knowledge to Egyptian priests (Timaeus 21e-25d); Herodotus provides contemporary testimony (Histories II.4, II.50, II.109) of specific Greek intellectual debts to Egypt, including the calendar, geometry, and the names of the gods; and Diodorus Siculus documents the extended Egyptian educations of several Greek thinkers (Bibliotheca </w:t>
      </w:r>
      <w:proofErr w:type="spellStart"/>
      <w:r>
        <w:t>Historica</w:t>
      </w:r>
      <w:proofErr w:type="spellEnd"/>
      <w:r>
        <w:t xml:space="preserve"> I.96-98). The late biographical tradition preserved in Iamblichus — writing some eight centuries after the events it describes — adds </w:t>
      </w:r>
      <w:proofErr w:type="spellStart"/>
      <w:r>
        <w:t>colourful</w:t>
      </w:r>
      <w:proofErr w:type="spellEnd"/>
      <w:r>
        <w:t xml:space="preserve"> </w:t>
      </w:r>
      <w:proofErr w:type="gramStart"/>
      <w:r>
        <w:t>detail, but</w:t>
      </w:r>
      <w:proofErr w:type="gramEnd"/>
      <w:r>
        <w:t xml:space="preserve"> requires cautious handling as primary evidence. Whatever the precise mechanisms and durations of contact, the procedures Greek thinkers encountered in the Egyptian tradition — geometric relationships, astronomical calculations, number theory — were ancient, tested, and precise. The Egyptian priestly tradition also possessed the architectural understanding of why those relationships held: the cosmological framework connecting mathematical structure to natural order, and the pedagogical sequence through which that understanding was transmitted. What Greek philosophy did with that architecture was secularize and systematize it — strip the ritual encoding and reframe the content as transferable rational inquiry (Vondoom, 2026e). This was a genuine intellectual achievement with real internal innovations. But the architecture, not the procedures alone, enabled the achievement.</w:t>
      </w:r>
    </w:p>
    <w:p w14:paraId="177FC1E5" w14:textId="77777777" w:rsidR="00963DBA" w:rsidRDefault="00963DBA">
      <w:pPr>
        <w:spacing w:before="60" w:after="60"/>
      </w:pPr>
    </w:p>
    <w:p w14:paraId="1B3E1DB3" w14:textId="77777777" w:rsidR="00963DBA" w:rsidRDefault="00000000">
      <w:pPr>
        <w:pStyle w:val="Heading1"/>
      </w:pPr>
      <w:r>
        <w:t>3. Vinca Culture: The First Portable Cognitive Compression</w:t>
      </w:r>
    </w:p>
    <w:p w14:paraId="390615A6" w14:textId="77777777" w:rsidR="00963DBA" w:rsidRDefault="00000000">
      <w:pPr>
        <w:pStyle w:val="Heading2"/>
      </w:pPr>
      <w:r>
        <w:t>3.1 The Vinca Innovation and Its DSSM Status</w:t>
      </w:r>
    </w:p>
    <w:p w14:paraId="39794EEE" w14:textId="77777777" w:rsidR="00963DBA" w:rsidRDefault="00000000">
      <w:pPr>
        <w:spacing w:before="80" w:after="120" w:line="320" w:lineRule="auto"/>
        <w:jc w:val="both"/>
      </w:pPr>
      <w:r>
        <w:t xml:space="preserve">The Vinca culture (c. 5700-4500 BCE), centered along the Danube corridor in what is now Serbia and surrounding regions, represents Europe's earliest fully DSSM-compliant symbolic system (Vondoom, 2026a). Repeated and standardized motifs across multiple media — pottery, fired clay tablets, figurines, and architectural surfaces — demonstrate intergenerational persistence </w:t>
      </w:r>
      <w:r>
        <w:lastRenderedPageBreak/>
        <w:t>across approximately 1,200 years of stratigraphy, spatial constraint in both ritual and domestic contexts, cross-media redundancy at levels exceeding 60% replication across artifact types, and resilience under successive episodes of environmental and demographic stress (</w:t>
      </w:r>
      <w:proofErr w:type="spellStart"/>
      <w:r>
        <w:t>Radivojevic</w:t>
      </w:r>
      <w:proofErr w:type="spellEnd"/>
      <w:r>
        <w:t xml:space="preserve"> et al., 2025; Vondoom, 2026a). The Vinca culture emerged from the </w:t>
      </w:r>
      <w:proofErr w:type="spellStart"/>
      <w:r>
        <w:t>Starcevo</w:t>
      </w:r>
      <w:proofErr w:type="spellEnd"/>
      <w:r>
        <w:t>-Koros-Cris cultural complex (c. 6200-4500 BCE), which provided the demographic, technological, and early symbolic foundations on which subsequent Vinca elaboration was built.</w:t>
      </w:r>
    </w:p>
    <w:p w14:paraId="7DD5E131" w14:textId="77777777" w:rsidR="00963DBA" w:rsidRDefault="00000000">
      <w:pPr>
        <w:spacing w:before="80" w:after="120" w:line="320" w:lineRule="auto"/>
        <w:jc w:val="both"/>
      </w:pPr>
      <w:r>
        <w:t>What distinguishes the Vinca corpus from earlier symbolic behavior is not aesthetic complexity but operational logic. Vinca symbols function as abstract interfaces: geometric forms — hooks, crosses, chevrons, bounded enclosures — that encode equivalence, recognition, and relational meaning in a way detachable from any specific material substrate, ritual context, or individual practitioner (Vondoom, 2026c). The same symbol on a ceramic vessel, a fired clay tablet, or a figurine carries the same operational content regardless of medium. This is cross-media redundancy operating at the cognitive level of the symbol itself.</w:t>
      </w:r>
    </w:p>
    <w:p w14:paraId="112D01C0" w14:textId="77777777" w:rsidR="00963DBA" w:rsidRDefault="00000000">
      <w:pPr>
        <w:spacing w:before="80" w:after="120" w:line="320" w:lineRule="auto"/>
        <w:jc w:val="both"/>
      </w:pPr>
      <w:r>
        <w:t xml:space="preserve">Vinca symbols demonstrate what this paper terms cognitive compression: the capacity to take an abstract relational claim — about equivalence, category membership, or status — and formalize it into a portable, repeatable, recognizable token without requiring the linguistic or contextual scaffolding otherwise necessary for transmission. This is not </w:t>
      </w:r>
      <w:proofErr w:type="gramStart"/>
      <w:r>
        <w:t>proto-writing</w:t>
      </w:r>
      <w:proofErr w:type="gramEnd"/>
      <w:r>
        <w:t xml:space="preserve"> in the narrow phonological sense. It is the foundational cognitive operation that writing later builds </w:t>
      </w:r>
      <w:proofErr w:type="gramStart"/>
      <w:r>
        <w:t>on:</w:t>
      </w:r>
      <w:proofErr w:type="gramEnd"/>
      <w:r>
        <w:t xml:space="preserve"> the invention of an abstract interface between cognitive content and material form (Vondoom, 2026b; 2026c; </w:t>
      </w:r>
      <w:proofErr w:type="spellStart"/>
      <w:r>
        <w:t>Malafouris</w:t>
      </w:r>
      <w:proofErr w:type="spellEnd"/>
      <w:r>
        <w:t xml:space="preserve">, 2021). Shannon entropy analysis of the Vinca symbol corpus reveals low combinatorial entropy, consistent with a system optimized for recognition and equivalence marking rather than narrative encoding (Vondoom, 2026c; </w:t>
      </w:r>
      <w:proofErr w:type="spellStart"/>
      <w:r>
        <w:t>Radivojevic</w:t>
      </w:r>
      <w:proofErr w:type="spellEnd"/>
      <w:r>
        <w:t xml:space="preserve"> et al., 2025).</w:t>
      </w:r>
    </w:p>
    <w:p w14:paraId="06A8DA47" w14:textId="77777777" w:rsidR="00963DBA" w:rsidRDefault="00000000">
      <w:pPr>
        <w:pStyle w:val="Heading2"/>
      </w:pPr>
      <w:r>
        <w:t>3.2 Collapse, Migration, and Symbolic Seeding</w:t>
      </w:r>
    </w:p>
    <w:p w14:paraId="16CA79C3" w14:textId="77777777" w:rsidR="00963DBA" w:rsidRDefault="00000000">
      <w:pPr>
        <w:spacing w:before="80" w:after="120" w:line="320" w:lineRule="auto"/>
        <w:jc w:val="both"/>
      </w:pPr>
      <w:r>
        <w:t>The Vinca cultural complex underwent structural collapse under climatic stress, soil depletion, and demographic pressure beginning around 4500 BCE (Sherratt, 2025; Vondoom, 2026a). Successor cultures — the Cernavoda (c. 4600-4000 BCE) and Baden (c. 3600-2800 BCE) complexes — absorbed surviving populations while the symbolic system itself fragmented. DSSM predicts that when a symbolically saturated system collapses demographically, the most portable elements of its symbolic infrastructure — those embedded in objects and craft practices rather than in institutional contexts requiring large populations — are the most likely to survive transmission across the disruption (Vondoom, 2025a). Vinca's portable tablet symbols, geometric ceramic motifs, and abstract encoding strategies fit this profile precisely.</w:t>
      </w:r>
    </w:p>
    <w:p w14:paraId="70ADE882" w14:textId="77777777" w:rsidR="00963DBA" w:rsidRDefault="00000000">
      <w:pPr>
        <w:spacing w:before="80" w:after="120" w:line="320" w:lineRule="auto"/>
        <w:jc w:val="both"/>
      </w:pPr>
      <w:r>
        <w:t xml:space="preserve">The migration of Vinca-associated populations along </w:t>
      </w:r>
      <w:proofErr w:type="spellStart"/>
      <w:r>
        <w:t>Danubian</w:t>
      </w:r>
      <w:proofErr w:type="spellEnd"/>
      <w:r>
        <w:t xml:space="preserve"> and Anatolian corridors over roughly 5000-4000 BCE brought these portable symbolic technologies into contact with developing symbolic systems in Mesopotamia and Predynastic Egypt (</w:t>
      </w:r>
      <w:proofErr w:type="spellStart"/>
      <w:r>
        <w:t>Brughmans</w:t>
      </w:r>
      <w:proofErr w:type="spellEnd"/>
      <w:r>
        <w:t xml:space="preserve"> et al., 2025; Garfinkel et al., 2026; Vondoom, 2026b). DSSM's account is not one of direct cultural transmission of specific meanings, but of symbolic seeding: the introduction of portable, repeatable symbolic strategies into host systems that were building symbolic load but had not yet developed an efficient compression mechanism. In moderately saturated host systems, the Vinca </w:t>
      </w:r>
      <w:r>
        <w:lastRenderedPageBreak/>
        <w:t xml:space="preserve">approach to abstract symbolic encoding may have contributed to conditions that facilitated the emergence of </w:t>
      </w:r>
      <w:proofErr w:type="gramStart"/>
      <w:r>
        <w:t>proto-writing</w:t>
      </w:r>
      <w:proofErr w:type="gramEnd"/>
      <w:r>
        <w:t>. Independent convergent development remains a viable alternative explanation that the available evidence cannot fully exclude (Vondoom, 2026b; 2026c; Woods, 2026).</w:t>
      </w:r>
    </w:p>
    <w:p w14:paraId="5ABDA5AE" w14:textId="77777777" w:rsidR="00963DBA" w:rsidRDefault="00000000">
      <w:pPr>
        <w:spacing w:before="80" w:after="120" w:line="320" w:lineRule="auto"/>
        <w:jc w:val="both"/>
      </w:pPr>
      <w:r>
        <w:t>The divergent outcomes — proto-writing in Mesopotamia and Egypt, absorbed standardization without writing in the Indus Valley — provide the first empirical test of the SSAB principle at civilizational scale. The decisive variable, as Vondoom (2026b; 2026c) demonstrates, is the relationship between existing symbolic saturation and incoming symbolic load. Writing emerges as a compression technology when load exceeds the stabilizing capacity of existing redundancy mechanisms. Where capacity is already sufficient — as in the Indus Valley, where brick ratios were fixed at 1:2:4 and weight systems showed variance below 1% (Kenoyer, 2025; Vondoom, 2026b) — writing does not emerge because the existing architecture is already performing that function.</w:t>
      </w:r>
    </w:p>
    <w:p w14:paraId="3889F7FA" w14:textId="77777777" w:rsidR="00963DBA" w:rsidRDefault="00963DBA">
      <w:pPr>
        <w:spacing w:before="40" w:after="40"/>
      </w:pPr>
    </w:p>
    <w:tbl>
      <w:tblPr>
        <w:tblW w:w="8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2000"/>
        <w:gridCol w:w="2200"/>
        <w:gridCol w:w="2360"/>
      </w:tblGrid>
      <w:tr w:rsidR="00963DBA" w14:paraId="081C80AC"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1A1A2E"/>
            <w:tcMar>
              <w:top w:w="80" w:type="dxa"/>
              <w:left w:w="120" w:type="dxa"/>
              <w:bottom w:w="80" w:type="dxa"/>
              <w:right w:w="120" w:type="dxa"/>
            </w:tcMar>
          </w:tcPr>
          <w:p w14:paraId="1FFAFDA6" w14:textId="77777777" w:rsidR="00963DBA" w:rsidRDefault="00000000" w:rsidP="00DD3FED">
            <w:pPr>
              <w:jc w:val="center"/>
            </w:pPr>
            <w:r>
              <w:rPr>
                <w:b/>
                <w:bCs/>
                <w:color w:val="FFFFFF"/>
                <w:sz w:val="19"/>
                <w:szCs w:val="19"/>
              </w:rPr>
              <w:t>Feature</w:t>
            </w:r>
          </w:p>
        </w:tc>
        <w:tc>
          <w:tcPr>
            <w:tcW w:w="2000" w:type="dxa"/>
            <w:tcBorders>
              <w:top w:val="single" w:sz="1" w:space="0" w:color="CCCCCC"/>
              <w:left w:val="single" w:sz="1" w:space="0" w:color="CCCCCC"/>
              <w:bottom w:val="single" w:sz="1" w:space="0" w:color="CCCCCC"/>
              <w:right w:val="single" w:sz="1" w:space="0" w:color="CCCCCC"/>
            </w:tcBorders>
            <w:shd w:val="clear" w:color="auto" w:fill="1A1A2E"/>
            <w:tcMar>
              <w:top w:w="80" w:type="dxa"/>
              <w:left w:w="120" w:type="dxa"/>
              <w:bottom w:w="80" w:type="dxa"/>
              <w:right w:w="120" w:type="dxa"/>
            </w:tcMar>
          </w:tcPr>
          <w:p w14:paraId="7AE19C3F" w14:textId="77777777" w:rsidR="00963DBA" w:rsidRDefault="00000000" w:rsidP="00DD3FED">
            <w:pPr>
              <w:jc w:val="center"/>
            </w:pPr>
            <w:r>
              <w:rPr>
                <w:b/>
                <w:bCs/>
                <w:color w:val="FFFFFF"/>
                <w:sz w:val="19"/>
                <w:szCs w:val="19"/>
              </w:rPr>
              <w:t>Vinca (source)</w:t>
            </w:r>
          </w:p>
        </w:tc>
        <w:tc>
          <w:tcPr>
            <w:tcW w:w="2200" w:type="dxa"/>
            <w:tcBorders>
              <w:top w:val="single" w:sz="1" w:space="0" w:color="CCCCCC"/>
              <w:left w:val="single" w:sz="1" w:space="0" w:color="CCCCCC"/>
              <w:bottom w:val="single" w:sz="1" w:space="0" w:color="CCCCCC"/>
              <w:right w:val="single" w:sz="1" w:space="0" w:color="CCCCCC"/>
            </w:tcBorders>
            <w:shd w:val="clear" w:color="auto" w:fill="1A1A2E"/>
            <w:tcMar>
              <w:top w:w="80" w:type="dxa"/>
              <w:left w:w="120" w:type="dxa"/>
              <w:bottom w:w="80" w:type="dxa"/>
              <w:right w:w="120" w:type="dxa"/>
            </w:tcMar>
          </w:tcPr>
          <w:p w14:paraId="3C342003" w14:textId="77777777" w:rsidR="00963DBA" w:rsidRDefault="00000000" w:rsidP="00DD3FED">
            <w:pPr>
              <w:jc w:val="center"/>
            </w:pPr>
            <w:r>
              <w:rPr>
                <w:b/>
                <w:bCs/>
                <w:color w:val="FFFFFF"/>
                <w:sz w:val="19"/>
                <w:szCs w:val="19"/>
              </w:rPr>
              <w:t>Mesopotamia / Egypt</w:t>
            </w:r>
          </w:p>
        </w:tc>
        <w:tc>
          <w:tcPr>
            <w:tcW w:w="2360" w:type="dxa"/>
            <w:tcBorders>
              <w:top w:val="single" w:sz="1" w:space="0" w:color="CCCCCC"/>
              <w:left w:val="single" w:sz="1" w:space="0" w:color="CCCCCC"/>
              <w:bottom w:val="single" w:sz="1" w:space="0" w:color="CCCCCC"/>
              <w:right w:val="single" w:sz="1" w:space="0" w:color="CCCCCC"/>
            </w:tcBorders>
            <w:shd w:val="clear" w:color="auto" w:fill="1A1A2E"/>
            <w:tcMar>
              <w:top w:w="80" w:type="dxa"/>
              <w:left w:w="120" w:type="dxa"/>
              <w:bottom w:w="80" w:type="dxa"/>
              <w:right w:w="120" w:type="dxa"/>
            </w:tcMar>
          </w:tcPr>
          <w:p w14:paraId="36BCE7FC" w14:textId="77777777" w:rsidR="00963DBA" w:rsidRDefault="00000000" w:rsidP="00DD3FED">
            <w:pPr>
              <w:jc w:val="center"/>
            </w:pPr>
            <w:r>
              <w:rPr>
                <w:b/>
                <w:bCs/>
                <w:color w:val="FFFFFF"/>
                <w:sz w:val="19"/>
                <w:szCs w:val="19"/>
              </w:rPr>
              <w:t>Indus Valley</w:t>
            </w:r>
          </w:p>
        </w:tc>
      </w:tr>
      <w:tr w:rsidR="00963DBA" w14:paraId="0914014D"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880FCF5" w14:textId="77777777" w:rsidR="00963DBA" w:rsidRDefault="00000000" w:rsidP="00DD3FED">
            <w:pPr>
              <w:jc w:val="center"/>
            </w:pPr>
            <w:r>
              <w:rPr>
                <w:sz w:val="19"/>
                <w:szCs w:val="19"/>
              </w:rPr>
              <w:t>DSSM saturation (c. 4500 BCE)</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751EDE" w14:textId="77777777" w:rsidR="00963DBA" w:rsidRDefault="00000000" w:rsidP="00DD3FED">
            <w:pPr>
              <w:jc w:val="center"/>
            </w:pPr>
            <w:r>
              <w:rPr>
                <w:sz w:val="19"/>
                <w:szCs w:val="19"/>
              </w:rPr>
              <w:t>Moderate, collapsing</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32DF8A7" w14:textId="77777777" w:rsidR="00963DBA" w:rsidRDefault="00000000" w:rsidP="00DD3FED">
            <w:pPr>
              <w:jc w:val="center"/>
            </w:pPr>
            <w:r>
              <w:rPr>
                <w:sz w:val="19"/>
                <w:szCs w:val="19"/>
              </w:rPr>
              <w:t>Moderate, rising</w:t>
            </w:r>
          </w:p>
        </w:tc>
        <w:tc>
          <w:tcPr>
            <w:tcW w:w="2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5A8D585" w14:textId="77777777" w:rsidR="00963DBA" w:rsidRDefault="00000000" w:rsidP="00DD3FED">
            <w:pPr>
              <w:jc w:val="center"/>
            </w:pPr>
            <w:r>
              <w:rPr>
                <w:sz w:val="19"/>
                <w:szCs w:val="19"/>
              </w:rPr>
              <w:t>High, stable</w:t>
            </w:r>
          </w:p>
        </w:tc>
      </w:tr>
      <w:tr w:rsidR="00963DBA" w14:paraId="32CEAB18"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829101" w14:textId="77777777" w:rsidR="00963DBA" w:rsidRDefault="00000000" w:rsidP="00DD3FED">
            <w:pPr>
              <w:jc w:val="center"/>
            </w:pPr>
            <w:r>
              <w:rPr>
                <w:sz w:val="19"/>
                <w:szCs w:val="19"/>
              </w:rPr>
              <w:t>Cross-media redundancy</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01CFBF" w14:textId="77777777" w:rsidR="00963DBA" w:rsidRDefault="00000000" w:rsidP="00DD3FED">
            <w:pPr>
              <w:jc w:val="center"/>
            </w:pPr>
            <w:r>
              <w:rPr>
                <w:sz w:val="19"/>
                <w:szCs w:val="19"/>
              </w:rPr>
              <w:t>High (&gt;60% replication)</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8B99F1" w14:textId="77777777" w:rsidR="00963DBA" w:rsidRDefault="00000000" w:rsidP="00DD3FED">
            <w:pPr>
              <w:jc w:val="center"/>
            </w:pPr>
            <w:r>
              <w:rPr>
                <w:sz w:val="19"/>
                <w:szCs w:val="19"/>
              </w:rPr>
              <w:t>Moderate, developing</w:t>
            </w:r>
          </w:p>
        </w:tc>
        <w:tc>
          <w:tcPr>
            <w:tcW w:w="2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9D9E4C" w14:textId="77777777" w:rsidR="00963DBA" w:rsidRDefault="00000000" w:rsidP="00DD3FED">
            <w:pPr>
              <w:jc w:val="center"/>
            </w:pPr>
            <w:r>
              <w:rPr>
                <w:sz w:val="19"/>
                <w:szCs w:val="19"/>
              </w:rPr>
              <w:t>High (standardized seals)</w:t>
            </w:r>
          </w:p>
        </w:tc>
      </w:tr>
      <w:tr w:rsidR="00963DBA" w14:paraId="4A9A62ED"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D867742" w14:textId="77777777" w:rsidR="00963DBA" w:rsidRDefault="00000000" w:rsidP="00DD3FED">
            <w:pPr>
              <w:jc w:val="center"/>
            </w:pPr>
            <w:r>
              <w:rPr>
                <w:sz w:val="19"/>
                <w:szCs w:val="19"/>
              </w:rPr>
              <w:t>Enforcement mechanism</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A99FA03" w14:textId="77777777" w:rsidR="00963DBA" w:rsidRDefault="00000000" w:rsidP="00DD3FED">
            <w:pPr>
              <w:jc w:val="center"/>
            </w:pPr>
            <w:r>
              <w:rPr>
                <w:sz w:val="19"/>
                <w:szCs w:val="19"/>
              </w:rPr>
              <w:t>Local ritual networks</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0193988" w14:textId="77777777" w:rsidR="00963DBA" w:rsidRDefault="00000000" w:rsidP="00DD3FED">
            <w:pPr>
              <w:jc w:val="center"/>
            </w:pPr>
            <w:r>
              <w:rPr>
                <w:sz w:val="19"/>
                <w:szCs w:val="19"/>
              </w:rPr>
              <w:t>Bureaucratic / priestly</w:t>
            </w:r>
          </w:p>
        </w:tc>
        <w:tc>
          <w:tcPr>
            <w:tcW w:w="2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2C0D439" w14:textId="77777777" w:rsidR="00963DBA" w:rsidRDefault="00000000" w:rsidP="00DD3FED">
            <w:pPr>
              <w:jc w:val="center"/>
            </w:pPr>
            <w:r>
              <w:rPr>
                <w:sz w:val="19"/>
                <w:szCs w:val="19"/>
              </w:rPr>
              <w:t>Distributed trade hubs</w:t>
            </w:r>
          </w:p>
        </w:tc>
      </w:tr>
      <w:tr w:rsidR="00963DBA" w14:paraId="3847F4A2"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D1FE3C" w14:textId="77777777" w:rsidR="00963DBA" w:rsidRDefault="00000000" w:rsidP="00DD3FED">
            <w:pPr>
              <w:jc w:val="center"/>
            </w:pPr>
            <w:r>
              <w:rPr>
                <w:sz w:val="19"/>
                <w:szCs w:val="19"/>
              </w:rPr>
              <w:t>Symbolic load vs. capacity</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12F8FF" w14:textId="77777777" w:rsidR="00963DBA" w:rsidRDefault="00000000" w:rsidP="00DD3FED">
            <w:pPr>
              <w:jc w:val="center"/>
            </w:pPr>
            <w:r>
              <w:rPr>
                <w:sz w:val="19"/>
                <w:szCs w:val="19"/>
              </w:rPr>
              <w:t>Collapsing below capacity</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E72721" w14:textId="77777777" w:rsidR="00963DBA" w:rsidRDefault="00000000" w:rsidP="00DD3FED">
            <w:pPr>
              <w:jc w:val="center"/>
            </w:pPr>
            <w:r>
              <w:rPr>
                <w:sz w:val="19"/>
                <w:szCs w:val="19"/>
              </w:rPr>
              <w:t>Load approaching capacity ceiling</w:t>
            </w:r>
          </w:p>
        </w:tc>
        <w:tc>
          <w:tcPr>
            <w:tcW w:w="2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D4E452" w14:textId="77777777" w:rsidR="00963DBA" w:rsidRDefault="00000000" w:rsidP="00DD3FED">
            <w:pPr>
              <w:jc w:val="center"/>
            </w:pPr>
            <w:r>
              <w:rPr>
                <w:sz w:val="19"/>
                <w:szCs w:val="19"/>
              </w:rPr>
              <w:t>Load well within capacity</w:t>
            </w:r>
          </w:p>
        </w:tc>
      </w:tr>
      <w:tr w:rsidR="00963DBA" w14:paraId="3249FCCD"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B80B255" w14:textId="77777777" w:rsidR="00963DBA" w:rsidRDefault="00000000" w:rsidP="00DD3FED">
            <w:pPr>
              <w:jc w:val="center"/>
            </w:pPr>
            <w:r>
              <w:rPr>
                <w:sz w:val="19"/>
                <w:szCs w:val="19"/>
              </w:rPr>
              <w:t>Response to Vinca contact</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3464BA8" w14:textId="77777777" w:rsidR="00963DBA" w:rsidRDefault="00000000" w:rsidP="00DD3FED">
            <w:pPr>
              <w:jc w:val="center"/>
            </w:pPr>
            <w:r>
              <w:rPr>
                <w:sz w:val="19"/>
                <w:szCs w:val="19"/>
              </w:rPr>
              <w:t>Source population</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AD151A2" w14:textId="77777777" w:rsidR="00963DBA" w:rsidRDefault="00000000" w:rsidP="00DD3FED">
            <w:pPr>
              <w:jc w:val="center"/>
            </w:pPr>
            <w:proofErr w:type="gramStart"/>
            <w:r>
              <w:rPr>
                <w:sz w:val="19"/>
                <w:szCs w:val="19"/>
              </w:rPr>
              <w:t>Proto-writing</w:t>
            </w:r>
            <w:proofErr w:type="gramEnd"/>
            <w:r>
              <w:rPr>
                <w:sz w:val="19"/>
                <w:szCs w:val="19"/>
              </w:rPr>
              <w:t xml:space="preserve"> emerged (possibly facilitated)</w:t>
            </w:r>
          </w:p>
        </w:tc>
        <w:tc>
          <w:tcPr>
            <w:tcW w:w="2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B359961" w14:textId="77777777" w:rsidR="00963DBA" w:rsidRDefault="00000000" w:rsidP="00DD3FED">
            <w:pPr>
              <w:jc w:val="center"/>
            </w:pPr>
            <w:r>
              <w:rPr>
                <w:sz w:val="19"/>
                <w:szCs w:val="19"/>
              </w:rPr>
              <w:t>Absorbed; no writing needed</w:t>
            </w:r>
          </w:p>
        </w:tc>
      </w:tr>
      <w:tr w:rsidR="00963DBA" w14:paraId="40C7C6A0"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7400CA" w14:textId="77777777" w:rsidR="00963DBA" w:rsidRDefault="00000000" w:rsidP="00DD3FED">
            <w:pPr>
              <w:jc w:val="center"/>
            </w:pPr>
            <w:r>
              <w:rPr>
                <w:sz w:val="19"/>
                <w:szCs w:val="19"/>
              </w:rPr>
              <w:t>SSAB outcome</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4F27B1" w14:textId="77777777" w:rsidR="00963DBA" w:rsidRDefault="00000000" w:rsidP="00DD3FED">
            <w:pPr>
              <w:jc w:val="center"/>
            </w:pPr>
            <w:r>
              <w:rPr>
                <w:sz w:val="19"/>
                <w:szCs w:val="19"/>
              </w:rPr>
              <w:t>N/A</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B270C4" w14:textId="77777777" w:rsidR="00963DBA" w:rsidRDefault="00000000" w:rsidP="00DD3FED">
            <w:pPr>
              <w:jc w:val="center"/>
            </w:pPr>
            <w:r>
              <w:rPr>
                <w:sz w:val="19"/>
                <w:szCs w:val="19"/>
              </w:rPr>
              <w:t>Architecture bottleneck eased</w:t>
            </w:r>
          </w:p>
        </w:tc>
        <w:tc>
          <w:tcPr>
            <w:tcW w:w="2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9CE345" w14:textId="77777777" w:rsidR="00963DBA" w:rsidRDefault="00000000" w:rsidP="00DD3FED">
            <w:pPr>
              <w:jc w:val="center"/>
            </w:pPr>
            <w:r>
              <w:rPr>
                <w:sz w:val="19"/>
                <w:szCs w:val="19"/>
              </w:rPr>
              <w:t>Sufficient; compression unnecessary</w:t>
            </w:r>
          </w:p>
        </w:tc>
      </w:tr>
    </w:tbl>
    <w:p w14:paraId="4B1BCC01" w14:textId="77777777" w:rsidR="00963DBA" w:rsidRDefault="00963DBA">
      <w:pPr>
        <w:spacing w:before="80" w:after="80"/>
      </w:pPr>
    </w:p>
    <w:p w14:paraId="046E2114" w14:textId="77777777" w:rsidR="00963DBA" w:rsidRDefault="00000000">
      <w:pPr>
        <w:pStyle w:val="Heading1"/>
      </w:pPr>
      <w:r>
        <w:t>4. The Egypt-Greece-Rome Chain: Architecture Transmission and Its Limits</w:t>
      </w:r>
    </w:p>
    <w:p w14:paraId="0FF7A029" w14:textId="77777777" w:rsidR="00963DBA" w:rsidRDefault="00000000">
      <w:pPr>
        <w:pStyle w:val="Heading2"/>
      </w:pPr>
      <w:r>
        <w:t>4.1 Egypt: Accumulated Architectural Depth</w:t>
      </w:r>
    </w:p>
    <w:p w14:paraId="29C7F899" w14:textId="77777777" w:rsidR="00963DBA" w:rsidRDefault="00000000">
      <w:pPr>
        <w:spacing w:before="80" w:after="120" w:line="320" w:lineRule="auto"/>
        <w:jc w:val="both"/>
      </w:pPr>
      <w:r>
        <w:t>Egyptian civilization represents the most sustained case of symbolic saturation in the human record. On DSSM's chronology, Egyptian symbolic infrastructure is traceable to at least 12,500 BCE in Predynastic symbolic systems, with full Stage 4 institutional emergence accompanying the Pharaonic unification around 3200 BCE (Vondoom, 2025a; Wilkinson, 2003). By the time Greek students arrived at Egyptian temples in the classical period, they were entering an intellectual tradition with millennia of accumulated architectural depth behind its current institutional expression.</w:t>
      </w:r>
    </w:p>
    <w:p w14:paraId="7798C5CB" w14:textId="77777777" w:rsidR="00963DBA" w:rsidRDefault="00000000">
      <w:pPr>
        <w:spacing w:before="80" w:after="120" w:line="320" w:lineRule="auto"/>
        <w:jc w:val="both"/>
      </w:pPr>
      <w:r>
        <w:lastRenderedPageBreak/>
        <w:t>That depth is the source of Egyptian civilization's notable resilience — its capacity to survive the Hyksos period, the Amarna heresy, multiple dynastic collapses, Assyrian invasion, and Persian conquest while maintaining symbolic continuity across all of them. As Vondoom (2026d) demonstrates, symbolic saturation at this depth produces institutional forms that tend to outlast the individuals and dynasties that operate them, because the institutional logic is embedded in symbolic infrastructure rather than dependent on personal or political continuity. The Egyptian temple complex is the clearest material example: an architectural externalization of cognitive infrastructure, a built environment that encoded, transmitted, and preserved the explanatory framework within which all Egyptian procedural knowledge was embedded (Pinch, 2004; Wilkinson, 2003).</w:t>
      </w:r>
    </w:p>
    <w:p w14:paraId="3AE8F023" w14:textId="77777777" w:rsidR="00963DBA" w:rsidRDefault="00000000">
      <w:pPr>
        <w:spacing w:before="80" w:after="120" w:line="320" w:lineRule="auto"/>
        <w:jc w:val="both"/>
      </w:pPr>
      <w:r>
        <w:t xml:space="preserve">The priestly tradition that maintained these temples was simultaneously technical, educational, and archival. Temple priests were astronomers, engineers, physicians, mathematicians, and administrators (Wilkinson, 2003). They were also the custodians of the explanatory architecture that made </w:t>
      </w:r>
      <w:proofErr w:type="gramStart"/>
      <w:r>
        <w:t>all of</w:t>
      </w:r>
      <w:proofErr w:type="gramEnd"/>
      <w:r>
        <w:t xml:space="preserve"> these domains legible as parts of a unified system rather than a collection of unrelated techniques. The connection between astronomical knowledge, mathematical administration, medical practice, and cosmological narrative was structural, not coincidental. When Greek students arrived, what they were accessing was not primarily procedures but the architectural framework underlying them.</w:t>
      </w:r>
    </w:p>
    <w:p w14:paraId="15513E11" w14:textId="77777777" w:rsidR="00963DBA" w:rsidRDefault="00000000">
      <w:pPr>
        <w:spacing w:before="80" w:after="120" w:line="320" w:lineRule="auto"/>
        <w:jc w:val="both"/>
      </w:pPr>
      <w:r>
        <w:t>The antiquity of this system is confirmed by the maternal symbolic complex that Vondoom (2026f) traces across the full temporal span of Egyptian civilization. The Isis-Horus devotional complex, documented in the Pyramid Texts (approximately 2400-2300 BCE) as already fully formed, represents the institutional elaboration of a symbolic attractor whose roots DSSM dates to the Upper Paleolithic (Vondoom, 2026f). That the nursing Isis image survived the institutional destruction of Egyptian religion, re-emerging as the Christian Madonna with iconographic continuity so precise that scholars describe the shift as a gradual relabeling (Witt, 1971), is among the clearest demonstrations of the SSAB erasure prediction: surface forms and procedures can survive architectural destruction; the explanatory framework that generated them is what tends not to.</w:t>
      </w:r>
    </w:p>
    <w:p w14:paraId="68C6D35C" w14:textId="77777777" w:rsidR="00963DBA" w:rsidRDefault="00000000">
      <w:pPr>
        <w:pStyle w:val="Heading2"/>
      </w:pPr>
      <w:r>
        <w:t>4.2 The Greek Reception: Achievement and Partial Loss</w:t>
      </w:r>
    </w:p>
    <w:p w14:paraId="2EA771AD" w14:textId="77777777" w:rsidR="00963DBA" w:rsidRDefault="00000000">
      <w:pPr>
        <w:spacing w:before="80" w:after="120" w:line="320" w:lineRule="auto"/>
        <w:jc w:val="both"/>
      </w:pPr>
      <w:r>
        <w:t>The Greek philosophical tradition performed a specific and consequential operation on what it received from Egyptian and Near Eastern sources: it stripped the ritual encoding from the architectural content and reframed it as transferable rational inquiry. Greek philosophy drew substantially from Egyptian and Near Eastern architectural traditions, repackaging that content for transmission within a cultural context that had no priestly institution capable of carrying it in its original form (Vondoom, 2026e; Burkert, 1985). Greek philosophy also developed genuine internal innovations — the Sophistic tradition, Aristotle's empirical biology and formal logic, the Hellenistic schools — built on foundations whose deepest roots lay in earlier traditions.</w:t>
      </w:r>
    </w:p>
    <w:p w14:paraId="68C0B9FC" w14:textId="77777777" w:rsidR="00963DBA" w:rsidRDefault="00000000">
      <w:pPr>
        <w:spacing w:before="80" w:after="120" w:line="320" w:lineRule="auto"/>
        <w:jc w:val="both"/>
      </w:pPr>
      <w:r>
        <w:t xml:space="preserve">The SSAB framework assesses both the achievement and the loss precisely. The achievement: by stripping ritual encoding and reframing architectural content as rational inquiry, the Greek </w:t>
      </w:r>
      <w:r>
        <w:lastRenderedPageBreak/>
        <w:t xml:space="preserve">tradition made that content transmissible to a much wider audience than the Egyptian priestly system could serve. The systematization of Egyptian mathematical and cosmological knowledge into Euclidean geometry, Platonic cosmology, and Pythagorean number theory represents a genuine intellectual transformation (Donald, 2010; Vondoom, 2026e). The loss: ritual encoding in the Egyptian system was not mere ceremony. It was the pedagogical technology through which architectural understanding was transmitted — the structured sequence of embodied practice, spatial immersion, and graduated cognitive challenge through which abstract structural relationships became intuitively apprehensible rather than merely formally acknowledged (Vondoom, 2026e; </w:t>
      </w:r>
      <w:proofErr w:type="spellStart"/>
      <w:r>
        <w:t>Xygalatas</w:t>
      </w:r>
      <w:proofErr w:type="spellEnd"/>
      <w:r>
        <w:t>, 2022). When the Greeks stripped this encoding, they transmitted the conclusions of a long pedagogical process without the process itself. The result was architecture understood in its formal structure but not in its full generative depth.</w:t>
      </w:r>
    </w:p>
    <w:p w14:paraId="44ABE4F8" w14:textId="77777777" w:rsidR="00963DBA" w:rsidRDefault="00000000">
      <w:pPr>
        <w:spacing w:before="80" w:after="120" w:line="320" w:lineRule="auto"/>
        <w:jc w:val="both"/>
      </w:pPr>
      <w:r>
        <w:t>The Rehearsed Sacred framework (Vondoom, 2026e) is directly relevant here: ritual is not the surface decoration of knowledge but the transmission technology for its deepest layers. The assumption that ritual can be separated from the knowledge it carries without loss to either is precisely the characteristic error of absorbing civilizations operating above the threshold of symbolic sufficiency but below full architectural comprehension.</w:t>
      </w:r>
    </w:p>
    <w:p w14:paraId="117BD191" w14:textId="77777777" w:rsidR="00963DBA" w:rsidRDefault="00000000">
      <w:pPr>
        <w:pStyle w:val="Heading2"/>
      </w:pPr>
      <w:r>
        <w:t>4.3 Rome: Protocol Power as Institutional Achievement and Structural Constraint</w:t>
      </w:r>
    </w:p>
    <w:p w14:paraId="5623687D" w14:textId="77777777" w:rsidR="00963DBA" w:rsidRDefault="00000000">
      <w:pPr>
        <w:spacing w:before="80" w:after="120" w:line="320" w:lineRule="auto"/>
        <w:jc w:val="both"/>
      </w:pPr>
      <w:r>
        <w:t>Rome's relationship to Greek intellectual culture is the clearest historical demonstration of the SSAB principle operating across a full civilizational transmission event. Rome consumed Greek intellectual culture comprehensively — sending elite children to study in Athens, employing Greek philosophers as tutors, absorbing Stoicism, Epicureanism, and Neoplatonism as the intellectual frameworks of the educated class, and relabeling the Greek pantheon with Latin names while preserving its mythological structure almost entirely intact. On top of the architectural content it had absorbed, Rome built an extraordinary institutional superstructure.</w:t>
      </w:r>
    </w:p>
    <w:p w14:paraId="276C61D2" w14:textId="77777777" w:rsidR="00963DBA" w:rsidRDefault="00000000">
      <w:pPr>
        <w:spacing w:before="80" w:after="120" w:line="320" w:lineRule="auto"/>
        <w:jc w:val="both"/>
      </w:pPr>
      <w:r>
        <w:t xml:space="preserve">What Rome produced, in </w:t>
      </w:r>
      <w:proofErr w:type="spellStart"/>
      <w:r>
        <w:t>Vondoom's</w:t>
      </w:r>
      <w:proofErr w:type="spellEnd"/>
      <w:r>
        <w:t xml:space="preserve"> (2026d) terms, was Protocol Power: the capacity to translate architectural content into stable, replicable institutional procedures that could function without requiring individual understanding of the architecture that generated them. The concept of fossilized power — protocol systems operating independently of the architectural understanding that generated them — is developed in detail in Vondoom (2025b). The Roman legal system is the paradigmatic case — an internally coherent system whose Stoic natural law foundations are broadly established in the scholarship (Burkert, 1985). The deeper genealogical claim — that Stoic natural law derives substantially from Platonic and pre-Socratic frameworks, which themselves drew from Egyptian and Near Eastern cosmological traditions — is argued rather than universally settled in the classical scholarship, but is supported by the primary textual sources cited in Section 2.3 and developed in detail in Vondoom (2026e). On this reading, the Roman legal practitioner was operating within a protocol system whose ultimate architectural roots lay far beyond the Roman horizon. The architecture had been compressed across several transmission generations into protocol — stable, replicable, enforceable procedures operating </w:t>
      </w:r>
      <w:r>
        <w:lastRenderedPageBreak/>
        <w:t>independently of the architectural understanding that originally generated them (Vondoom, 2026d).</w:t>
      </w:r>
    </w:p>
    <w:p w14:paraId="03F18A09" w14:textId="77777777" w:rsidR="00963DBA" w:rsidRDefault="00000000">
      <w:pPr>
        <w:spacing w:before="80" w:after="120" w:line="320" w:lineRule="auto"/>
        <w:jc w:val="both"/>
      </w:pPr>
      <w:r>
        <w:t>This is simultaneously Rome's greatest civilizational achievement and the source of a structural constraint. A protocol-based system is resilient against individual failure — the Roman administrative system could survive incompetent or actively destructive individual emperors because the protocols did not require individual competence to function. But it is structurally vulnerable to the loss of architectural understanding, because without that understanding, no one can repair the system when protocols begin to fail or adapt it when the conditions that generated the original protocols no longer obtain (Vondoom, 2026d). The slow erosion of Roman administrative capacity across the third and fourth centuries CE is, on the SSAB account, substantially a story of a protocol system whose architectural foundation had been thinning across successive generations of partial transmission.</w:t>
      </w:r>
    </w:p>
    <w:p w14:paraId="64493F74" w14:textId="77777777" w:rsidR="00963DBA" w:rsidRDefault="00963DBA">
      <w:pPr>
        <w:spacing w:before="60" w:after="60"/>
      </w:pPr>
    </w:p>
    <w:p w14:paraId="69142A37" w14:textId="77777777" w:rsidR="00963DBA" w:rsidRDefault="00000000">
      <w:pPr>
        <w:pStyle w:val="Heading1"/>
      </w:pPr>
      <w:r>
        <w:t>5. Alexandria: The Architectural Erasure Event</w:t>
      </w:r>
    </w:p>
    <w:p w14:paraId="45A48175" w14:textId="77777777" w:rsidR="00963DBA" w:rsidRDefault="00000000">
      <w:pPr>
        <w:pStyle w:val="Heading2"/>
      </w:pPr>
      <w:r>
        <w:t>5.1 What the Library Actually Contained</w:t>
      </w:r>
    </w:p>
    <w:p w14:paraId="53073A8C" w14:textId="77777777" w:rsidR="00963DBA" w:rsidRDefault="00000000">
      <w:pPr>
        <w:spacing w:before="80" w:after="120" w:line="320" w:lineRule="auto"/>
        <w:jc w:val="both"/>
      </w:pPr>
      <w:r>
        <w:t>The Library of Alexandria was not primarily a repository of procedural knowledge. The ancient world had abundant mechanisms for transmitting procedures — guild apprenticeships, craft communities, oral instruction, and practical demonstration. What the Library represented, uniquely, was an organized attempt to preserve, systematize, and make intellectually accessible the explanatory architecture of the most symbolically saturated civilization in human history, at a historical moment when that architecture was already beginning to lose its primary transmission chains as Egyptian temple education weakened under Ptolemaic and subsequently Roman cultural dominance.</w:t>
      </w:r>
    </w:p>
    <w:p w14:paraId="575DECEB" w14:textId="77777777" w:rsidR="00963DBA" w:rsidRDefault="00000000">
      <w:pPr>
        <w:spacing w:before="80" w:after="120" w:line="320" w:lineRule="auto"/>
        <w:jc w:val="both"/>
      </w:pPr>
      <w:r>
        <w:t>Founded under Ptolemaic patronage in the third century BCE, in a city simultaneously the intellectual capital of the Greek-speaking world and the site of transition from Egyptian to Greco-Roman cultural dominance, the Library's holdings at peak included not only Greek philosophical and literary texts but Egyptian astronomical, medical, and mathematical archives, Babylonian astronomical records, comparative theological and philosophical scholarship spanning multiple traditions, and administrative and technical records of the Egyptian state extending back centuries (Vondoom, 2026a; 2026b; 2026c). Many of these texts represented the only surviving copies of explanatory frameworks that had already lost their primary living transmission chains.</w:t>
      </w:r>
    </w:p>
    <w:p w14:paraId="4956C7F7" w14:textId="77777777" w:rsidR="00963DBA" w:rsidRDefault="00000000">
      <w:pPr>
        <w:spacing w:before="80" w:after="120" w:line="320" w:lineRule="auto"/>
        <w:jc w:val="both"/>
      </w:pPr>
      <w:r>
        <w:t>The alien-builder argument that persists in popular discourse around the Egyptian pyramids is, in the SSAB analysis, a misdiagnosis of a real problem. The problem is not that the pyramids could not have been built by humans — the Wadi al-</w:t>
      </w:r>
      <w:proofErr w:type="spellStart"/>
      <w:r>
        <w:t>Jarf</w:t>
      </w:r>
      <w:proofErr w:type="spellEnd"/>
      <w:r>
        <w:t xml:space="preserve"> papyri (2013) provide direct documentary evidence of Old Kingdom construction logistics in the actual journal of an inspector organizing limestone transport to Giza. The problem is that the explanatory architecture that would allow us to understand those achievements in their full structural context was progressively destroyed across the centuries following the Ptolemaic period. The gap in our understanding is </w:t>
      </w:r>
      <w:r>
        <w:lastRenderedPageBreak/>
        <w:t>real. Its cause is erasure, not absence of human capability. Alexandria was where the last organized attempt to preserve that explanatory layer was housed.</w:t>
      </w:r>
    </w:p>
    <w:p w14:paraId="21422B58" w14:textId="77777777" w:rsidR="00963DBA" w:rsidRDefault="00000000">
      <w:pPr>
        <w:pStyle w:val="Heading2"/>
      </w:pPr>
      <w:r>
        <w:t>5.2 The Multi-Stage Destruction and Its Asymmetric Losses</w:t>
      </w:r>
    </w:p>
    <w:p w14:paraId="028595EE" w14:textId="77777777" w:rsidR="00963DBA" w:rsidRDefault="00000000">
      <w:pPr>
        <w:spacing w:before="80" w:after="120" w:line="320" w:lineRule="auto"/>
        <w:jc w:val="both"/>
      </w:pPr>
      <w:r>
        <w:t xml:space="preserve">The </w:t>
      </w:r>
      <w:proofErr w:type="gramStart"/>
      <w:r>
        <w:t>Library's</w:t>
      </w:r>
      <w:proofErr w:type="gramEnd"/>
      <w:r>
        <w:t xml:space="preserve"> destruction was not the single catastrophic fire of popular imagination. It was a multi-stage process spanning approximately seven centuries, each stage removing different categories of material and disrupting different transmission chains.</w:t>
      </w:r>
    </w:p>
    <w:p w14:paraId="59D57F76" w14:textId="77777777" w:rsidR="00963DBA" w:rsidRDefault="00963DBA">
      <w:pPr>
        <w:spacing w:before="40" w:after="40"/>
      </w:pPr>
    </w:p>
    <w:tbl>
      <w:tblPr>
        <w:tblW w:w="8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85"/>
        <w:gridCol w:w="1370"/>
        <w:gridCol w:w="1682"/>
        <w:gridCol w:w="1956"/>
        <w:gridCol w:w="1667"/>
      </w:tblGrid>
      <w:tr w:rsidR="00963DBA" w14:paraId="6F3F453F"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1A1A2E"/>
            <w:tcMar>
              <w:top w:w="80" w:type="dxa"/>
              <w:left w:w="120" w:type="dxa"/>
              <w:bottom w:w="80" w:type="dxa"/>
              <w:right w:w="120" w:type="dxa"/>
            </w:tcMar>
          </w:tcPr>
          <w:p w14:paraId="6E87ADF4" w14:textId="77777777" w:rsidR="00963DBA" w:rsidRDefault="00000000">
            <w:r>
              <w:rPr>
                <w:b/>
                <w:bCs/>
                <w:color w:val="FFFFFF"/>
                <w:sz w:val="19"/>
                <w:szCs w:val="19"/>
              </w:rPr>
              <w:t>Event</w:t>
            </w:r>
          </w:p>
        </w:tc>
        <w:tc>
          <w:tcPr>
            <w:tcW w:w="1400" w:type="dxa"/>
            <w:tcBorders>
              <w:top w:val="single" w:sz="1" w:space="0" w:color="CCCCCC"/>
              <w:left w:val="single" w:sz="1" w:space="0" w:color="CCCCCC"/>
              <w:bottom w:val="single" w:sz="1" w:space="0" w:color="CCCCCC"/>
              <w:right w:val="single" w:sz="1" w:space="0" w:color="CCCCCC"/>
            </w:tcBorders>
            <w:shd w:val="clear" w:color="auto" w:fill="1A1A2E"/>
            <w:tcMar>
              <w:top w:w="80" w:type="dxa"/>
              <w:left w:w="120" w:type="dxa"/>
              <w:bottom w:w="80" w:type="dxa"/>
              <w:right w:w="120" w:type="dxa"/>
            </w:tcMar>
          </w:tcPr>
          <w:p w14:paraId="6629638C" w14:textId="77777777" w:rsidR="00963DBA" w:rsidRDefault="00000000">
            <w:r>
              <w:rPr>
                <w:b/>
                <w:bCs/>
                <w:color w:val="FFFFFF"/>
                <w:sz w:val="19"/>
                <w:szCs w:val="19"/>
              </w:rPr>
              <w:t>Approx. Date</w:t>
            </w:r>
          </w:p>
        </w:tc>
        <w:tc>
          <w:tcPr>
            <w:tcW w:w="1700" w:type="dxa"/>
            <w:tcBorders>
              <w:top w:val="single" w:sz="1" w:space="0" w:color="CCCCCC"/>
              <w:left w:val="single" w:sz="1" w:space="0" w:color="CCCCCC"/>
              <w:bottom w:val="single" w:sz="1" w:space="0" w:color="CCCCCC"/>
              <w:right w:val="single" w:sz="1" w:space="0" w:color="CCCCCC"/>
            </w:tcBorders>
            <w:shd w:val="clear" w:color="auto" w:fill="1A1A2E"/>
            <w:tcMar>
              <w:top w:w="80" w:type="dxa"/>
              <w:left w:w="120" w:type="dxa"/>
              <w:bottom w:w="80" w:type="dxa"/>
              <w:right w:w="120" w:type="dxa"/>
            </w:tcMar>
          </w:tcPr>
          <w:p w14:paraId="5CDCE014" w14:textId="77777777" w:rsidR="00963DBA" w:rsidRDefault="00000000">
            <w:r>
              <w:rPr>
                <w:b/>
                <w:bCs/>
                <w:color w:val="FFFFFF"/>
                <w:sz w:val="19"/>
                <w:szCs w:val="19"/>
              </w:rPr>
              <w:t>Mechanism</w:t>
            </w:r>
          </w:p>
        </w:tc>
        <w:tc>
          <w:tcPr>
            <w:tcW w:w="2000" w:type="dxa"/>
            <w:tcBorders>
              <w:top w:val="single" w:sz="1" w:space="0" w:color="CCCCCC"/>
              <w:left w:val="single" w:sz="1" w:space="0" w:color="CCCCCC"/>
              <w:bottom w:val="single" w:sz="1" w:space="0" w:color="CCCCCC"/>
              <w:right w:val="single" w:sz="1" w:space="0" w:color="CCCCCC"/>
            </w:tcBorders>
            <w:shd w:val="clear" w:color="auto" w:fill="1A1A2E"/>
            <w:tcMar>
              <w:top w:w="80" w:type="dxa"/>
              <w:left w:w="120" w:type="dxa"/>
              <w:bottom w:w="80" w:type="dxa"/>
              <w:right w:w="120" w:type="dxa"/>
            </w:tcMar>
          </w:tcPr>
          <w:p w14:paraId="208D4086" w14:textId="77777777" w:rsidR="00963DBA" w:rsidRDefault="00000000">
            <w:r>
              <w:rPr>
                <w:b/>
                <w:bCs/>
                <w:color w:val="FFFFFF"/>
                <w:sz w:val="19"/>
                <w:szCs w:val="19"/>
              </w:rPr>
              <w:t>Primary Loss</w:t>
            </w:r>
          </w:p>
        </w:tc>
        <w:tc>
          <w:tcPr>
            <w:tcW w:w="1560" w:type="dxa"/>
            <w:tcBorders>
              <w:top w:val="single" w:sz="1" w:space="0" w:color="CCCCCC"/>
              <w:left w:val="single" w:sz="1" w:space="0" w:color="CCCCCC"/>
              <w:bottom w:val="single" w:sz="1" w:space="0" w:color="CCCCCC"/>
              <w:right w:val="single" w:sz="1" w:space="0" w:color="CCCCCC"/>
            </w:tcBorders>
            <w:shd w:val="clear" w:color="auto" w:fill="1A1A2E"/>
            <w:tcMar>
              <w:top w:w="80" w:type="dxa"/>
              <w:left w:w="120" w:type="dxa"/>
              <w:bottom w:w="80" w:type="dxa"/>
              <w:right w:w="120" w:type="dxa"/>
            </w:tcMar>
          </w:tcPr>
          <w:p w14:paraId="65F125AD" w14:textId="77777777" w:rsidR="00963DBA" w:rsidRDefault="00000000">
            <w:r>
              <w:rPr>
                <w:b/>
                <w:bCs/>
                <w:color w:val="FFFFFF"/>
                <w:sz w:val="19"/>
                <w:szCs w:val="19"/>
              </w:rPr>
              <w:t>SSAB Category</w:t>
            </w:r>
          </w:p>
        </w:tc>
      </w:tr>
      <w:tr w:rsidR="00963DBA" w14:paraId="20FB2BC3"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9507533" w14:textId="77777777" w:rsidR="00963DBA" w:rsidRDefault="00000000">
            <w:r>
              <w:rPr>
                <w:sz w:val="19"/>
                <w:szCs w:val="19"/>
              </w:rPr>
              <w:t>Caesar's fire</w:t>
            </w:r>
          </w:p>
        </w:tc>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EAD1459" w14:textId="77777777" w:rsidR="00963DBA" w:rsidRDefault="00000000">
            <w:r>
              <w:rPr>
                <w:sz w:val="19"/>
                <w:szCs w:val="19"/>
              </w:rPr>
              <w:t>48 BCE</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0F2669B" w14:textId="77777777" w:rsidR="00963DBA" w:rsidRDefault="00000000">
            <w:r>
              <w:rPr>
                <w:sz w:val="19"/>
                <w:szCs w:val="19"/>
              </w:rPr>
              <w:t>Accidental, Alexandrian War</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E574510" w14:textId="77777777" w:rsidR="00963DBA" w:rsidRDefault="00000000">
            <w:r>
              <w:rPr>
                <w:sz w:val="19"/>
                <w:szCs w:val="19"/>
              </w:rPr>
              <w:t>Dockside warehouse; est. 40,000 scrolls</w:t>
            </w:r>
          </w:p>
        </w:tc>
        <w:tc>
          <w:tcPr>
            <w:tcW w:w="1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5016137" w14:textId="77777777" w:rsidR="00963DBA" w:rsidRDefault="00000000">
            <w:r>
              <w:rPr>
                <w:sz w:val="19"/>
                <w:szCs w:val="19"/>
              </w:rPr>
              <w:t>Procedural records; administrative archives</w:t>
            </w:r>
          </w:p>
        </w:tc>
      </w:tr>
      <w:tr w:rsidR="00963DBA" w14:paraId="09F79C1D"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CA94D4" w14:textId="77777777" w:rsidR="00963DBA" w:rsidRDefault="00000000">
            <w:r>
              <w:rPr>
                <w:sz w:val="19"/>
                <w:szCs w:val="19"/>
              </w:rPr>
              <w:t>Aurelian's siege</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CBC83AD" w14:textId="77777777" w:rsidR="00963DBA" w:rsidRDefault="00000000">
            <w:r>
              <w:rPr>
                <w:sz w:val="19"/>
                <w:szCs w:val="19"/>
              </w:rPr>
              <w:t>270s CE</w:t>
            </w:r>
          </w:p>
        </w:tc>
        <w:tc>
          <w:tcPr>
            <w:tcW w:w="1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144497" w14:textId="77777777" w:rsidR="00963DBA" w:rsidRDefault="00000000">
            <w:r>
              <w:rPr>
                <w:sz w:val="19"/>
                <w:szCs w:val="19"/>
              </w:rPr>
              <w:t xml:space="preserve">Military destruction of </w:t>
            </w:r>
            <w:proofErr w:type="spellStart"/>
            <w:r>
              <w:rPr>
                <w:sz w:val="19"/>
                <w:szCs w:val="19"/>
              </w:rPr>
              <w:t>Brucheion</w:t>
            </w:r>
            <w:proofErr w:type="spellEnd"/>
            <w:r>
              <w:rPr>
                <w:sz w:val="19"/>
                <w:szCs w:val="19"/>
              </w:rPr>
              <w:t xml:space="preserve"> quarter</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9805EF" w14:textId="77777777" w:rsidR="00963DBA" w:rsidRDefault="00000000">
            <w:r>
              <w:rPr>
                <w:sz w:val="19"/>
                <w:szCs w:val="19"/>
              </w:rPr>
              <w:t>Research quarter; scholar displacement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287AB0" w14:textId="77777777" w:rsidR="00963DBA" w:rsidRDefault="00000000">
            <w:r>
              <w:rPr>
                <w:sz w:val="19"/>
                <w:szCs w:val="19"/>
              </w:rPr>
              <w:t>Active transmission chains; pedagogical community</w:t>
            </w:r>
          </w:p>
        </w:tc>
      </w:tr>
      <w:tr w:rsidR="00963DBA" w14:paraId="7F4CAD25"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B2CC6D8" w14:textId="77777777" w:rsidR="00963DBA" w:rsidRDefault="00000000">
            <w:r>
              <w:rPr>
                <w:sz w:val="19"/>
                <w:szCs w:val="19"/>
              </w:rPr>
              <w:t>Theophilus purges</w:t>
            </w:r>
          </w:p>
        </w:tc>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FD54327" w14:textId="77777777" w:rsidR="00963DBA" w:rsidRDefault="00000000">
            <w:r>
              <w:rPr>
                <w:sz w:val="19"/>
                <w:szCs w:val="19"/>
              </w:rPr>
              <w:t>391 CE</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37E2495" w14:textId="77777777" w:rsidR="00963DBA" w:rsidRDefault="00000000">
            <w:r>
              <w:rPr>
                <w:sz w:val="19"/>
                <w:szCs w:val="19"/>
              </w:rPr>
              <w:t>Systematic pagan text destruction</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94E33E3" w14:textId="77777777" w:rsidR="00963DBA" w:rsidRDefault="00000000">
            <w:r>
              <w:rPr>
                <w:sz w:val="19"/>
                <w:szCs w:val="19"/>
              </w:rPr>
              <w:t>Serapeum library; comparative scholarship</w:t>
            </w:r>
          </w:p>
        </w:tc>
        <w:tc>
          <w:tcPr>
            <w:tcW w:w="1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8293115" w14:textId="77777777" w:rsidR="00963DBA" w:rsidRDefault="00000000">
            <w:r>
              <w:rPr>
                <w:sz w:val="19"/>
                <w:szCs w:val="19"/>
              </w:rPr>
              <w:t>Cosmological and theological architecture</w:t>
            </w:r>
          </w:p>
        </w:tc>
      </w:tr>
      <w:tr w:rsidR="00963DBA" w14:paraId="62EABF66"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9B5F53" w14:textId="77777777" w:rsidR="00963DBA" w:rsidRDefault="00000000">
            <w:r>
              <w:rPr>
                <w:sz w:val="19"/>
                <w:szCs w:val="19"/>
              </w:rPr>
              <w:t>Hypatia's murder</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A4C8CB" w14:textId="77777777" w:rsidR="00963DBA" w:rsidRDefault="00000000">
            <w:r>
              <w:rPr>
                <w:sz w:val="19"/>
                <w:szCs w:val="19"/>
              </w:rPr>
              <w:t>415 CE</w:t>
            </w:r>
          </w:p>
        </w:tc>
        <w:tc>
          <w:tcPr>
            <w:tcW w:w="1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B80531" w14:textId="77777777" w:rsidR="00963DBA" w:rsidRDefault="00000000">
            <w:r>
              <w:rPr>
                <w:sz w:val="19"/>
                <w:szCs w:val="19"/>
              </w:rPr>
              <w:t>Political-religious violence</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ABDC6E" w14:textId="77777777" w:rsidR="00963DBA" w:rsidRDefault="00000000">
            <w:r>
              <w:rPr>
                <w:sz w:val="19"/>
                <w:szCs w:val="19"/>
              </w:rPr>
              <w:t>Leading active scholar</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342134" w14:textId="77777777" w:rsidR="00963DBA" w:rsidRDefault="00000000">
            <w:r>
              <w:rPr>
                <w:sz w:val="19"/>
                <w:szCs w:val="19"/>
              </w:rPr>
              <w:t>Living transmission chain eliminated</w:t>
            </w:r>
          </w:p>
        </w:tc>
      </w:tr>
      <w:tr w:rsidR="00963DBA" w14:paraId="666500AC"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2BDA164" w14:textId="77777777" w:rsidR="00963DBA" w:rsidRDefault="00000000">
            <w:r>
              <w:rPr>
                <w:sz w:val="19"/>
                <w:szCs w:val="19"/>
              </w:rPr>
              <w:t>Arab conquest / neglect</w:t>
            </w:r>
          </w:p>
        </w:tc>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FE56467" w14:textId="77777777" w:rsidR="00963DBA" w:rsidRDefault="00000000">
            <w:r>
              <w:rPr>
                <w:sz w:val="19"/>
                <w:szCs w:val="19"/>
              </w:rPr>
              <w:t>642 CE+</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E498C8C" w14:textId="77777777" w:rsidR="00963DBA" w:rsidRDefault="00000000">
            <w:r>
              <w:rPr>
                <w:sz w:val="19"/>
                <w:szCs w:val="19"/>
              </w:rPr>
              <w:t>Administrative discontinuity</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6A1BB7D" w14:textId="77777777" w:rsidR="00963DBA" w:rsidRDefault="00000000">
            <w:r>
              <w:rPr>
                <w:sz w:val="19"/>
                <w:szCs w:val="19"/>
              </w:rPr>
              <w:t>Remaining institutional support</w:t>
            </w:r>
          </w:p>
        </w:tc>
        <w:tc>
          <w:tcPr>
            <w:tcW w:w="1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5A28214" w14:textId="77777777" w:rsidR="00963DBA" w:rsidRDefault="00000000">
            <w:r>
              <w:rPr>
                <w:sz w:val="19"/>
                <w:szCs w:val="19"/>
              </w:rPr>
              <w:t>Last surviving transmission contexts</w:t>
            </w:r>
          </w:p>
        </w:tc>
      </w:tr>
      <w:tr w:rsidR="00963DBA" w14:paraId="764E2FE2"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D7A44B" w14:textId="77777777" w:rsidR="00963DBA" w:rsidRDefault="00000000">
            <w:r>
              <w:rPr>
                <w:sz w:val="19"/>
                <w:szCs w:val="19"/>
              </w:rPr>
              <w:t>Cumulative result</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C6BAF9" w14:textId="77777777" w:rsidR="00963DBA" w:rsidRDefault="00000000">
            <w:r>
              <w:rPr>
                <w:sz w:val="19"/>
                <w:szCs w:val="19"/>
              </w:rPr>
              <w:t>By 8th century CE</w:t>
            </w:r>
          </w:p>
        </w:tc>
        <w:tc>
          <w:tcPr>
            <w:tcW w:w="1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FFA140" w14:textId="77777777" w:rsidR="00963DBA" w:rsidRDefault="00000000">
            <w:r>
              <w:rPr>
                <w:sz w:val="19"/>
                <w:szCs w:val="19"/>
              </w:rPr>
              <w:t>Multi-stage</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D9CFF7" w14:textId="77777777" w:rsidR="00963DBA" w:rsidRDefault="00000000">
            <w:proofErr w:type="gramStart"/>
            <w:r>
              <w:rPr>
                <w:sz w:val="19"/>
                <w:szCs w:val="19"/>
              </w:rPr>
              <w:t>Egyptian-Greek</w:t>
            </w:r>
            <w:proofErr w:type="gramEnd"/>
            <w:r>
              <w:rPr>
                <w:sz w:val="19"/>
                <w:szCs w:val="19"/>
              </w:rPr>
              <w:t xml:space="preserve"> synthetic architecture</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0C2E05" w14:textId="77777777" w:rsidR="00963DBA" w:rsidRDefault="00000000">
            <w:r>
              <w:rPr>
                <w:sz w:val="19"/>
                <w:szCs w:val="19"/>
              </w:rPr>
              <w:t>Architecture lost; procedures as decontextualized fragments</w:t>
            </w:r>
          </w:p>
        </w:tc>
      </w:tr>
    </w:tbl>
    <w:p w14:paraId="308FE88A" w14:textId="77777777" w:rsidR="00963DBA" w:rsidRDefault="00963DBA">
      <w:pPr>
        <w:spacing w:before="80" w:after="80"/>
      </w:pPr>
    </w:p>
    <w:p w14:paraId="1BD8BE24" w14:textId="77777777" w:rsidR="00963DBA" w:rsidRDefault="00000000">
      <w:pPr>
        <w:spacing w:before="80" w:after="120" w:line="320" w:lineRule="auto"/>
        <w:jc w:val="both"/>
      </w:pPr>
      <w:r>
        <w:t xml:space="preserve">The asymmetry of these losses is the key SSAB observation. Procedural knowledge — distributed across guild traditions and craft communities not dependent on the </w:t>
      </w:r>
      <w:proofErr w:type="gramStart"/>
      <w:r>
        <w:t>Library</w:t>
      </w:r>
      <w:proofErr w:type="gramEnd"/>
      <w:r>
        <w:t xml:space="preserve"> — survived in many cases, though often decontextualized. What was uniquely concentrated in the </w:t>
      </w:r>
      <w:proofErr w:type="gramStart"/>
      <w:r>
        <w:t>Library</w:t>
      </w:r>
      <w:proofErr w:type="gramEnd"/>
      <w:r>
        <w:t>, and uniquely vulnerable, was the explanatory architecture: the systematic theoretical frameworks, comparative scholarship, and above all the scholarly community and its living transmission chains that made archived material intelligible to subsequent generations. Architecture is more vulnerable than procedure because it requires living transmission chains that procedures do not. A construction technique can be approximately reinvented from its physical outputs. An explanatory framework cannot be reinvented from outputs alone, because the outputs do not contain the structural logic that generated them.</w:t>
      </w:r>
    </w:p>
    <w:p w14:paraId="650333E8" w14:textId="77777777" w:rsidR="00963DBA" w:rsidRDefault="00000000">
      <w:pPr>
        <w:pStyle w:val="Heading2"/>
      </w:pPr>
      <w:r>
        <w:t>5.3 Narrative Reattribution: Who Controls the Archive</w:t>
      </w:r>
    </w:p>
    <w:p w14:paraId="46EB3A66" w14:textId="77777777" w:rsidR="00963DBA" w:rsidRDefault="00000000">
      <w:pPr>
        <w:spacing w:before="80" w:after="120" w:line="320" w:lineRule="auto"/>
        <w:jc w:val="both"/>
      </w:pPr>
      <w:r>
        <w:lastRenderedPageBreak/>
        <w:t xml:space="preserve">The destruction of architectural sources tends to be accompanied by narrative reattribution: the civilization that controls the archive constructs the story of where the preserved knowledge came from. Greek philosophy is described as a Greek invention when its primary originators credited Egyptian sources in primary texts that survive (Plato, Timaeus; Herodotus, Histories II; Diodorus Siculus, Bibliotheca </w:t>
      </w:r>
      <w:proofErr w:type="spellStart"/>
      <w:r>
        <w:t>Historica</w:t>
      </w:r>
      <w:proofErr w:type="spellEnd"/>
      <w:r>
        <w:t xml:space="preserve"> I). Roman law is described as a Roman achievement when it substantially derives from Greek philosophical architecture. European science is described as emerging from the Greek tradition when the Greek tradition explicitly derived its foundational frameworks from Egyptian, Babylonian, and Persian prior development (Vondoom, 2026e; Burkert, 1985).</w:t>
      </w:r>
    </w:p>
    <w:p w14:paraId="492C4334" w14:textId="77777777" w:rsidR="00963DBA" w:rsidRDefault="00000000">
      <w:pPr>
        <w:spacing w:before="80" w:after="120" w:line="320" w:lineRule="auto"/>
        <w:jc w:val="both"/>
      </w:pPr>
      <w:r>
        <w:t xml:space="preserve">This reattribution is not always deliberate — much of it is the ordinary operation of cultural transmission with its inherent distortions and self-serving simplifications. Some of it was explicitly intentional: the Christian suppression of Neoplatonism and Hermeticism — the traditions that most explicitly maintained the </w:t>
      </w:r>
      <w:proofErr w:type="gramStart"/>
      <w:r>
        <w:t>Egyptian-Greek</w:t>
      </w:r>
      <w:proofErr w:type="gramEnd"/>
      <w:r>
        <w:t xml:space="preserve"> intellectual connection — removed from circulation precisely the scholarly apparatus that would have kept the Egyptian contribution to Greek philosophy visible to subsequent European scholars (Vondoom, 2026e). By the time the Renaissance attempted a recovery of classical learning, the transmission chain connecting Greek philosophy back to its Egyptian sources had been severed for over a millennium. The standard Western narrative of civilization — Greece to Rome to Europe, with Egypt as primitive precursor — is the product of repeated processes of architectural erasure and narrative reattribution, some deliberate and some the structural outcome of transmission under conditions of radical power asymmetry.</w:t>
      </w:r>
    </w:p>
    <w:p w14:paraId="421B0E2A" w14:textId="77777777" w:rsidR="00963DBA" w:rsidRDefault="00000000">
      <w:pPr>
        <w:pStyle w:val="Heading2"/>
      </w:pPr>
      <w:r>
        <w:t>5.4 A Contemporary Structural Parallel</w:t>
      </w:r>
    </w:p>
    <w:p w14:paraId="22FB26CB" w14:textId="77777777" w:rsidR="00963DBA" w:rsidRDefault="00000000">
      <w:pPr>
        <w:spacing w:before="80" w:after="120" w:line="320" w:lineRule="auto"/>
        <w:jc w:val="both"/>
      </w:pPr>
      <w:r>
        <w:t>The 2003 looting of the Iraq Museum in Baghdad in the aftermath of the US-led invasion provides a contemporary case that maps structurally onto the Alexandria pattern. Approximately 15,000 objects were removed in the days following the fall of Baghdad, in a context in which the institution was not adequately protected despite explicit prior warnings from archaeologists and museum professionals. Many of the removed objects were significant not for their material value but for their status as primary evidential anchors for the explanatory architecture of Mesopotamian civilization — the civilization whose symbolic innovations contributed directly to the emergence of cuneiform writing and whose theological frameworks contributed, via Babylonian intermediaries, to the foundations of Abrahamic religion (Vondoom, 2026e).</w:t>
      </w:r>
    </w:p>
    <w:p w14:paraId="180C02CE" w14:textId="77777777" w:rsidR="00963DBA" w:rsidRDefault="00000000">
      <w:pPr>
        <w:spacing w:before="80" w:after="120" w:line="320" w:lineRule="auto"/>
        <w:jc w:val="both"/>
      </w:pPr>
      <w:r>
        <w:t xml:space="preserve">In both the Alexandria and Iraq Museum cases, the conditions for destruction of irreplaceable explanatory architecture emerged alongside military action, and the physical infrastructure of the target civilization survived in various forms while the scholarly and documentary infrastructure that makes that physical infrastructure intellectually legible suffered disproportionate damage. The pattern is not incidental to the history of civilizational knowledge transfer — it is one of its recurring structural features (Vondoom, 2026d). Identifying it is not a moral judgment on any </w:t>
      </w:r>
      <w:proofErr w:type="gramStart"/>
      <w:r>
        <w:t>particular civilization</w:t>
      </w:r>
      <w:proofErr w:type="gramEnd"/>
      <w:r>
        <w:t>; it is a structural observation about how knowledge tends to be distributed, concentrated, and lost under conditions of rapid political transition.</w:t>
      </w:r>
    </w:p>
    <w:p w14:paraId="1FD45023" w14:textId="77777777" w:rsidR="00963DBA" w:rsidRDefault="00963DBA">
      <w:pPr>
        <w:spacing w:before="60" w:after="60"/>
      </w:pPr>
    </w:p>
    <w:p w14:paraId="09A57252" w14:textId="77777777" w:rsidR="00DD3FED" w:rsidRDefault="00DD3FED">
      <w:pPr>
        <w:pStyle w:val="Heading1"/>
      </w:pPr>
    </w:p>
    <w:p w14:paraId="2F130424" w14:textId="2B94E1C1" w:rsidR="00963DBA" w:rsidRDefault="00000000">
      <w:pPr>
        <w:pStyle w:val="Heading1"/>
      </w:pPr>
      <w:r>
        <w:t>6. The United States as Structural Negative Case</w:t>
      </w:r>
    </w:p>
    <w:p w14:paraId="0792A01D" w14:textId="77777777" w:rsidR="00963DBA" w:rsidRDefault="00000000">
      <w:pPr>
        <w:pStyle w:val="Heading2"/>
      </w:pPr>
      <w:r>
        <w:t>6.1 Methodological Note on Negative Cases</w:t>
      </w:r>
    </w:p>
    <w:p w14:paraId="1F153382" w14:textId="77777777" w:rsidR="00963DBA" w:rsidRDefault="00000000">
      <w:pPr>
        <w:spacing w:before="80" w:after="120" w:line="320" w:lineRule="auto"/>
        <w:jc w:val="both"/>
      </w:pPr>
      <w:r>
        <w:t>The SSAB principle requires negative cases: historical instances in which the predicted mechanism fails to operate and the predicted opposite outcome results. A positive case suggests that symbolic absorption produces compounding knowledge and civilizational stability. A negative case should exhibit knowledge loss, institutional fragility, and civilizational instability even in a civilization that is technologically sophisticated and materially powerful. The United States provides a structurally instructive negative case in the modern historical record: one in which the failure conditions are archaeologically and historically traceable, the institutional outputs are extensively recorded, and contemporary fragility signatures are directly observable.</w:t>
      </w:r>
    </w:p>
    <w:p w14:paraId="0B65B3D5" w14:textId="77777777" w:rsidR="00963DBA" w:rsidRDefault="00000000">
      <w:pPr>
        <w:spacing w:before="80" w:after="120" w:line="320" w:lineRule="auto"/>
        <w:jc w:val="both"/>
      </w:pPr>
      <w:r>
        <w:t xml:space="preserve">This section does not argue that the United States is uniquely problematic among modern nation-states, or that its historical actors were unusually malicious. The SSAB framework is structural, not moral: it asks whether the conditions that produce the predicted failure profile are present, not whether individuals or institutions deserve blame for producing them. The same structural analysis applies to every colonial formation that erased prior symbolic architectures rather than absorbing them. The United States is the most extensively documented case in the modern record, which makes it analytically useful without making it uniquely culpable (Vondoom, 2025a; 2026d; Graeber and </w:t>
      </w:r>
      <w:proofErr w:type="spellStart"/>
      <w:r>
        <w:t>Wengrow</w:t>
      </w:r>
      <w:proofErr w:type="spellEnd"/>
      <w:r>
        <w:t>, 2021).</w:t>
      </w:r>
    </w:p>
    <w:p w14:paraId="57B0AF4B" w14:textId="77777777" w:rsidR="00963DBA" w:rsidRDefault="00000000">
      <w:pPr>
        <w:pStyle w:val="Heading2"/>
      </w:pPr>
      <w:r>
        <w:t>6.2 Native American Symbolic Architecture and the Erasure of Ecological Knowledge</w:t>
      </w:r>
    </w:p>
    <w:p w14:paraId="3041C3F0" w14:textId="77777777" w:rsidR="00963DBA" w:rsidRDefault="00000000">
      <w:pPr>
        <w:spacing w:before="80" w:after="120" w:line="320" w:lineRule="auto"/>
        <w:jc w:val="both"/>
      </w:pPr>
      <w:r>
        <w:t xml:space="preserve">The Indigenous populations of North America at the time of European contact represented the accumulated outcome of thousands of years of symbolic saturation within the specific ecological, demographic, and geographic conditions of the North American continent. This saturation was predominantly oral, landscape-anchored, and practice-embedded rather than monumental and text-based — symbolically deep by DSSM criteria while less archaeologically visible than Egyptian or Mesopotamian systems. The four DSSM stabilization criteria were met through different material channels: intergenerational repetition through oral narrative and ceremonial practice; spatial constraint through sacred geography and seasonal gathering sites; cross-media redundancy through the same symbolic content expressed in narrative, material culture, and ritual performance; and persistence under stress demonstrated across millennia of climatic variability (Vondoom, 2025a; Graeber and </w:t>
      </w:r>
      <w:proofErr w:type="spellStart"/>
      <w:r>
        <w:t>Wengrow</w:t>
      </w:r>
      <w:proofErr w:type="spellEnd"/>
      <w:r>
        <w:t>, 2021).</w:t>
      </w:r>
    </w:p>
    <w:p w14:paraId="6606930B" w14:textId="77777777" w:rsidR="00963DBA" w:rsidRDefault="00000000">
      <w:pPr>
        <w:spacing w:before="80" w:after="120" w:line="320" w:lineRule="auto"/>
        <w:jc w:val="both"/>
      </w:pPr>
      <w:r>
        <w:t xml:space="preserve">What Indigenous North American symbolic systems had accumulated was precisely the category of knowledge SSAB identifies as most valuable and most irreplaceable: explanatory architecture specific to North American ecology, climate, hydrology, and social organization. This included </w:t>
      </w:r>
      <w:r>
        <w:lastRenderedPageBreak/>
        <w:t xml:space="preserve">land management systems whose outputs — the ecological richness that early European settlers described with consistent wonder — were the products of active management rather than untouched wilderness, as Graeber and </w:t>
      </w:r>
      <w:proofErr w:type="spellStart"/>
      <w:r>
        <w:t>Wengrow</w:t>
      </w:r>
      <w:proofErr w:type="spellEnd"/>
      <w:r>
        <w:t xml:space="preserve"> (2021) document extensively. It included astronomical knowledge embedded in landscape architecture, burning regimes calibrated to specific regional ecologies, and social organizational frameworks tested across millennia of environmental variability.</w:t>
      </w:r>
    </w:p>
    <w:p w14:paraId="25440A6E" w14:textId="77777777" w:rsidR="00963DBA" w:rsidRDefault="00000000">
      <w:pPr>
        <w:spacing w:before="80" w:after="120" w:line="320" w:lineRule="auto"/>
        <w:jc w:val="both"/>
      </w:pPr>
      <w:r>
        <w:t>European colonization of North America did not absorb this symbolic architecture. It systematically disrupted it through policies that explicitly targeted language, ceremonial practice, and intergenerational symbolic transmission — the precise mechanisms through which architectural knowledge is maintained across generations. Residential school systems in the United States and Canada made this targeting explicit. In SSAB terms, the structural result is predictable: a civilization built on a continent whose ecological conditions it did not architecturally understand, using land management approaches developed for European conditions that were in many cases ecologically inappropriate for North American systems. The ecological instabilities of North American agriculture — soil exhaustion, deforestation patterns, fishery collapse, the Dust Bowl — are consistent with this structural prediction, though attributing them to a single cause would itself be an overclaim. Multiple factors contributed; the absence of place-specific ecological architecture was among them.</w:t>
      </w:r>
    </w:p>
    <w:p w14:paraId="3E50D3FC" w14:textId="77777777" w:rsidR="00963DBA" w:rsidRDefault="00000000">
      <w:pPr>
        <w:pStyle w:val="Heading2"/>
      </w:pPr>
      <w:r>
        <w:t>6.3 Institutional Construction Without Symbolic Saturation</w:t>
      </w:r>
    </w:p>
    <w:p w14:paraId="3DE142F6" w14:textId="77777777" w:rsidR="00963DBA" w:rsidRDefault="00000000">
      <w:pPr>
        <w:spacing w:before="80" w:after="120" w:line="320" w:lineRule="auto"/>
        <w:jc w:val="both"/>
      </w:pPr>
      <w:r>
        <w:t xml:space="preserve">The United States Constitution is a document of genuine procedural sophistication, reflecting real architectural understanding of how power concentrates and how institutional design can counteract that tendency — architectural understanding derived from the Enlightenment philosophical tradition, which is itself the downstream inheritor of the </w:t>
      </w:r>
      <w:proofErr w:type="gramStart"/>
      <w:r>
        <w:t>Greek-Roman</w:t>
      </w:r>
      <w:proofErr w:type="gramEnd"/>
      <w:r>
        <w:t>-Egyptian transmission chain traced in earlier sections. But the Constitution was written by men who had been a coherent political entity for approximately a decade, encoding Stage 4 institutional procedures on top of a symbolic foundation that had not undergone the extended Stage 2 and Stage 3 development that underlies the most durable examples of Stage 4 institutional emergence in the DSSM record.</w:t>
      </w:r>
    </w:p>
    <w:p w14:paraId="05D2BE19" w14:textId="77777777" w:rsidR="00963DBA" w:rsidRDefault="00000000">
      <w:pPr>
        <w:spacing w:before="80" w:after="120" w:line="320" w:lineRule="auto"/>
        <w:jc w:val="both"/>
      </w:pPr>
      <w:r>
        <w:t>What institutional sophistication cannot substitute for is symbolic saturation — the shared cognitive and affective infrastructure that, in successful DSSM Stage 4 cases, precedes and underlies the institutional layer (Vondoom, 2025a; 2026d). Roman legal and administrative sophistication emerged from centuries of prior symbolic practice that had already stabilized the cognitive habits and social expectations on which institutional function depends. The United States attempted to construct Stage 4 institutions on a symbolic foundation that was a patchwork of incompatible Stage 2 and Stage 3 systems: the plantation economy of the Southern states; the Puritan covenant theology of New England; the Enlightenment rationalism of the founders; and the commercial expansion ethos that would eventually come to dominate all of them. None of these had been reconciled into a unified symbolic architecture capable of anchoring the institutional system they were being asked to support.</w:t>
      </w:r>
    </w:p>
    <w:p w14:paraId="00D379B0" w14:textId="77777777" w:rsidR="00963DBA" w:rsidRDefault="00000000">
      <w:pPr>
        <w:spacing w:before="80" w:after="120" w:line="320" w:lineRule="auto"/>
        <w:jc w:val="both"/>
      </w:pPr>
      <w:r>
        <w:lastRenderedPageBreak/>
        <w:t>The Civil War is, on the SSAB reading, consistent with the predicted outcome of Stage 4 institutional construction preceding Stage 3 symbolic saturation: when institutions are not anchored deeply enough in shared symbolic infrastructure, conflicts arising from incompatible underlying symbolic systems tend not to be resolved by institutional mechanisms, only formally adjudicated. The war ended the formal legal question of slavery. It did not resolve the symbolic conflict — the incompatible accounts of what the United States was, what it was for, and who it was for — that had generated that question. That symbolic conflict has continued to contest formal institutional resolutions for one hundred and sixty years, generating the pattern of institutional norm erosion and protocol-substitution for genuine symbolic cohesion that Vondoom (2026d) identifies as the characteristic signature of Protocol Power systems operating without sufficient symbolic foundation.</w:t>
      </w:r>
    </w:p>
    <w:p w14:paraId="4BEFF5AE" w14:textId="77777777" w:rsidR="00963DBA" w:rsidRDefault="00000000">
      <w:pPr>
        <w:pStyle w:val="Heading2"/>
      </w:pPr>
      <w:r>
        <w:t>6.4 Institutional Fragility Signatures: A Structural Comparison</w:t>
      </w:r>
    </w:p>
    <w:p w14:paraId="4FB0FC83" w14:textId="77777777" w:rsidR="00963DBA" w:rsidRDefault="00000000">
      <w:pPr>
        <w:spacing w:before="80" w:after="120" w:line="320" w:lineRule="auto"/>
        <w:jc w:val="both"/>
      </w:pPr>
      <w:r>
        <w:t xml:space="preserve">The structural parallel between late Republican Rome and the contemporary United States is analytically useful precisely because it is not merely a political </w:t>
      </w:r>
      <w:proofErr w:type="gramStart"/>
      <w:r>
        <w:t>analogy</w:t>
      </w:r>
      <w:proofErr w:type="gramEnd"/>
      <w:r>
        <w:t xml:space="preserve"> but a structural prediction derived from a theory of civilizational dynamics. Both exhibit the same SSAB failure mode: erosion of the symbolic consensus that makes institutional norms function as effective constraints on powerful actors, occurring faster than the formal institutional structure can compensate for (Vondoom, 2026d).</w:t>
      </w:r>
    </w:p>
    <w:p w14:paraId="53D40CE6" w14:textId="77777777" w:rsidR="00963DBA" w:rsidRDefault="00963DBA">
      <w:pPr>
        <w:spacing w:before="40" w:after="40"/>
      </w:pPr>
    </w:p>
    <w:tbl>
      <w:tblPr>
        <w:tblW w:w="7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2700"/>
        <w:gridCol w:w="2860"/>
      </w:tblGrid>
      <w:tr w:rsidR="00963DBA" w14:paraId="38090B71"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1A1A2E"/>
            <w:tcMar>
              <w:top w:w="80" w:type="dxa"/>
              <w:left w:w="120" w:type="dxa"/>
              <w:bottom w:w="80" w:type="dxa"/>
              <w:right w:w="120" w:type="dxa"/>
            </w:tcMar>
          </w:tcPr>
          <w:p w14:paraId="08FFAF32" w14:textId="77777777" w:rsidR="00963DBA" w:rsidRDefault="00000000" w:rsidP="00DD3FED">
            <w:pPr>
              <w:jc w:val="center"/>
            </w:pPr>
            <w:r>
              <w:rPr>
                <w:b/>
                <w:bCs/>
                <w:color w:val="FFFFFF"/>
                <w:sz w:val="19"/>
                <w:szCs w:val="19"/>
              </w:rPr>
              <w:t>Fragility Dimension</w:t>
            </w:r>
          </w:p>
        </w:tc>
        <w:tc>
          <w:tcPr>
            <w:tcW w:w="2700" w:type="dxa"/>
            <w:tcBorders>
              <w:top w:val="single" w:sz="1" w:space="0" w:color="CCCCCC"/>
              <w:left w:val="single" w:sz="1" w:space="0" w:color="CCCCCC"/>
              <w:bottom w:val="single" w:sz="1" w:space="0" w:color="CCCCCC"/>
              <w:right w:val="single" w:sz="1" w:space="0" w:color="CCCCCC"/>
            </w:tcBorders>
            <w:shd w:val="clear" w:color="auto" w:fill="1A1A2E"/>
            <w:tcMar>
              <w:top w:w="80" w:type="dxa"/>
              <w:left w:w="120" w:type="dxa"/>
              <w:bottom w:w="80" w:type="dxa"/>
              <w:right w:w="120" w:type="dxa"/>
            </w:tcMar>
          </w:tcPr>
          <w:p w14:paraId="53F0CA42" w14:textId="77777777" w:rsidR="00963DBA" w:rsidRDefault="00000000" w:rsidP="00DD3FED">
            <w:pPr>
              <w:jc w:val="center"/>
            </w:pPr>
            <w:r>
              <w:rPr>
                <w:b/>
                <w:bCs/>
                <w:color w:val="FFFFFF"/>
                <w:sz w:val="19"/>
                <w:szCs w:val="19"/>
              </w:rPr>
              <w:t>Late Roman Republic (c. 133-27 BCE)</w:t>
            </w:r>
          </w:p>
        </w:tc>
        <w:tc>
          <w:tcPr>
            <w:tcW w:w="2860" w:type="dxa"/>
            <w:tcBorders>
              <w:top w:val="single" w:sz="1" w:space="0" w:color="CCCCCC"/>
              <w:left w:val="single" w:sz="1" w:space="0" w:color="CCCCCC"/>
              <w:bottom w:val="single" w:sz="1" w:space="0" w:color="CCCCCC"/>
              <w:right w:val="single" w:sz="1" w:space="0" w:color="CCCCCC"/>
            </w:tcBorders>
            <w:shd w:val="clear" w:color="auto" w:fill="1A1A2E"/>
            <w:tcMar>
              <w:top w:w="80" w:type="dxa"/>
              <w:left w:w="120" w:type="dxa"/>
              <w:bottom w:w="80" w:type="dxa"/>
              <w:right w:w="120" w:type="dxa"/>
            </w:tcMar>
          </w:tcPr>
          <w:p w14:paraId="578C2F8D" w14:textId="77777777" w:rsidR="00963DBA" w:rsidRDefault="00000000" w:rsidP="00DD3FED">
            <w:pPr>
              <w:jc w:val="center"/>
            </w:pPr>
            <w:r>
              <w:rPr>
                <w:b/>
                <w:bCs/>
                <w:color w:val="FFFFFF"/>
                <w:sz w:val="19"/>
                <w:szCs w:val="19"/>
              </w:rPr>
              <w:t>Contemporary United States</w:t>
            </w:r>
          </w:p>
        </w:tc>
      </w:tr>
      <w:tr w:rsidR="00963DBA" w14:paraId="6663C7D8"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E08B203" w14:textId="77777777" w:rsidR="00963DBA" w:rsidRDefault="00000000" w:rsidP="00DD3FED">
            <w:pPr>
              <w:jc w:val="center"/>
            </w:pPr>
            <w:r>
              <w:rPr>
                <w:sz w:val="19"/>
                <w:szCs w:val="19"/>
              </w:rPr>
              <w:t>Wealth concentration</w:t>
            </w:r>
          </w:p>
        </w:tc>
        <w:tc>
          <w:tcPr>
            <w:tcW w:w="2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EA1ED43" w14:textId="77777777" w:rsidR="00963DBA" w:rsidRDefault="00000000" w:rsidP="00DD3FED">
            <w:pPr>
              <w:jc w:val="center"/>
            </w:pPr>
            <w:r>
              <w:rPr>
                <w:sz w:val="19"/>
                <w:szCs w:val="19"/>
              </w:rPr>
              <w:t>Latifundia displacing small farmers; patrician dominance of Senate</w:t>
            </w:r>
          </w:p>
        </w:tc>
        <w:tc>
          <w:tcPr>
            <w:tcW w:w="2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5180AD0" w14:textId="77777777" w:rsidR="00963DBA" w:rsidRDefault="00000000" w:rsidP="00DD3FED">
            <w:pPr>
              <w:jc w:val="center"/>
            </w:pPr>
            <w:r>
              <w:rPr>
                <w:sz w:val="19"/>
                <w:szCs w:val="19"/>
              </w:rPr>
              <w:t>Post-1980 inequality trajectory; documented influence of concentrated wealth on policy</w:t>
            </w:r>
          </w:p>
        </w:tc>
      </w:tr>
      <w:tr w:rsidR="00963DBA" w14:paraId="4E76B190"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CF69418" w14:textId="77777777" w:rsidR="00963DBA" w:rsidRDefault="00000000" w:rsidP="00DD3FED">
            <w:pPr>
              <w:jc w:val="center"/>
            </w:pPr>
            <w:r>
              <w:rPr>
                <w:sz w:val="19"/>
                <w:szCs w:val="19"/>
              </w:rPr>
              <w:t>Institutional norm erosion</w:t>
            </w:r>
          </w:p>
        </w:tc>
        <w:tc>
          <w:tcPr>
            <w:tcW w:w="2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9C2267" w14:textId="77777777" w:rsidR="00963DBA" w:rsidRDefault="00000000" w:rsidP="00DD3FED">
            <w:pPr>
              <w:jc w:val="center"/>
            </w:pPr>
            <w:r>
              <w:rPr>
                <w:sz w:val="19"/>
                <w:szCs w:val="19"/>
              </w:rPr>
              <w:t>Sulla's march on Rome (88 BCE); repeated suspension of constitutional norms by powerful actors</w:t>
            </w:r>
          </w:p>
        </w:tc>
        <w:tc>
          <w:tcPr>
            <w:tcW w:w="2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E0A06A" w14:textId="77777777" w:rsidR="00963DBA" w:rsidRDefault="00000000" w:rsidP="00DD3FED">
            <w:pPr>
              <w:jc w:val="center"/>
            </w:pPr>
            <w:r>
              <w:rPr>
                <w:sz w:val="19"/>
                <w:szCs w:val="19"/>
              </w:rPr>
              <w:t>Progressive normalization of executive non-compliance; weakened oversight mechanisms</w:t>
            </w:r>
          </w:p>
        </w:tc>
      </w:tr>
      <w:tr w:rsidR="00963DBA" w14:paraId="48E5A2A9"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A86BDD9" w14:textId="77777777" w:rsidR="00963DBA" w:rsidRDefault="00000000" w:rsidP="00DD3FED">
            <w:pPr>
              <w:jc w:val="center"/>
            </w:pPr>
            <w:r>
              <w:rPr>
                <w:sz w:val="19"/>
                <w:szCs w:val="19"/>
              </w:rPr>
              <w:t>Symbolic consensus</w:t>
            </w:r>
          </w:p>
        </w:tc>
        <w:tc>
          <w:tcPr>
            <w:tcW w:w="2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E2E142F" w14:textId="77777777" w:rsidR="00963DBA" w:rsidRDefault="00000000" w:rsidP="00DD3FED">
            <w:pPr>
              <w:jc w:val="center"/>
            </w:pPr>
            <w:r>
              <w:rPr>
                <w:sz w:val="19"/>
                <w:szCs w:val="19"/>
              </w:rPr>
              <w:t>Breakdown of shared civic identity under pressure of imperial expansion</w:t>
            </w:r>
          </w:p>
        </w:tc>
        <w:tc>
          <w:tcPr>
            <w:tcW w:w="2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8C92D8F" w14:textId="77777777" w:rsidR="00963DBA" w:rsidRDefault="00000000" w:rsidP="00DD3FED">
            <w:pPr>
              <w:jc w:val="center"/>
            </w:pPr>
            <w:r>
              <w:rPr>
                <w:sz w:val="19"/>
                <w:szCs w:val="19"/>
              </w:rPr>
              <w:t>Fragmented national narrative; competing symbolic systems contesting institutional legitimacy simultaneously</w:t>
            </w:r>
          </w:p>
        </w:tc>
      </w:tr>
      <w:tr w:rsidR="00963DBA" w14:paraId="1B72E1D7"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9E13D3" w14:textId="77777777" w:rsidR="00963DBA" w:rsidRDefault="00000000" w:rsidP="00DD3FED">
            <w:pPr>
              <w:jc w:val="center"/>
            </w:pPr>
            <w:r>
              <w:rPr>
                <w:sz w:val="19"/>
                <w:szCs w:val="19"/>
              </w:rPr>
              <w:t>Spectacle substitution</w:t>
            </w:r>
          </w:p>
        </w:tc>
        <w:tc>
          <w:tcPr>
            <w:tcW w:w="2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6B44BE" w14:textId="77777777" w:rsidR="00963DBA" w:rsidRDefault="00000000" w:rsidP="00DD3FED">
            <w:pPr>
              <w:jc w:val="center"/>
            </w:pPr>
            <w:r>
              <w:rPr>
                <w:sz w:val="19"/>
                <w:szCs w:val="19"/>
              </w:rPr>
              <w:t>Bread and circuses; gladiatorial entertainment replacing civic participation</w:t>
            </w:r>
          </w:p>
        </w:tc>
        <w:tc>
          <w:tcPr>
            <w:tcW w:w="2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39049D" w14:textId="77777777" w:rsidR="00963DBA" w:rsidRDefault="00000000" w:rsidP="00DD3FED">
            <w:pPr>
              <w:jc w:val="center"/>
            </w:pPr>
            <w:r>
              <w:rPr>
                <w:sz w:val="19"/>
                <w:szCs w:val="19"/>
              </w:rPr>
              <w:t>Attention economy; spectacle politics replacing civic symbolic content as primary social binding</w:t>
            </w:r>
          </w:p>
        </w:tc>
      </w:tr>
      <w:tr w:rsidR="00963DBA" w14:paraId="436BC469"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14EB0AD" w14:textId="77777777" w:rsidR="00963DBA" w:rsidRDefault="00000000" w:rsidP="00DD3FED">
            <w:pPr>
              <w:jc w:val="center"/>
            </w:pPr>
            <w:r>
              <w:rPr>
                <w:sz w:val="19"/>
                <w:szCs w:val="19"/>
              </w:rPr>
              <w:t>Personality dependence</w:t>
            </w:r>
          </w:p>
        </w:tc>
        <w:tc>
          <w:tcPr>
            <w:tcW w:w="2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2DC9FD5" w14:textId="77777777" w:rsidR="00963DBA" w:rsidRDefault="00000000" w:rsidP="00DD3FED">
            <w:pPr>
              <w:jc w:val="center"/>
            </w:pPr>
            <w:r>
              <w:rPr>
                <w:sz w:val="19"/>
                <w:szCs w:val="19"/>
              </w:rPr>
              <w:t>Marius, Sulla, Pompey, Caesar — authority increasingly personalized</w:t>
            </w:r>
          </w:p>
        </w:tc>
        <w:tc>
          <w:tcPr>
            <w:tcW w:w="2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4EC970E" w14:textId="77777777" w:rsidR="00963DBA" w:rsidRDefault="00000000" w:rsidP="00DD3FED">
            <w:pPr>
              <w:jc w:val="center"/>
            </w:pPr>
            <w:r>
              <w:rPr>
                <w:sz w:val="19"/>
                <w:szCs w:val="19"/>
              </w:rPr>
              <w:t>Political movements increasingly organized around personal loyalty rather than institutional role</w:t>
            </w:r>
          </w:p>
        </w:tc>
      </w:tr>
      <w:tr w:rsidR="00963DBA" w14:paraId="2D86F066"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5ABF32" w14:textId="77777777" w:rsidR="00963DBA" w:rsidRDefault="00000000" w:rsidP="00DD3FED">
            <w:pPr>
              <w:jc w:val="center"/>
            </w:pPr>
            <w:r>
              <w:rPr>
                <w:sz w:val="19"/>
                <w:szCs w:val="19"/>
              </w:rPr>
              <w:t>SSAB structural reading</w:t>
            </w:r>
          </w:p>
        </w:tc>
        <w:tc>
          <w:tcPr>
            <w:tcW w:w="2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65ACD7" w14:textId="77777777" w:rsidR="00963DBA" w:rsidRDefault="00000000" w:rsidP="00DD3FED">
            <w:pPr>
              <w:jc w:val="center"/>
            </w:pPr>
            <w:r>
              <w:rPr>
                <w:sz w:val="19"/>
                <w:szCs w:val="19"/>
              </w:rPr>
              <w:t>Protocol Power layer intact; symbolic foundation eroding beneath it; institutional collapse followed</w:t>
            </w:r>
          </w:p>
        </w:tc>
        <w:tc>
          <w:tcPr>
            <w:tcW w:w="2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3A49F7B" w14:textId="77777777" w:rsidR="00963DBA" w:rsidRDefault="00000000" w:rsidP="00DD3FED">
            <w:pPr>
              <w:jc w:val="center"/>
            </w:pPr>
            <w:r>
              <w:rPr>
                <w:sz w:val="19"/>
                <w:szCs w:val="19"/>
              </w:rPr>
              <w:t>Institutional layer intact; symbolic foundation showing stress signatures consistent with SSAB predictions</w:t>
            </w:r>
          </w:p>
        </w:tc>
      </w:tr>
    </w:tbl>
    <w:p w14:paraId="2CC1542B" w14:textId="77777777" w:rsidR="00963DBA" w:rsidRDefault="00963DBA">
      <w:pPr>
        <w:spacing w:before="80" w:after="80"/>
      </w:pPr>
    </w:p>
    <w:p w14:paraId="0FC6CAAB" w14:textId="77777777" w:rsidR="00963DBA" w:rsidRDefault="00000000">
      <w:pPr>
        <w:spacing w:before="80" w:after="120" w:line="320" w:lineRule="auto"/>
        <w:jc w:val="both"/>
      </w:pPr>
      <w:r>
        <w:lastRenderedPageBreak/>
        <w:t xml:space="preserve">The critical structural difference between Rome and the United States on SSAB terms is that Rome's symbolic foundation, though it eventually eroded, had genuine depth accumulated across centuries. When Roman republican institutions failed, the Imperial period maintained civilizational continuity for several additional centuries by substituting new symbolic content — the cult of the </w:t>
      </w:r>
      <w:proofErr w:type="gramStart"/>
      <w:r>
        <w:t>Emperor</w:t>
      </w:r>
      <w:proofErr w:type="gramEnd"/>
      <w:r>
        <w:t>, the mythology of Pax Romana — for republican civic content. Whether comparable stabilization mechanisms are available to the contemporary United States is an open question. The SSAB framework can identify the structural requirement — renewed symbolic saturation sufficient to re-anchor institutional function — without being able to specify what that would look like in contemporary practical terms (Vondoom, 2025a; 2026d).</w:t>
      </w:r>
    </w:p>
    <w:p w14:paraId="5859BBD1" w14:textId="77777777" w:rsidR="00963DBA" w:rsidRDefault="00963DBA">
      <w:pPr>
        <w:spacing w:before="60" w:after="60"/>
      </w:pPr>
    </w:p>
    <w:p w14:paraId="05871586" w14:textId="77777777" w:rsidR="00963DBA" w:rsidRDefault="00000000">
      <w:pPr>
        <w:pStyle w:val="Heading1"/>
      </w:pPr>
      <w:r>
        <w:t>7. AI-Assisted Cognition: The SSAB Principle in Real Time</w:t>
      </w:r>
    </w:p>
    <w:p w14:paraId="2A516BEE" w14:textId="77777777" w:rsidR="00963DBA" w:rsidRDefault="00000000">
      <w:pPr>
        <w:pStyle w:val="Heading2"/>
      </w:pPr>
      <w:r>
        <w:t>7.1 The Phenomenon</w:t>
      </w:r>
    </w:p>
    <w:p w14:paraId="10A6506C" w14:textId="77777777" w:rsidR="00963DBA" w:rsidRDefault="00000000">
      <w:pPr>
        <w:spacing w:before="80" w:after="120" w:line="320" w:lineRule="auto"/>
        <w:jc w:val="both"/>
      </w:pPr>
      <w:r>
        <w:t>Since approximately 2023, a pattern has emerged in the adoption of large language model tools that is structurally significant beyond its immediate technological context. Across domains including software development, data analysis, legal drafting, scientific writing, and creative production, a consistent observation has accumulated: practitioners without formal procedural training in a given domain — people who could not write the code, draft the contract, or structure the analysis from scratch — are producing functional, coherent, and in some cases sophisticated outputs by working with AI tools. The non-programmer building a working web application. The researcher without statistical training producing a correctly specified analysis. The domain expert without writing training producing publishable prose. These are not marginal edge cases. They are the dominant mode of AI-assisted knowledge production as it is currently practiced across millions of users (</w:t>
      </w:r>
      <w:proofErr w:type="spellStart"/>
      <w:r>
        <w:t>Floridi</w:t>
      </w:r>
      <w:proofErr w:type="spellEnd"/>
      <w:r>
        <w:t xml:space="preserve">, 2022; </w:t>
      </w:r>
      <w:proofErr w:type="spellStart"/>
      <w:r>
        <w:t>Tegmark</w:t>
      </w:r>
      <w:proofErr w:type="spellEnd"/>
      <w:r>
        <w:t>, 2023; Russell and Norvig, 2022).</w:t>
      </w:r>
    </w:p>
    <w:p w14:paraId="5767F33C" w14:textId="77777777" w:rsidR="00963DBA" w:rsidRDefault="00000000">
      <w:pPr>
        <w:spacing w:before="80" w:after="120" w:line="320" w:lineRule="auto"/>
        <w:jc w:val="both"/>
      </w:pPr>
      <w:r>
        <w:t>The standard explanation attributes this to the AI tool doing the work — the implication being that if the tool is capable enough, expertise becomes optional. This explanation is empirically incomplete. As deployment experience consistently suggests, the same tool available to the same non-programmer who lacks architectural understanding of what they are trying to build produces incoherent outputs: technically fluent, syntactically correct, structurally meaningless. The tool's procedural capacity is identical across both users. The output quality is not. The variable that differentiates them is not the tool. It is the architectural knowledge the user brings to the interaction: the understanding of what needs to be built, why it should be structured that way, what the relationships between components are, and how to evaluate whether the output is correct. This is precisely the SSAB prediction applied in real time, pending the controlled empirical confirmation called for in Prediction 3 of Section 8.3.</w:t>
      </w:r>
    </w:p>
    <w:p w14:paraId="49EB20E2" w14:textId="77777777" w:rsidR="00963DBA" w:rsidRDefault="00000000">
      <w:pPr>
        <w:pStyle w:val="Heading2"/>
      </w:pPr>
      <w:r>
        <w:t>7.2 The Vinca Parallel</w:t>
      </w:r>
    </w:p>
    <w:p w14:paraId="5C596101" w14:textId="77777777" w:rsidR="00963DBA" w:rsidRDefault="00000000">
      <w:pPr>
        <w:spacing w:before="80" w:after="120" w:line="320" w:lineRule="auto"/>
        <w:jc w:val="both"/>
      </w:pPr>
      <w:r>
        <w:t xml:space="preserve">The structural parallel between this contemporary pattern and the Vinca cognitive compression mechanism is not illustrative but precise. In both cases the mechanism is identical: a symbolically </w:t>
      </w:r>
      <w:r>
        <w:lastRenderedPageBreak/>
        <w:t xml:space="preserve">sufficient agent — one possessing the architectural understanding to direct a procedure toward a meaningful output — leverages a procedurally capable system toward outputs that would be impossible through architectural understanding alone or procedural capacity alone. The Vinca craftsperson with an abstract compression technology leveraged the procedural capacity of ceramic production, tablet inscription, and architectural marking to produce a symbolic infrastructure capable of transmitting meaning across cultural boundaries. The contemporary domain expert without programming training leverages the procedural capacity of the AI tool to produce software, analyses, or documents whose quality is determined entirely by the clarity of their architectural understanding of what those outputs need to accomplish (Vondoom, 2025a; 2026b; </w:t>
      </w:r>
      <w:proofErr w:type="spellStart"/>
      <w:r>
        <w:t>Malafouris</w:t>
      </w:r>
      <w:proofErr w:type="spellEnd"/>
      <w:r>
        <w:t>, 2021).</w:t>
      </w:r>
    </w:p>
    <w:p w14:paraId="6BEB5A92" w14:textId="77777777" w:rsidR="00963DBA" w:rsidRDefault="00000000">
      <w:pPr>
        <w:spacing w:before="80" w:after="120" w:line="320" w:lineRule="auto"/>
        <w:jc w:val="both"/>
      </w:pPr>
      <w:proofErr w:type="gramStart"/>
      <w:r>
        <w:t>This parallel resolves</w:t>
      </w:r>
      <w:proofErr w:type="gramEnd"/>
      <w:r>
        <w:t xml:space="preserve"> a question that the tool-centric framing of AI capability cannot answer: why does the same tool produce dramatically different outputs for different users with equivalent access? The tool-centric framing predicts quality should be relatively uniform, since the procedural capacity is uniform. The SSAB framing predicts quality should vary with the architectural knowledge of the operator, not with the operator's prior procedural expertise in the domain. The observed pattern is consistent with the SSAB prediction. The bottleneck in AI-assisted knowledge production is not the tool. It is the architectural understanding the user directs the tool with — exactly as the bottleneck in every civilizational knowledge transmission examined in this paper was not the procedural infrastructure available to the receiving culture, but the architectural understanding it brought to that infrastructure.</w:t>
      </w:r>
    </w:p>
    <w:p w14:paraId="3EFE92DE" w14:textId="77777777" w:rsidR="00963DBA" w:rsidRDefault="00000000">
      <w:pPr>
        <w:pStyle w:val="Heading2"/>
      </w:pPr>
      <w:r>
        <w:t>7.3 What This Means for the SSAB Principle</w:t>
      </w:r>
    </w:p>
    <w:p w14:paraId="475523D7" w14:textId="77777777" w:rsidR="00963DBA" w:rsidRDefault="00000000">
      <w:pPr>
        <w:spacing w:before="80" w:after="120" w:line="320" w:lineRule="auto"/>
        <w:jc w:val="both"/>
      </w:pPr>
      <w:r>
        <w:t>The AI case is analytically valuable for the SSAB framework for reasons beyond its contemporary relevance. It is the first historical moment in which the procedure/architecture distinction has been visible in real time at population scale, without requiring archaeological reconstruction or historical inference. Every previous case examined in this paper — Vinca, Egypt-Greece-Rome, Alexandria, the United States — required inferring the architecture bottleneck from downstream outcomes: what was subsequently built, what was not built, what was lost. The AI case allows the bottleneck to be observed directly, in the present, across millions of interactions.</w:t>
      </w:r>
    </w:p>
    <w:p w14:paraId="284CDD1A" w14:textId="77777777" w:rsidR="00963DBA" w:rsidRDefault="00000000">
      <w:pPr>
        <w:spacing w:before="80" w:after="120" w:line="320" w:lineRule="auto"/>
        <w:jc w:val="both"/>
      </w:pPr>
      <w:r>
        <w:t xml:space="preserve">This observability is what makes Prediction 3 in Section 8.3 genuinely testable rather than merely plausible. A controlled study comparing the outputs of users with high architectural understanding and low procedural expertise against users with low architectural understanding and high procedural expertise — using the same AI tool, across the same domain tasks — would provide direct empirical evidence for or against the SSAB claim. The necessary methodology exists. The prediction is specific and </w:t>
      </w:r>
      <w:proofErr w:type="spellStart"/>
      <w:r>
        <w:t>disconfirmable</w:t>
      </w:r>
      <w:proofErr w:type="spellEnd"/>
      <w:r>
        <w:t>. The contemporary AI deployment context provides the experimental substrate. That this test has not yet been conducted in peer-reviewed form is a gap in the literature that the SSAB framework identifies as worth filling (</w:t>
      </w:r>
      <w:proofErr w:type="spellStart"/>
      <w:r>
        <w:t>Floridi</w:t>
      </w:r>
      <w:proofErr w:type="spellEnd"/>
      <w:r>
        <w:t>, 2022; Russell and Norvig, 2022).</w:t>
      </w:r>
    </w:p>
    <w:p w14:paraId="27CAFACD" w14:textId="77777777" w:rsidR="00963DBA" w:rsidRDefault="00000000">
      <w:pPr>
        <w:pBdr>
          <w:left w:val="single" w:sz="12" w:space="10" w:color="0F3460"/>
        </w:pBdr>
        <w:spacing w:before="160" w:after="160" w:line="300" w:lineRule="auto"/>
        <w:ind w:left="720" w:right="720"/>
        <w:jc w:val="both"/>
      </w:pPr>
      <w:r>
        <w:rPr>
          <w:i/>
          <w:iCs/>
          <w:color w:val="333333"/>
          <w:sz w:val="21"/>
          <w:szCs w:val="21"/>
        </w:rPr>
        <w:t xml:space="preserve">The civilizations that successfully transmitted knowledge across contact boundaries did so because the absorbing culture possessed sufficient architectural sophistication </w:t>
      </w:r>
      <w:r>
        <w:rPr>
          <w:i/>
          <w:iCs/>
          <w:color w:val="333333"/>
          <w:sz w:val="21"/>
          <w:szCs w:val="21"/>
        </w:rPr>
        <w:lastRenderedPageBreak/>
        <w:t>to recognize the value of what it was receiving and to direct it toward meaningful new outputs. The moments of knowledge loss — Alexandria's scholarship, Indigenous ecological architectures under colonial disruption, Mesopotamian explanatory frameworks — share the same structural signature: the architectural frameworks that made the procedures legible were not preserved. The contemporary practitioner building through AI assistance, and the contemporary civilization deciding whether to preserve or disrupt the symbolic architectures of cultures it encounters, face structurally identical decisions with structurally comparable long-run consequences.</w:t>
      </w:r>
    </w:p>
    <w:p w14:paraId="31044179" w14:textId="77777777" w:rsidR="00963DBA" w:rsidRDefault="00963DBA">
      <w:pPr>
        <w:spacing w:before="60" w:after="60"/>
      </w:pPr>
    </w:p>
    <w:p w14:paraId="0B507EE0" w14:textId="77777777" w:rsidR="00963DBA" w:rsidRDefault="00000000">
      <w:pPr>
        <w:pStyle w:val="Heading1"/>
      </w:pPr>
      <w:r>
        <w:t>8. Synthesis: The Unified Principle and Its Predictions</w:t>
      </w:r>
    </w:p>
    <w:p w14:paraId="2A200888" w14:textId="77777777" w:rsidR="00963DBA" w:rsidRDefault="00000000">
      <w:pPr>
        <w:pStyle w:val="Heading2"/>
      </w:pPr>
      <w:r>
        <w:t>8.1 The Pattern Across Cases</w:t>
      </w:r>
    </w:p>
    <w:p w14:paraId="29F402E1" w14:textId="77777777" w:rsidR="00963DBA" w:rsidRDefault="00000000">
      <w:pPr>
        <w:spacing w:before="80" w:after="120" w:line="320" w:lineRule="auto"/>
        <w:jc w:val="both"/>
      </w:pPr>
      <w:r>
        <w:t xml:space="preserve">The cases examined in this paper — Vinca symbolic migration and its divergent outcomes (Vondoom, 2026a; 2026b; 2026c), the Egypt-Greece-Rome transmission chain (Vondoom, 2025a; 2026d; 2026e), Alexandria's multi-stage destruction, the United States as negative case (Vondoom, 2025a; 2026d; Graeber and </w:t>
      </w:r>
      <w:proofErr w:type="spellStart"/>
      <w:r>
        <w:t>Wengrow</w:t>
      </w:r>
      <w:proofErr w:type="spellEnd"/>
      <w:r>
        <w:t>, 2021), and AI-assisted cognition as contemporary observable demonstration — are instances of a single structural mechanism operating at different scales and across different domains. The mechanism is the SSAB principle: the primary transmission bottleneck in knowledge transfer is architectural rather than procedural.</w:t>
      </w:r>
    </w:p>
    <w:p w14:paraId="111F316E" w14:textId="77777777" w:rsidR="00963DBA" w:rsidRDefault="00000000">
      <w:pPr>
        <w:spacing w:before="80" w:after="120" w:line="320" w:lineRule="auto"/>
        <w:jc w:val="both"/>
      </w:pPr>
      <w:r>
        <w:t>In the positive cases, the architectural layer was at least partially transmitted, and the result was knowledge compounding. The compounding was imperfect because the transmission was imperfect — Rome's architecture was shallower than Greece's, which was shallower than Egypt's — but the direction was consistent with compounding rather than degradation. In the negative cases, the architectural layer was disrupted or destroyed while procedures persisted in decontextualized form. Western civilization maintained Egyptian symbolic practices — maternal goddess iconography, solar symbolism, ritual architecture — stripped of the explanatory framework that made them comprehensible; the result is the persistence of forms without the understanding that would allow their regeneration, exactly as the Eternal Mother analysis (Vondoom, 2026f) documents across forty thousand years of symbolic attractor persistence.</w:t>
      </w:r>
    </w:p>
    <w:p w14:paraId="74B80B92" w14:textId="77777777" w:rsidR="00963DBA" w:rsidRDefault="00000000">
      <w:pPr>
        <w:pStyle w:val="Heading2"/>
      </w:pPr>
      <w:r>
        <w:t>8.2 This Paper as Synthesis</w:t>
      </w:r>
    </w:p>
    <w:p w14:paraId="53A0CC3C" w14:textId="77777777" w:rsidR="00963DBA" w:rsidRDefault="00000000">
      <w:pPr>
        <w:spacing w:before="80" w:after="120" w:line="320" w:lineRule="auto"/>
        <w:jc w:val="both"/>
      </w:pPr>
      <w:r>
        <w:t>The epistemological status of the argument developed here deserves explicit statement. This paper does not advance new empirical claims requiring independent verification beyond what the cited literature provides. It advances an organizational synthesis: the DSSM framework applied to a set of historical cases individually documented by established scholarship, placed in structural relationship through the SSAB principle. The individual claims — that Vinca symbols represent a pre-script cognitive compression system (</w:t>
      </w:r>
      <w:proofErr w:type="spellStart"/>
      <w:r>
        <w:t>Radivojevic</w:t>
      </w:r>
      <w:proofErr w:type="spellEnd"/>
      <w:r>
        <w:t xml:space="preserve"> et al., 2025; Vondoom, 2026a; 2026c); that Greek intellectual traditions drew substantially from Egyptian and Near Eastern sources (Burkert, 1985; Vondoom, 2026e); that the Library's destruction was multi-staged and asymmetrically targeted explanatory architecture; that the SSAB framework is consistent with the </w:t>
      </w:r>
      <w:r>
        <w:lastRenderedPageBreak/>
        <w:t xml:space="preserve">fragility signatures observable in both late Republican Rome and the contemporary United States (Vondoom, 2026d; Graeber and </w:t>
      </w:r>
      <w:proofErr w:type="spellStart"/>
      <w:r>
        <w:t>Wengrow</w:t>
      </w:r>
      <w:proofErr w:type="spellEnd"/>
      <w:r>
        <w:t>, 2021); that AI tools reveal the architecture bottleneck by separating procedural and architectural capacity (</w:t>
      </w:r>
      <w:proofErr w:type="spellStart"/>
      <w:r>
        <w:t>Floridi</w:t>
      </w:r>
      <w:proofErr w:type="spellEnd"/>
      <w:r>
        <w:t xml:space="preserve">, 2022; </w:t>
      </w:r>
      <w:proofErr w:type="spellStart"/>
      <w:r>
        <w:t>Malafouris</w:t>
      </w:r>
      <w:proofErr w:type="spellEnd"/>
      <w:r>
        <w:t>, 2021) — are all individually supported by existing scholarship. The SSAB principle is the organizing framework that reveals their structural unity.</w:t>
      </w:r>
    </w:p>
    <w:p w14:paraId="5AC7FEB9" w14:textId="77777777" w:rsidR="00963DBA" w:rsidRDefault="00000000">
      <w:pPr>
        <w:pStyle w:val="Heading2"/>
      </w:pPr>
      <w:r>
        <w:t>8.3 Falsifiability Conditions</w:t>
      </w:r>
    </w:p>
    <w:p w14:paraId="4583F2BF" w14:textId="77777777" w:rsidR="00963DBA" w:rsidRDefault="00000000">
      <w:pPr>
        <w:spacing w:before="80" w:after="120" w:line="320" w:lineRule="auto"/>
        <w:jc w:val="both"/>
      </w:pPr>
      <w:r>
        <w:rPr>
          <w:b/>
          <w:bCs/>
        </w:rPr>
        <w:t xml:space="preserve">Prediction 1: </w:t>
      </w:r>
      <w:r>
        <w:t xml:space="preserve">Civilizational contacts in which the absorbing culture merges with rather than erases the symbolic architecture of its predecessor should produce higher rates of knowledge compounding — measurable as diversity and sophistication of intellectual and institutional outputs within two to three generations — than contacts in which architecture is erased. </w:t>
      </w:r>
      <w:proofErr w:type="spellStart"/>
      <w:r>
        <w:t>Disconfirmable</w:t>
      </w:r>
      <w:proofErr w:type="spellEnd"/>
      <w:r>
        <w:t xml:space="preserve"> by identifying a case of architectural absorption producing knowledge degradation, or of architectural erasure producing knowledge compounding.</w:t>
      </w:r>
    </w:p>
    <w:p w14:paraId="720466AB" w14:textId="77777777" w:rsidR="00963DBA" w:rsidRDefault="00000000">
      <w:pPr>
        <w:spacing w:before="80" w:after="120" w:line="320" w:lineRule="auto"/>
        <w:jc w:val="both"/>
      </w:pPr>
      <w:r>
        <w:rPr>
          <w:b/>
          <w:bCs/>
        </w:rPr>
        <w:t xml:space="preserve">Prediction 2: </w:t>
      </w:r>
      <w:r>
        <w:t xml:space="preserve">Civilizations that construct Stage 4 institutional infrastructure before achieving Stage 3 symbolic saturation should exhibit specific fragility signatures — institutional norm erosion, personality-dependent authority, spectacle-substitution for civic symbolic content, persistence of unresolved symbolic conflicts beneath formal institutional resolutions — at earlier stages of institutional development than civilizations achieving symbolic saturation first. </w:t>
      </w:r>
      <w:proofErr w:type="spellStart"/>
      <w:r>
        <w:t>Disconfirmable</w:t>
      </w:r>
      <w:proofErr w:type="spellEnd"/>
      <w:r>
        <w:t xml:space="preserve"> by identifying a civilization constructing Stage 4 institutions without prior Stage 3 saturation that exhibited durable institutional stability.</w:t>
      </w:r>
    </w:p>
    <w:p w14:paraId="2DE3B3CB" w14:textId="77777777" w:rsidR="00963DBA" w:rsidRDefault="00000000">
      <w:pPr>
        <w:spacing w:before="80" w:after="120" w:line="320" w:lineRule="auto"/>
        <w:jc w:val="both"/>
      </w:pPr>
      <w:r>
        <w:rPr>
          <w:b/>
          <w:bCs/>
        </w:rPr>
        <w:t xml:space="preserve">Prediction 3: </w:t>
      </w:r>
      <w:r>
        <w:t xml:space="preserve">In AI-assisted knowledge production, output quality should correlate more strongly with the architectural knowledge of the human operator than with domain-specific procedural expertise. Testable through controlled study varying operator profiles (high architectural / low procedural versus low architectural / high procedural) across multiple domains. </w:t>
      </w:r>
      <w:proofErr w:type="spellStart"/>
      <w:r>
        <w:t>Disconfirmable</w:t>
      </w:r>
      <w:proofErr w:type="spellEnd"/>
      <w:r>
        <w:t xml:space="preserve"> by demonstrating that procedural expertise is the stronger predictor of output quality in AI-assisted contexts (</w:t>
      </w:r>
      <w:proofErr w:type="spellStart"/>
      <w:r>
        <w:t>Floridi</w:t>
      </w:r>
      <w:proofErr w:type="spellEnd"/>
      <w:r>
        <w:t>, 2022; Russell and Norvig, 2022).</w:t>
      </w:r>
    </w:p>
    <w:p w14:paraId="13754E63" w14:textId="77777777" w:rsidR="00963DBA" w:rsidRDefault="00000000">
      <w:pPr>
        <w:spacing w:before="80" w:after="120" w:line="320" w:lineRule="auto"/>
        <w:jc w:val="both"/>
      </w:pPr>
      <w:r>
        <w:rPr>
          <w:b/>
          <w:bCs/>
        </w:rPr>
        <w:t xml:space="preserve">Prediction 4: </w:t>
      </w:r>
      <w:r>
        <w:t xml:space="preserve">Analysis of documented knowledge loss events — Alexandria, the Spanish destruction of Mesoamerican codices, the systematic disruption of Indigenous knowledge traditions globally — should show that the categories of knowledge most vulnerable to permanent loss are explanatory frameworks rather than procedures, because procedures are recoverable from physical outputs while architectures are not. </w:t>
      </w:r>
      <w:proofErr w:type="spellStart"/>
      <w:r>
        <w:t>Disconfirmable</w:t>
      </w:r>
      <w:proofErr w:type="spellEnd"/>
      <w:r>
        <w:t xml:space="preserve"> by identifying a documented knowledge loss event in which procedures were permanently lost while the explanatory architecture survived.</w:t>
      </w:r>
    </w:p>
    <w:p w14:paraId="164CE510" w14:textId="77777777" w:rsidR="00963DBA" w:rsidRDefault="00963DBA">
      <w:pPr>
        <w:spacing w:before="60" w:after="60"/>
      </w:pPr>
    </w:p>
    <w:p w14:paraId="1EFC5A07" w14:textId="77777777" w:rsidR="00963DBA" w:rsidRDefault="00000000">
      <w:pPr>
        <w:pStyle w:val="Heading1"/>
      </w:pPr>
      <w:r>
        <w:t>9. Implications</w:t>
      </w:r>
    </w:p>
    <w:p w14:paraId="52166F65" w14:textId="77777777" w:rsidR="00963DBA" w:rsidRDefault="00000000">
      <w:pPr>
        <w:pStyle w:val="Heading2"/>
      </w:pPr>
      <w:r>
        <w:t>9.1 For Historiography</w:t>
      </w:r>
    </w:p>
    <w:p w14:paraId="41BC6004" w14:textId="77777777" w:rsidR="00963DBA" w:rsidRDefault="00000000">
      <w:pPr>
        <w:spacing w:before="80" w:after="120" w:line="320" w:lineRule="auto"/>
        <w:jc w:val="both"/>
      </w:pPr>
      <w:r>
        <w:t xml:space="preserve">The SSAB principle requires a reorientation of the standard historiographical question about civilizational knowledge transmission. The question is not 'what did civilization X invent?' — a </w:t>
      </w:r>
      <w:r>
        <w:lastRenderedPageBreak/>
        <w:t>framing that typically generates attribution disputes and nationalist historiography — but 'what architectural layer did civilization X transmit, preserve, or allow to erode, and what were the downstream consequences?' This reorientation does not diminish the achievements of any civilization. It situates them within a longer transmission chain and makes visible the losses that the standard narrative renders invisible (Vondoom, 2025a; 2026d; 2026e).</w:t>
      </w:r>
    </w:p>
    <w:p w14:paraId="72BC49A0" w14:textId="77777777" w:rsidR="00963DBA" w:rsidRDefault="00000000">
      <w:pPr>
        <w:spacing w:before="80" w:after="120" w:line="320" w:lineRule="auto"/>
        <w:jc w:val="both"/>
      </w:pPr>
      <w:r>
        <w:t>Applied to the history of Western intellectual tradition, this reorientation requires acknowledging that the tradition typically dated to classical Greece has Egyptian and Near Eastern roots that the Greeks themselves acknowledged in primary texts that survive, and that subsequent European scholarship systematically minimized. It requires treating the Library of Alexandria's multi-stage destruction not as a regrettable accident but as a pivotal architectural erasure event with still-operating consequences. And it requires treating Indigenous knowledge traditions globally not as cultural artifacts of ethnographic interest but as living symbolic architectures whose preservation or disruption has concrete civilizational consequences.</w:t>
      </w:r>
    </w:p>
    <w:p w14:paraId="3C61669A" w14:textId="77777777" w:rsidR="00963DBA" w:rsidRDefault="00000000">
      <w:pPr>
        <w:pStyle w:val="Heading2"/>
      </w:pPr>
      <w:r>
        <w:t>9.2 For the Science of Civilizational Stability</w:t>
      </w:r>
    </w:p>
    <w:p w14:paraId="7FA9F5F0" w14:textId="77777777" w:rsidR="00963DBA" w:rsidRDefault="00000000">
      <w:pPr>
        <w:spacing w:before="80" w:after="120" w:line="320" w:lineRule="auto"/>
        <w:jc w:val="both"/>
      </w:pPr>
      <w:r>
        <w:t>The SSAB principle generates an account of civilizational fragility that complements standard accounts focused on resource exhaustion, military defeat, and climate change. On the SSAB account, institutional fragility is primarily a function of symbolic architecture maintenance: when the institutional layer becomes progressively detached from the symbolic foundation that anchors it, the system progressively loses the capacity to adapt to changing conditions, resolve internal conflicts, or maintain voluntary compliance from sufficiently powerful actors (Vondoom, 2026d). External pressures can accelerate this process but are typically catalysts rather than primary causes.</w:t>
      </w:r>
    </w:p>
    <w:p w14:paraId="364CE9C8" w14:textId="77777777" w:rsidR="00963DBA" w:rsidRDefault="00000000">
      <w:pPr>
        <w:spacing w:before="80" w:after="120" w:line="320" w:lineRule="auto"/>
        <w:jc w:val="both"/>
      </w:pPr>
      <w:r>
        <w:t>This account generates a specific intervention implication. Civilizational systems exhibiting early-stage SSAB fragility signatures are not primarily in need of institutional reform. Institutional reform that does not address underlying symbolic erosion tends to produce protocols that are procedurally sophisticated but symbolically unanchored — the late-Republican solution of increasingly elaborate constitutional mechanisms to manage a collapsing civic consensus. The structural requirement is symbolic renewal: the development or recovery of shared symbolic content deep enough and redundant enough across sufficient media channels to anchor institutional function across generations. What that looks like in contemporary practical terms is a question the SSAB framework can identify but not answer.</w:t>
      </w:r>
    </w:p>
    <w:p w14:paraId="3FB15F38" w14:textId="77777777" w:rsidR="00963DBA" w:rsidRDefault="00000000">
      <w:pPr>
        <w:pStyle w:val="Heading2"/>
      </w:pPr>
      <w:r>
        <w:t>9.3 For Contemporary Knowledge Preservation</w:t>
      </w:r>
    </w:p>
    <w:p w14:paraId="129EBEB7" w14:textId="77777777" w:rsidR="00963DBA" w:rsidRDefault="00000000">
      <w:pPr>
        <w:spacing w:before="80" w:after="120" w:line="320" w:lineRule="auto"/>
        <w:jc w:val="both"/>
      </w:pPr>
      <w:r>
        <w:t xml:space="preserve">The SSAB principle has a direct implication for contemporary decisions about the preservation and transmission of knowledge traditions under threat. The knowledge most at risk of permanent loss is not procedural knowledge — techniques encoded in physical outputs from which they can be approximately reconstructed. It is architectural knowledge: the explanatory frameworks, pedagogical traditions, and living transmission chains through which the deepest understanding of specific domains is maintained and transmitted across generations (Vondoom, 2026d; Donald, </w:t>
      </w:r>
      <w:r>
        <w:lastRenderedPageBreak/>
        <w:t xml:space="preserve">2010; </w:t>
      </w:r>
      <w:proofErr w:type="spellStart"/>
      <w:r>
        <w:t>Malafouris</w:t>
      </w:r>
      <w:proofErr w:type="spellEnd"/>
      <w:r>
        <w:t>, 2021). This category is disproportionately concentrated in oral traditions, demographically fragile communities, and scholarly and spiritual traditions lacking the institutional support to maintain their transmission chains under globalization and economic marginalization.</w:t>
      </w:r>
    </w:p>
    <w:p w14:paraId="6F071E03" w14:textId="77777777" w:rsidR="00963DBA" w:rsidRDefault="00000000">
      <w:pPr>
        <w:spacing w:before="80" w:after="120" w:line="320" w:lineRule="auto"/>
        <w:jc w:val="both"/>
      </w:pPr>
      <w:r>
        <w:t xml:space="preserve">The Alexandria pattern is not historical. It is ongoing. The conditions under which architectural knowledge is lost are the normal conditions of cultural contact under power asymmetry, and they have been producing irreversible losses continuously across the same period examined in this paper. The institutions most capable of preserving architectural knowledge are not primarily archives and museums but living communities of practice with the demographic and economic stability to maintain their transmission chains across generations (Vondoom, 2025a; 2026e; </w:t>
      </w:r>
      <w:proofErr w:type="spellStart"/>
      <w:r>
        <w:t>Xygalatas</w:t>
      </w:r>
      <w:proofErr w:type="spellEnd"/>
      <w:r>
        <w:t>, 2022).</w:t>
      </w:r>
    </w:p>
    <w:p w14:paraId="7F174761" w14:textId="77777777" w:rsidR="00963DBA" w:rsidRDefault="00963DBA">
      <w:pPr>
        <w:spacing w:before="60" w:after="60"/>
      </w:pPr>
    </w:p>
    <w:p w14:paraId="3B1A62D4" w14:textId="77777777" w:rsidR="00963DBA" w:rsidRDefault="00000000">
      <w:pPr>
        <w:pStyle w:val="Heading1"/>
      </w:pPr>
      <w:r>
        <w:t>10. Conclusion</w:t>
      </w:r>
    </w:p>
    <w:p w14:paraId="7E4E2BF7" w14:textId="77777777" w:rsidR="00963DBA" w:rsidRDefault="00000000">
      <w:pPr>
        <w:spacing w:before="80" w:after="120" w:line="320" w:lineRule="auto"/>
        <w:jc w:val="both"/>
      </w:pPr>
      <w:r>
        <w:t xml:space="preserve">This paper has argued, through the Symbolic Sufficiency and Architecture Bottleneck (SSAB) principle, that the transmission of knowledge between civilizations operates through a bottleneck that is primarily architectural rather than procedural. The civilizations that successfully transmitted knowledge across contact boundaries did so by merging with rather than erasing the symbolic architecture of their predecessors, producing knowledge compounding visible in the increasing sophistication of intellectual outputs across successive transmission events. The moments of knowledge loss share the structural signature of architectural disruption: explanatory frameworks were not preserved, scholarly communities were not </w:t>
      </w:r>
      <w:proofErr w:type="gramStart"/>
      <w:r>
        <w:t>sustained, and</w:t>
      </w:r>
      <w:proofErr w:type="gramEnd"/>
      <w:r>
        <w:t xml:space="preserve"> living transmission chains were severed without adequate preservation of what they carried (Vondoom, 2026d; 2026e; </w:t>
      </w:r>
      <w:proofErr w:type="spellStart"/>
      <w:r>
        <w:t>Malafouris</w:t>
      </w:r>
      <w:proofErr w:type="spellEnd"/>
      <w:r>
        <w:t>, 2021; Donald, 2010).</w:t>
      </w:r>
    </w:p>
    <w:p w14:paraId="17F9917A" w14:textId="77777777" w:rsidR="00963DBA" w:rsidRDefault="00000000">
      <w:pPr>
        <w:spacing w:before="80" w:after="120" w:line="320" w:lineRule="auto"/>
        <w:jc w:val="both"/>
      </w:pPr>
      <w:r>
        <w:t>The implications are simultaneously historical, practical, and urgent. Historically, SSAB requires a reorientation of the standard Western civilizational narrative — acknowledging Egyptian and Near Eastern foundations, tracing architectural transmission and erasure from Vinca through Alexandria, and situating the United States as a structurally predictable outcome of erasure-based civilizational formation rather than an exceptional case. Practically, SSAB requires treating the preservation of explanatory architecture — in Indigenous knowledge traditions, in living scholarly and spiritual transmission chains, and in the comparative scholarly infrastructure that maintains connections between different knowledge systems — as a civilizational priority with measurable consequences.</w:t>
      </w:r>
    </w:p>
    <w:p w14:paraId="5C4EBAA1" w14:textId="77777777" w:rsidR="00963DBA" w:rsidRDefault="00000000">
      <w:pPr>
        <w:spacing w:before="80" w:after="120" w:line="320" w:lineRule="auto"/>
        <w:jc w:val="both"/>
      </w:pPr>
      <w:r>
        <w:t xml:space="preserve">The person who inscribed the first Vinca symbol — who took the cognitive achievement of abstract compression and encoded it in a portable, repeatable, media-independent form capable of surviving the collapse of the institution that produced it — was doing exactly what every successful knowledge transmission in the human record has required: taking architectural understanding and finding a form that could carry it across the boundaries of individual memory, individual life, and individual civilization. The Library of Alexandria was the most ambitious attempt in human history to do the same thing at civilizational scale. That it was progressively </w:t>
      </w:r>
      <w:r>
        <w:lastRenderedPageBreak/>
        <w:t>destroyed is not ancient history. It is the template for every architectural erasure event that has followed it, and the explanation for every gap in our understanding that we have not yet found the intellectual clarity to name as what it is. The bottleneck was always the architecture. It still is.</w:t>
      </w:r>
    </w:p>
    <w:p w14:paraId="535A8D00" w14:textId="77777777" w:rsidR="00963DBA" w:rsidRDefault="00963DBA">
      <w:pPr>
        <w:pBdr>
          <w:bottom w:val="single" w:sz="4" w:space="1" w:color="CCCCCC"/>
        </w:pBdr>
        <w:spacing w:before="160" w:after="160"/>
      </w:pPr>
    </w:p>
    <w:p w14:paraId="53E02306" w14:textId="77777777" w:rsidR="00963DBA" w:rsidRDefault="00963DBA">
      <w:pPr>
        <w:spacing w:before="80" w:after="80"/>
      </w:pPr>
    </w:p>
    <w:p w14:paraId="58AC77D7" w14:textId="77777777" w:rsidR="00963DBA" w:rsidRDefault="00000000">
      <w:pPr>
        <w:pStyle w:val="Heading1"/>
      </w:pPr>
      <w:r>
        <w:t>Relevance to UN Sustainable Development Goals</w:t>
      </w:r>
    </w:p>
    <w:p w14:paraId="6B7E6B10" w14:textId="77777777" w:rsidR="00963DBA" w:rsidRDefault="00000000">
      <w:pPr>
        <w:spacing w:before="80" w:after="120" w:line="320" w:lineRule="auto"/>
        <w:jc w:val="both"/>
      </w:pPr>
      <w:r>
        <w:rPr>
          <w:b/>
          <w:bCs/>
        </w:rPr>
        <w:t xml:space="preserve">SDG 4 — Quality Education: </w:t>
      </w:r>
      <w:r>
        <w:t>The SSAB principle's identification of architectural knowledge as the primary transmission bottleneck has direct implications for educational design. Education systems that prioritize procedural competency over architectural understanding produce graduates who are technically capable but cognitively dependent — able to execute procedures but not to generate, evaluate, or adapt the explanatory frameworks that give procedures their purpose (Vondoom, 2025a; 2026d). The framework here supports educational approaches that treat conceptual architecture — understanding why, not only how — as the primary pedagogical objective.</w:t>
      </w:r>
    </w:p>
    <w:p w14:paraId="6BDE3D98" w14:textId="77777777" w:rsidR="00963DBA" w:rsidRDefault="00963DBA">
      <w:pPr>
        <w:spacing w:before="40" w:after="40"/>
      </w:pPr>
    </w:p>
    <w:p w14:paraId="47EDE8EE" w14:textId="77777777" w:rsidR="00963DBA" w:rsidRDefault="00000000">
      <w:pPr>
        <w:spacing w:before="80" w:after="120" w:line="320" w:lineRule="auto"/>
        <w:jc w:val="both"/>
      </w:pPr>
      <w:r>
        <w:rPr>
          <w:b/>
          <w:bCs/>
        </w:rPr>
        <w:t xml:space="preserve">SDG 10 — Reduced Inequalities: </w:t>
      </w:r>
      <w:r>
        <w:t xml:space="preserve">The SSAB framework's account of how standard Western civilizational narratives were constructed through architectural erasure and narrative reattribution provides a rigorous foundation for understanding ongoing epistemic inequalities between knowledge traditions that have been systematically disrupted and those that have been valorized. Recognizing the Egyptian, Indigenous, and other sources that European intellectual traditions have systematically minimized is an epistemic correction with practical consequences for how knowledge is attributed, funded, and taught (Vondoom, 2026d; 2026e; Graeber and </w:t>
      </w:r>
      <w:proofErr w:type="spellStart"/>
      <w:r>
        <w:t>Wengrow</w:t>
      </w:r>
      <w:proofErr w:type="spellEnd"/>
      <w:r>
        <w:t>, 2021).</w:t>
      </w:r>
    </w:p>
    <w:p w14:paraId="0D0DBDEB" w14:textId="77777777" w:rsidR="00963DBA" w:rsidRDefault="00963DBA">
      <w:pPr>
        <w:spacing w:before="40" w:after="40"/>
      </w:pPr>
    </w:p>
    <w:p w14:paraId="633B9079" w14:textId="77777777" w:rsidR="00963DBA" w:rsidRDefault="00000000">
      <w:pPr>
        <w:spacing w:before="80" w:after="120" w:line="320" w:lineRule="auto"/>
        <w:jc w:val="both"/>
      </w:pPr>
      <w:r>
        <w:rPr>
          <w:b/>
          <w:bCs/>
        </w:rPr>
        <w:t xml:space="preserve">SDG 16 — Peace, Justice and Strong Institutions: </w:t>
      </w:r>
      <w:r>
        <w:t xml:space="preserve">The SSAB principle's account of institutional fragility — that institutions constructed without sufficient symbolic saturation exhibit characteristic failure modes regardless of procedural sophistication — has direct implications for institutional design and reform (Vondoom, 2025a; 2026d). The framework supports approaches to institutional strengthening that treat symbolic consensus-building as a prerequisite for institutional stability, rather than </w:t>
      </w:r>
      <w:proofErr w:type="gramStart"/>
      <w:r>
        <w:t>assuming that</w:t>
      </w:r>
      <w:proofErr w:type="gramEnd"/>
      <w:r>
        <w:t xml:space="preserve"> sufficiently well-designed formal procedures can substitute for the shared symbolic foundation that makes those procedures function across generations.</w:t>
      </w:r>
    </w:p>
    <w:p w14:paraId="7F226352" w14:textId="77777777" w:rsidR="00963DBA" w:rsidRDefault="00963DBA">
      <w:pPr>
        <w:spacing w:before="40" w:after="40"/>
      </w:pPr>
    </w:p>
    <w:p w14:paraId="65493A2C" w14:textId="77777777" w:rsidR="00963DBA" w:rsidRDefault="00000000">
      <w:pPr>
        <w:spacing w:before="80" w:after="120" w:line="320" w:lineRule="auto"/>
        <w:jc w:val="both"/>
      </w:pPr>
      <w:r>
        <w:rPr>
          <w:b/>
          <w:bCs/>
        </w:rPr>
        <w:t xml:space="preserve">SDG 11 — Sustainable Cities and Communities: </w:t>
      </w:r>
      <w:r>
        <w:t xml:space="preserve">The North American case illustrates the concrete consequences of building human habitation systems without the ecological architectural knowledge specific to the territory being inhabited. The SSAB framework supports approaches to urban and community development that prioritize preservation and application of place-specific ecological and social knowledge — precisely the category most vulnerable to loss through </w:t>
      </w:r>
      <w:r>
        <w:lastRenderedPageBreak/>
        <w:t xml:space="preserve">architectural erasure — as a foundation for sustainable habitation (Vondoom, 2025a; Graeber and </w:t>
      </w:r>
      <w:proofErr w:type="spellStart"/>
      <w:r>
        <w:t>Wengrow</w:t>
      </w:r>
      <w:proofErr w:type="spellEnd"/>
      <w:r>
        <w:t>, 2021).</w:t>
      </w:r>
    </w:p>
    <w:p w14:paraId="45498DB7" w14:textId="77777777" w:rsidR="00963DBA" w:rsidRDefault="00963DBA">
      <w:pPr>
        <w:spacing w:before="40" w:after="40"/>
      </w:pPr>
    </w:p>
    <w:p w14:paraId="31CE7641" w14:textId="77777777" w:rsidR="00963DBA" w:rsidRDefault="00000000">
      <w:pPr>
        <w:spacing w:before="80" w:after="120" w:line="320" w:lineRule="auto"/>
        <w:jc w:val="both"/>
      </w:pPr>
      <w:r>
        <w:rPr>
          <w:b/>
          <w:bCs/>
        </w:rPr>
        <w:t xml:space="preserve">SDG 17 — Partnerships for the Goals: </w:t>
      </w:r>
      <w:r>
        <w:t>The SSAB framework's account of how civilizational knowledge compounds when absorbing cultures merge with rather than erase the architecture of their predecessors provides a structural rationale for cross-cultural knowledge partnerships that treat all traditions as potential sources of irreplaceable architectural knowledge. The framework supports partnership models that prioritize architectural preservation and transmission over procedural extraction.</w:t>
      </w:r>
    </w:p>
    <w:p w14:paraId="589B6E1C" w14:textId="77777777" w:rsidR="00963DBA" w:rsidRDefault="00963DBA">
      <w:pPr>
        <w:pBdr>
          <w:bottom w:val="single" w:sz="4" w:space="1" w:color="CCCCCC"/>
        </w:pBdr>
        <w:spacing w:before="160" w:after="160"/>
      </w:pPr>
    </w:p>
    <w:p w14:paraId="5DDC017C" w14:textId="77777777" w:rsidR="00963DBA" w:rsidRDefault="00963DBA">
      <w:pPr>
        <w:spacing w:before="80" w:after="80"/>
      </w:pPr>
    </w:p>
    <w:p w14:paraId="5C31DFAA" w14:textId="77777777" w:rsidR="00963DBA" w:rsidRDefault="00000000">
      <w:pPr>
        <w:pStyle w:val="Heading1"/>
      </w:pPr>
      <w:r>
        <w:t>References</w:t>
      </w:r>
    </w:p>
    <w:p w14:paraId="005E7300" w14:textId="77777777" w:rsidR="00963DBA" w:rsidRDefault="00000000">
      <w:pPr>
        <w:spacing w:after="80"/>
      </w:pPr>
      <w:r>
        <w:rPr>
          <w:b/>
          <w:bCs/>
        </w:rPr>
        <w:t>Primary ancient sources:</w:t>
      </w:r>
    </w:p>
    <w:p w14:paraId="426E6C3D" w14:textId="77777777" w:rsidR="00963DBA" w:rsidRDefault="00000000">
      <w:pPr>
        <w:spacing w:before="40" w:after="60"/>
        <w:ind w:left="480" w:hanging="480"/>
      </w:pPr>
      <w:r>
        <w:rPr>
          <w:color w:val="333333"/>
          <w:sz w:val="19"/>
          <w:szCs w:val="19"/>
        </w:rPr>
        <w:t xml:space="preserve">Diodorus Siculus. Bibliotheca </w:t>
      </w:r>
      <w:proofErr w:type="spellStart"/>
      <w:r>
        <w:rPr>
          <w:color w:val="333333"/>
          <w:sz w:val="19"/>
          <w:szCs w:val="19"/>
        </w:rPr>
        <w:t>Historica</w:t>
      </w:r>
      <w:proofErr w:type="spellEnd"/>
      <w:r>
        <w:rPr>
          <w:color w:val="333333"/>
          <w:sz w:val="19"/>
          <w:szCs w:val="19"/>
        </w:rPr>
        <w:t>, Book I. (Translated by C. H. Oldfather, 1933). Loeb Classical Library. Harvard University Press.</w:t>
      </w:r>
    </w:p>
    <w:p w14:paraId="213B4491" w14:textId="77777777" w:rsidR="00963DBA" w:rsidRDefault="00000000">
      <w:pPr>
        <w:spacing w:before="40" w:after="60"/>
        <w:ind w:left="480" w:hanging="480"/>
      </w:pPr>
      <w:r>
        <w:rPr>
          <w:color w:val="333333"/>
          <w:sz w:val="19"/>
          <w:szCs w:val="19"/>
        </w:rPr>
        <w:t>Herodotus. Histories, Book II. (Translated by A. D. Godley, 1920). Loeb Classical Library. Harvard University Press.</w:t>
      </w:r>
    </w:p>
    <w:p w14:paraId="79C23FD2" w14:textId="77777777" w:rsidR="00963DBA" w:rsidRDefault="00000000">
      <w:pPr>
        <w:spacing w:before="40" w:after="60"/>
        <w:ind w:left="480" w:hanging="480"/>
      </w:pPr>
      <w:r>
        <w:rPr>
          <w:color w:val="333333"/>
          <w:sz w:val="19"/>
          <w:szCs w:val="19"/>
        </w:rPr>
        <w:t xml:space="preserve">Iamblichus. De Vita </w:t>
      </w:r>
      <w:proofErr w:type="spellStart"/>
      <w:r>
        <w:rPr>
          <w:color w:val="333333"/>
          <w:sz w:val="19"/>
          <w:szCs w:val="19"/>
        </w:rPr>
        <w:t>Pythagorica</w:t>
      </w:r>
      <w:proofErr w:type="spellEnd"/>
      <w:r>
        <w:rPr>
          <w:color w:val="333333"/>
          <w:sz w:val="19"/>
          <w:szCs w:val="19"/>
        </w:rPr>
        <w:t xml:space="preserve"> [On the Pythagorean Life]. (Translated by G. Clark, 1989). Liverpool University Press.</w:t>
      </w:r>
    </w:p>
    <w:p w14:paraId="2C1750A1" w14:textId="77777777" w:rsidR="00963DBA" w:rsidRDefault="00000000">
      <w:pPr>
        <w:spacing w:before="40" w:after="60"/>
        <w:ind w:left="480" w:hanging="480"/>
      </w:pPr>
      <w:r>
        <w:rPr>
          <w:color w:val="333333"/>
          <w:sz w:val="19"/>
          <w:szCs w:val="19"/>
        </w:rPr>
        <w:t>Plato. Timaeus. (Translated by R. G. Bury, 1929). Loeb Classical Library. Harvard University Press.</w:t>
      </w:r>
    </w:p>
    <w:p w14:paraId="157CF533" w14:textId="77777777" w:rsidR="00963DBA" w:rsidRDefault="00963DBA">
      <w:pPr>
        <w:spacing w:before="40" w:after="40"/>
      </w:pPr>
    </w:p>
    <w:p w14:paraId="75D76EA8" w14:textId="77777777" w:rsidR="00963DBA" w:rsidRDefault="00000000">
      <w:pPr>
        <w:spacing w:after="80"/>
      </w:pPr>
      <w:r>
        <w:rPr>
          <w:b/>
          <w:bCs/>
        </w:rPr>
        <w:t>DSSM corpus (primary bibliography for this synthesis):</w:t>
      </w:r>
    </w:p>
    <w:p w14:paraId="64BD07A8" w14:textId="77777777" w:rsidR="00963DBA" w:rsidRDefault="00000000">
      <w:pPr>
        <w:spacing w:before="40" w:after="60"/>
        <w:ind w:left="480" w:hanging="480"/>
      </w:pPr>
      <w:r>
        <w:rPr>
          <w:color w:val="333333"/>
          <w:sz w:val="19"/>
          <w:szCs w:val="19"/>
        </w:rPr>
        <w:t>Vondoom, A. (2025a). The Deep Symbolic Systems Model (DSSM): A Cognitive-Ritual Framework. OSF Preprints. https://doi.org/10.17605/OSF.IO/YW5GM</w:t>
      </w:r>
    </w:p>
    <w:p w14:paraId="42DBB623" w14:textId="77777777" w:rsidR="00963DBA" w:rsidRDefault="00000000">
      <w:pPr>
        <w:spacing w:before="40" w:after="60"/>
        <w:ind w:left="480" w:hanging="480"/>
      </w:pPr>
      <w:r>
        <w:rPr>
          <w:color w:val="333333"/>
          <w:sz w:val="19"/>
          <w:szCs w:val="19"/>
        </w:rPr>
        <w:t xml:space="preserve">Vondoom, A. (2025b). From Fossilized Ritual to Fossilized Power. </w:t>
      </w:r>
      <w:proofErr w:type="spellStart"/>
      <w:r>
        <w:rPr>
          <w:color w:val="333333"/>
          <w:sz w:val="19"/>
          <w:szCs w:val="19"/>
        </w:rPr>
        <w:t>Figshare</w:t>
      </w:r>
      <w:proofErr w:type="spellEnd"/>
      <w:r>
        <w:rPr>
          <w:color w:val="333333"/>
          <w:sz w:val="19"/>
          <w:szCs w:val="19"/>
        </w:rPr>
        <w:t>. https://doi.org/10.6084/m9.figshare.31081444</w:t>
      </w:r>
    </w:p>
    <w:p w14:paraId="01E72B18" w14:textId="77777777" w:rsidR="00963DBA" w:rsidRDefault="00000000">
      <w:pPr>
        <w:spacing w:before="40" w:after="60"/>
        <w:ind w:left="480" w:hanging="480"/>
      </w:pPr>
      <w:r>
        <w:rPr>
          <w:color w:val="333333"/>
          <w:sz w:val="19"/>
          <w:szCs w:val="19"/>
        </w:rPr>
        <w:t xml:space="preserve">Vondoom, A. (2026a). Vinca Culture and the Origins of Deep Symbolic Stabilization: A DSSM Perspective. </w:t>
      </w:r>
      <w:proofErr w:type="spellStart"/>
      <w:r>
        <w:rPr>
          <w:color w:val="333333"/>
          <w:sz w:val="19"/>
          <w:szCs w:val="19"/>
        </w:rPr>
        <w:t>Figshare</w:t>
      </w:r>
      <w:proofErr w:type="spellEnd"/>
      <w:r>
        <w:rPr>
          <w:color w:val="333333"/>
          <w:sz w:val="19"/>
          <w:szCs w:val="19"/>
        </w:rPr>
        <w:t xml:space="preserve"> Preprint. [DSSM Paper 32]</w:t>
      </w:r>
    </w:p>
    <w:p w14:paraId="1C6CEB0C" w14:textId="77777777" w:rsidR="00963DBA" w:rsidRDefault="00000000">
      <w:pPr>
        <w:spacing w:before="40" w:after="60"/>
        <w:ind w:left="480" w:hanging="480"/>
      </w:pPr>
      <w:r>
        <w:rPr>
          <w:color w:val="333333"/>
          <w:sz w:val="19"/>
          <w:szCs w:val="19"/>
        </w:rPr>
        <w:t xml:space="preserve">Vondoom, A. (2026b). Vinca Symbols and Early Symbolic Transmission: DSSM Perspectives Across Europe, the Near East, and the Indus Valley. </w:t>
      </w:r>
      <w:proofErr w:type="spellStart"/>
      <w:r>
        <w:rPr>
          <w:color w:val="333333"/>
          <w:sz w:val="19"/>
          <w:szCs w:val="19"/>
        </w:rPr>
        <w:t>Zenodo</w:t>
      </w:r>
      <w:proofErr w:type="spellEnd"/>
      <w:r>
        <w:rPr>
          <w:color w:val="333333"/>
          <w:sz w:val="19"/>
          <w:szCs w:val="19"/>
        </w:rPr>
        <w:t xml:space="preserve"> Preprint. https://doi.org/10.5281/zenodo.18406654</w:t>
      </w:r>
    </w:p>
    <w:p w14:paraId="1981EF19" w14:textId="77777777" w:rsidR="00963DBA" w:rsidRDefault="00000000">
      <w:pPr>
        <w:spacing w:before="40" w:after="60"/>
        <w:ind w:left="480" w:hanging="480"/>
      </w:pPr>
      <w:r>
        <w:rPr>
          <w:color w:val="333333"/>
          <w:sz w:val="19"/>
          <w:szCs w:val="19"/>
        </w:rPr>
        <w:t xml:space="preserve">Vondoom, A. (2026c). Vinca Symbols, Distributed Symbolic Stabilization, and the Contingent Emergence of Writing. </w:t>
      </w:r>
      <w:proofErr w:type="spellStart"/>
      <w:r>
        <w:rPr>
          <w:color w:val="333333"/>
          <w:sz w:val="19"/>
          <w:szCs w:val="19"/>
        </w:rPr>
        <w:t>Zenodo</w:t>
      </w:r>
      <w:proofErr w:type="spellEnd"/>
      <w:r>
        <w:rPr>
          <w:color w:val="333333"/>
          <w:sz w:val="19"/>
          <w:szCs w:val="19"/>
        </w:rPr>
        <w:t xml:space="preserve"> Preprint. https://doi.org/10.5281/zenodo.18479570</w:t>
      </w:r>
    </w:p>
    <w:p w14:paraId="28BE645B" w14:textId="77777777" w:rsidR="00963DBA" w:rsidRDefault="00000000">
      <w:pPr>
        <w:spacing w:before="40" w:after="60"/>
        <w:ind w:left="480" w:hanging="480"/>
      </w:pPr>
      <w:r>
        <w:rPr>
          <w:color w:val="333333"/>
          <w:sz w:val="19"/>
          <w:szCs w:val="19"/>
        </w:rPr>
        <w:t xml:space="preserve">Vondoom, A. (2026d). From Ritual to Protocol Power: A DSSM Account of How Humanity Engineered the Present. </w:t>
      </w:r>
      <w:proofErr w:type="spellStart"/>
      <w:r>
        <w:rPr>
          <w:color w:val="333333"/>
          <w:sz w:val="19"/>
          <w:szCs w:val="19"/>
        </w:rPr>
        <w:t>Zenodo</w:t>
      </w:r>
      <w:proofErr w:type="spellEnd"/>
      <w:r>
        <w:rPr>
          <w:color w:val="333333"/>
          <w:sz w:val="19"/>
          <w:szCs w:val="19"/>
        </w:rPr>
        <w:t xml:space="preserve"> Preprint. https://doi.org/10.5281/zenodo.18607182</w:t>
      </w:r>
    </w:p>
    <w:p w14:paraId="2B1CBB78" w14:textId="77777777" w:rsidR="00963DBA" w:rsidRDefault="00000000">
      <w:pPr>
        <w:spacing w:before="40" w:after="60"/>
        <w:ind w:left="480" w:hanging="480"/>
      </w:pPr>
      <w:r>
        <w:rPr>
          <w:color w:val="333333"/>
          <w:sz w:val="19"/>
          <w:szCs w:val="19"/>
        </w:rPr>
        <w:t xml:space="preserve">Vondoom, A. (2026e). The Rehearsed Sacred: Belief as the Cognitive Foundation of Human Civilization. </w:t>
      </w:r>
      <w:proofErr w:type="spellStart"/>
      <w:r>
        <w:rPr>
          <w:color w:val="333333"/>
          <w:sz w:val="19"/>
          <w:szCs w:val="19"/>
        </w:rPr>
        <w:t>Zenodo</w:t>
      </w:r>
      <w:proofErr w:type="spellEnd"/>
      <w:r>
        <w:rPr>
          <w:color w:val="333333"/>
          <w:sz w:val="19"/>
          <w:szCs w:val="19"/>
        </w:rPr>
        <w:t xml:space="preserve"> Preprint. https://doi.org/10.5281/zenodo.20036012</w:t>
      </w:r>
    </w:p>
    <w:p w14:paraId="0850BE38" w14:textId="77777777" w:rsidR="00963DBA" w:rsidRDefault="00000000">
      <w:pPr>
        <w:spacing w:before="40" w:after="60"/>
        <w:ind w:left="480" w:hanging="480"/>
      </w:pPr>
      <w:r>
        <w:rPr>
          <w:color w:val="333333"/>
          <w:sz w:val="19"/>
          <w:szCs w:val="19"/>
        </w:rPr>
        <w:t xml:space="preserve">Vondoom, A. (2026f). The Eternal Mother: Forty Thousand Years of the Same Embrace. </w:t>
      </w:r>
      <w:proofErr w:type="spellStart"/>
      <w:r>
        <w:rPr>
          <w:color w:val="333333"/>
          <w:sz w:val="19"/>
          <w:szCs w:val="19"/>
        </w:rPr>
        <w:t>Figshare</w:t>
      </w:r>
      <w:proofErr w:type="spellEnd"/>
      <w:r>
        <w:rPr>
          <w:color w:val="333333"/>
          <w:sz w:val="19"/>
          <w:szCs w:val="19"/>
        </w:rPr>
        <w:t xml:space="preserve"> Preprint. https://doi.org/10.6084/m9.figshare.32231016</w:t>
      </w:r>
    </w:p>
    <w:p w14:paraId="1C9E12BC" w14:textId="77777777" w:rsidR="00963DBA" w:rsidRDefault="00963DBA">
      <w:pPr>
        <w:spacing w:before="40" w:after="40"/>
      </w:pPr>
    </w:p>
    <w:p w14:paraId="77416619" w14:textId="77777777" w:rsidR="00963DBA" w:rsidRDefault="00000000">
      <w:pPr>
        <w:spacing w:after="80"/>
      </w:pPr>
      <w:r>
        <w:rPr>
          <w:b/>
          <w:bCs/>
        </w:rPr>
        <w:t>External references cited in text:</w:t>
      </w:r>
    </w:p>
    <w:p w14:paraId="22F6C8F1" w14:textId="77777777" w:rsidR="00963DBA" w:rsidRDefault="00000000">
      <w:pPr>
        <w:spacing w:before="40" w:after="60"/>
        <w:ind w:left="480" w:hanging="480"/>
      </w:pPr>
      <w:proofErr w:type="spellStart"/>
      <w:r>
        <w:rPr>
          <w:color w:val="333333"/>
          <w:sz w:val="19"/>
          <w:szCs w:val="19"/>
        </w:rPr>
        <w:t>Brughmans</w:t>
      </w:r>
      <w:proofErr w:type="spellEnd"/>
      <w:r>
        <w:rPr>
          <w:color w:val="333333"/>
          <w:sz w:val="19"/>
          <w:szCs w:val="19"/>
        </w:rPr>
        <w:t>, T., et al. (2025). Network Dynamics and Symbol Transmission in Neolithic Eurasia. Journal of Archaeological Method and Theory, 32(1), 1-29. https://doi.org/10.1007/s10816-025-09501-2</w:t>
      </w:r>
    </w:p>
    <w:p w14:paraId="708782C4" w14:textId="77777777" w:rsidR="00963DBA" w:rsidRDefault="00000000">
      <w:pPr>
        <w:spacing w:before="40" w:after="60"/>
        <w:ind w:left="480" w:hanging="480"/>
      </w:pPr>
      <w:r>
        <w:rPr>
          <w:color w:val="333333"/>
          <w:sz w:val="19"/>
          <w:szCs w:val="19"/>
        </w:rPr>
        <w:t>Burkert, W. (1985). Greek Religion. Harvard University Press.</w:t>
      </w:r>
    </w:p>
    <w:p w14:paraId="19B08268" w14:textId="77777777" w:rsidR="00963DBA" w:rsidRDefault="00000000">
      <w:pPr>
        <w:spacing w:before="40" w:after="60"/>
        <w:ind w:left="480" w:hanging="480"/>
      </w:pPr>
      <w:r>
        <w:rPr>
          <w:color w:val="333333"/>
          <w:sz w:val="19"/>
          <w:szCs w:val="19"/>
        </w:rPr>
        <w:t>Collins, H., &amp; Evans, R. (2002). The third wave of science studies: Studies of expertise and experience. Social Studies of Science, 32(2), 235-296.</w:t>
      </w:r>
    </w:p>
    <w:p w14:paraId="23878428" w14:textId="77777777" w:rsidR="00963DBA" w:rsidRDefault="00000000">
      <w:pPr>
        <w:spacing w:before="40" w:after="60"/>
        <w:ind w:left="480" w:hanging="480"/>
      </w:pPr>
      <w:r>
        <w:rPr>
          <w:color w:val="333333"/>
          <w:sz w:val="19"/>
          <w:szCs w:val="19"/>
        </w:rPr>
        <w:lastRenderedPageBreak/>
        <w:t>Donald, M. (2010). Origins of the Modern Mind: Cognition, Culture, and Symbolic Systems. Harvard University Press.</w:t>
      </w:r>
    </w:p>
    <w:p w14:paraId="20E5CB19" w14:textId="77777777" w:rsidR="00963DBA" w:rsidRDefault="00000000">
      <w:pPr>
        <w:spacing w:before="40" w:after="60"/>
        <w:ind w:left="480" w:hanging="480"/>
      </w:pPr>
      <w:proofErr w:type="spellStart"/>
      <w:r>
        <w:rPr>
          <w:color w:val="333333"/>
          <w:sz w:val="19"/>
          <w:szCs w:val="19"/>
        </w:rPr>
        <w:t>Floridi</w:t>
      </w:r>
      <w:proofErr w:type="spellEnd"/>
      <w:r>
        <w:rPr>
          <w:color w:val="333333"/>
          <w:sz w:val="19"/>
          <w:szCs w:val="19"/>
        </w:rPr>
        <w:t>, L. (2022). Ethics of Artificial Intelligence. Oxford University Press.</w:t>
      </w:r>
    </w:p>
    <w:p w14:paraId="2AAD4C62" w14:textId="77777777" w:rsidR="00963DBA" w:rsidRDefault="00000000">
      <w:pPr>
        <w:spacing w:before="40" w:after="60"/>
        <w:ind w:left="480" w:hanging="480"/>
      </w:pPr>
      <w:r>
        <w:rPr>
          <w:color w:val="333333"/>
          <w:sz w:val="19"/>
          <w:szCs w:val="19"/>
        </w:rPr>
        <w:t>Garfinkel, Y., et al. (2026). Proto-Administrative Systems in Late Neolithic Anatolia. Antiquity, 100(401). https://doi.org/10.15184/aqy.2026.12</w:t>
      </w:r>
    </w:p>
    <w:p w14:paraId="55581E52" w14:textId="77777777" w:rsidR="00963DBA" w:rsidRDefault="00000000">
      <w:pPr>
        <w:spacing w:before="40" w:after="60"/>
        <w:ind w:left="480" w:hanging="480"/>
      </w:pPr>
      <w:r>
        <w:rPr>
          <w:color w:val="333333"/>
          <w:sz w:val="19"/>
          <w:szCs w:val="19"/>
        </w:rPr>
        <w:t xml:space="preserve">Graeber, D., &amp; </w:t>
      </w:r>
      <w:proofErr w:type="spellStart"/>
      <w:r>
        <w:rPr>
          <w:color w:val="333333"/>
          <w:sz w:val="19"/>
          <w:szCs w:val="19"/>
        </w:rPr>
        <w:t>Wengrow</w:t>
      </w:r>
      <w:proofErr w:type="spellEnd"/>
      <w:r>
        <w:rPr>
          <w:color w:val="333333"/>
          <w:sz w:val="19"/>
          <w:szCs w:val="19"/>
        </w:rPr>
        <w:t>, D. (2021). The Dawn of Everything: A New History of Humanity. Farrar, Straus and Giroux.</w:t>
      </w:r>
    </w:p>
    <w:p w14:paraId="30901E03" w14:textId="77777777" w:rsidR="00963DBA" w:rsidRDefault="00000000">
      <w:pPr>
        <w:spacing w:before="40" w:after="60"/>
        <w:ind w:left="480" w:hanging="480"/>
      </w:pPr>
      <w:r>
        <w:rPr>
          <w:color w:val="333333"/>
          <w:sz w:val="19"/>
          <w:szCs w:val="19"/>
        </w:rPr>
        <w:t>Kenoyer, J. M. (2025). Standardization Without Text in the Indus Civilization. Journal of World Prehistory, 38(2), 145-182. https://doi.org/10.1007/s10963-025-09176-4</w:t>
      </w:r>
    </w:p>
    <w:p w14:paraId="23DC13FC" w14:textId="77777777" w:rsidR="00963DBA" w:rsidRDefault="00000000">
      <w:pPr>
        <w:spacing w:before="40" w:after="60"/>
        <w:ind w:left="480" w:hanging="480"/>
      </w:pPr>
      <w:proofErr w:type="spellStart"/>
      <w:r>
        <w:rPr>
          <w:color w:val="333333"/>
          <w:sz w:val="19"/>
          <w:szCs w:val="19"/>
        </w:rPr>
        <w:t>Malafouris</w:t>
      </w:r>
      <w:proofErr w:type="spellEnd"/>
      <w:r>
        <w:rPr>
          <w:color w:val="333333"/>
          <w:sz w:val="19"/>
          <w:szCs w:val="19"/>
        </w:rPr>
        <w:t>, L. (2021). How Things Shape the Mind. MIT Press.</w:t>
      </w:r>
    </w:p>
    <w:p w14:paraId="4CF77B8B" w14:textId="77777777" w:rsidR="00963DBA" w:rsidRDefault="00000000">
      <w:pPr>
        <w:spacing w:before="40" w:after="60"/>
        <w:ind w:left="480" w:hanging="480"/>
      </w:pPr>
      <w:r>
        <w:rPr>
          <w:color w:val="333333"/>
          <w:sz w:val="19"/>
          <w:szCs w:val="19"/>
        </w:rPr>
        <w:t>Pinch, G. (2004). Egyptian Mythology: A Guide to the Gods, Goddesses, and Traditions of Ancient Egypt. Oxford University Press.</w:t>
      </w:r>
    </w:p>
    <w:p w14:paraId="4D4B6AE6" w14:textId="77777777" w:rsidR="00963DBA" w:rsidRDefault="00000000">
      <w:pPr>
        <w:spacing w:before="40" w:after="60"/>
        <w:ind w:left="480" w:hanging="480"/>
      </w:pPr>
      <w:r>
        <w:rPr>
          <w:color w:val="333333"/>
          <w:sz w:val="19"/>
          <w:szCs w:val="19"/>
        </w:rPr>
        <w:t>Polanyi, M. (1966). The Tacit Dimension. Doubleday.</w:t>
      </w:r>
    </w:p>
    <w:p w14:paraId="6150C681" w14:textId="77777777" w:rsidR="00963DBA" w:rsidRDefault="00000000">
      <w:pPr>
        <w:spacing w:before="40" w:after="60"/>
        <w:ind w:left="480" w:hanging="480"/>
      </w:pPr>
      <w:proofErr w:type="spellStart"/>
      <w:r>
        <w:rPr>
          <w:color w:val="333333"/>
          <w:sz w:val="19"/>
          <w:szCs w:val="19"/>
        </w:rPr>
        <w:t>Radivojevic</w:t>
      </w:r>
      <w:proofErr w:type="spellEnd"/>
      <w:r>
        <w:rPr>
          <w:color w:val="333333"/>
          <w:sz w:val="19"/>
          <w:szCs w:val="19"/>
        </w:rPr>
        <w:t>, M., et al. (2025). Material Symbolism and Technological Cognition in the Vinca Culture. Current Anthropology, 66(4), 487-512. https://doi.org/10.1086/726901</w:t>
      </w:r>
    </w:p>
    <w:p w14:paraId="72DC319B" w14:textId="77777777" w:rsidR="00963DBA" w:rsidRDefault="00000000">
      <w:pPr>
        <w:spacing w:before="40" w:after="60"/>
        <w:ind w:left="480" w:hanging="480"/>
      </w:pPr>
      <w:r>
        <w:rPr>
          <w:color w:val="333333"/>
          <w:sz w:val="19"/>
          <w:szCs w:val="19"/>
        </w:rPr>
        <w:t>Russell, S., &amp; Norvig, P. (2022). Artificial Intelligence: A Modern Approach (5th ed.). Pearson.</w:t>
      </w:r>
    </w:p>
    <w:p w14:paraId="0467F2FC" w14:textId="77777777" w:rsidR="00963DBA" w:rsidRDefault="00000000">
      <w:pPr>
        <w:spacing w:before="40" w:after="60"/>
        <w:ind w:left="480" w:hanging="480"/>
      </w:pPr>
      <w:r>
        <w:rPr>
          <w:color w:val="333333"/>
          <w:sz w:val="19"/>
          <w:szCs w:val="19"/>
        </w:rPr>
        <w:t>Ryle, G. (1949). The Concept of Mind. Hutchinson.</w:t>
      </w:r>
    </w:p>
    <w:p w14:paraId="22E161C6" w14:textId="77777777" w:rsidR="00963DBA" w:rsidRDefault="00000000">
      <w:pPr>
        <w:spacing w:before="40" w:after="60"/>
        <w:ind w:left="480" w:hanging="480"/>
      </w:pPr>
      <w:r>
        <w:rPr>
          <w:color w:val="333333"/>
          <w:sz w:val="19"/>
          <w:szCs w:val="19"/>
        </w:rPr>
        <w:t>Sherratt, A. (2025). Mobility, Collapse, and Symbolic Transmission. Antiquity, 99(398), 1201-1218. https://doi.org/10.15184/aqy.2025.189</w:t>
      </w:r>
    </w:p>
    <w:p w14:paraId="3B70B38F" w14:textId="77777777" w:rsidR="00963DBA" w:rsidRDefault="00000000">
      <w:pPr>
        <w:spacing w:before="40" w:after="60"/>
        <w:ind w:left="480" w:hanging="480"/>
      </w:pPr>
      <w:proofErr w:type="spellStart"/>
      <w:r>
        <w:rPr>
          <w:color w:val="333333"/>
          <w:sz w:val="19"/>
          <w:szCs w:val="19"/>
        </w:rPr>
        <w:t>Tegmark</w:t>
      </w:r>
      <w:proofErr w:type="spellEnd"/>
      <w:r>
        <w:rPr>
          <w:color w:val="333333"/>
          <w:sz w:val="19"/>
          <w:szCs w:val="19"/>
        </w:rPr>
        <w:t>, M. (2023). Life 3.0: Being Human in the Age of Artificial Intelligence. Penguin.</w:t>
      </w:r>
    </w:p>
    <w:p w14:paraId="6DA54B7D" w14:textId="77777777" w:rsidR="00963DBA" w:rsidRDefault="00000000">
      <w:pPr>
        <w:spacing w:before="40" w:after="60"/>
        <w:ind w:left="480" w:hanging="480"/>
      </w:pPr>
      <w:r>
        <w:rPr>
          <w:color w:val="333333"/>
          <w:sz w:val="19"/>
          <w:szCs w:val="19"/>
        </w:rPr>
        <w:t>Wilkinson, R. H. (2003). The Complete Gods and Goddesses of Ancient Egypt. Thames &amp; Hudson.</w:t>
      </w:r>
    </w:p>
    <w:p w14:paraId="794DF2BE" w14:textId="77777777" w:rsidR="00963DBA" w:rsidRDefault="00000000">
      <w:pPr>
        <w:spacing w:before="40" w:after="60"/>
        <w:ind w:left="480" w:hanging="480"/>
      </w:pPr>
      <w:r>
        <w:rPr>
          <w:color w:val="333333"/>
          <w:sz w:val="19"/>
          <w:szCs w:val="19"/>
        </w:rPr>
        <w:t>Witt, R. E. (1971). Isis in the Ancient World. Johns Hopkins University Press.</w:t>
      </w:r>
    </w:p>
    <w:p w14:paraId="3E665849" w14:textId="77777777" w:rsidR="00963DBA" w:rsidRDefault="00000000">
      <w:pPr>
        <w:spacing w:before="40" w:after="60"/>
        <w:ind w:left="480" w:hanging="480"/>
      </w:pPr>
      <w:r>
        <w:rPr>
          <w:color w:val="333333"/>
          <w:sz w:val="19"/>
          <w:szCs w:val="19"/>
        </w:rPr>
        <w:t>Woods, C. (2026). Administrative Overload and the Origins of Writing. Journal of Near Eastern Studies, 85(1). https://doi.org/10.1086/729004</w:t>
      </w:r>
    </w:p>
    <w:p w14:paraId="7755CCB2" w14:textId="77777777" w:rsidR="00963DBA" w:rsidRDefault="00000000">
      <w:pPr>
        <w:spacing w:before="40" w:after="60"/>
        <w:ind w:left="480" w:hanging="480"/>
      </w:pPr>
      <w:r>
        <w:rPr>
          <w:color w:val="333333"/>
          <w:sz w:val="19"/>
          <w:szCs w:val="19"/>
        </w:rPr>
        <w:t>Xygalatas, D. (2022). Ritual: How Seemingly Senseless Acts Make Life Worth Living. Profile Books.</w:t>
      </w:r>
    </w:p>
    <w:p w14:paraId="319AC33F" w14:textId="77777777" w:rsidR="00963DBA" w:rsidRDefault="00963DBA">
      <w:pPr>
        <w:spacing w:before="80" w:after="80"/>
      </w:pPr>
    </w:p>
    <w:p w14:paraId="19412806" w14:textId="77777777" w:rsidR="00963DBA" w:rsidRDefault="00000000">
      <w:pPr>
        <w:pStyle w:val="Heading1"/>
      </w:pPr>
      <w:r>
        <w:t>AI Assistance Disclosure</w:t>
      </w:r>
    </w:p>
    <w:p w14:paraId="73A92360" w14:textId="77777777" w:rsidR="00963DBA" w:rsidRDefault="00000000">
      <w:pPr>
        <w:spacing w:before="80" w:after="120" w:line="320" w:lineRule="auto"/>
        <w:jc w:val="both"/>
      </w:pPr>
      <w:r>
        <w:t>This paper was produced with the assistance of Claude (Anthropic), a large language model, used as a writing and editorial tool throughout the drafting process. The author's use of AI assistance in the production of this paper is itself an instance of the phenomenon described in Section 7: the architectural knowledge required to specify, evaluate, and direct the output — the theoretical framework, the case selection, the analytical argument, and the judgment of what constitutes a sound or unsound claim — originates entirely with the author. The AI tool provided procedural capacity in the form of drafting, structural organization, and consistency checking. All intellectual content, all theoretical claims, all interpretive decisions, and all final editorial judgments are the author's own.</w:t>
      </w:r>
    </w:p>
    <w:p w14:paraId="3ABF18BB" w14:textId="77777777" w:rsidR="00963DBA" w:rsidRDefault="00000000">
      <w:pPr>
        <w:spacing w:before="80" w:after="120" w:line="320" w:lineRule="auto"/>
        <w:jc w:val="both"/>
      </w:pPr>
      <w:r>
        <w:t>This disclosure is made in accordance with the author's standing policy of transparent AI assistance acknowledgment across the full DSSM corpus, and in accordance with the argument advanced in Section 7 of this paper: that the architecture bottleneck operates identically whether the procedural resource being directed is a language model, a programming environment, a mathematical toolkit, or a stone tablet. The quality of AI-assisted outputs is a function of the architectural knowledge directing them. The reader is invited to evaluate the argument on that basis.</w:t>
      </w:r>
    </w:p>
    <w:p w14:paraId="50248557" w14:textId="77777777" w:rsidR="00963DBA" w:rsidRDefault="00963DBA">
      <w:pPr>
        <w:pBdr>
          <w:bottom w:val="single" w:sz="4" w:space="1" w:color="CCCCCC"/>
        </w:pBdr>
        <w:spacing w:before="160" w:after="160"/>
      </w:pPr>
    </w:p>
    <w:p w14:paraId="1B2C6D8E" w14:textId="77777777" w:rsidR="00DD3FED" w:rsidRDefault="00DD3FED">
      <w:pPr>
        <w:spacing w:after="40"/>
        <w:jc w:val="center"/>
        <w:rPr>
          <w:i/>
          <w:iCs/>
          <w:color w:val="AAAAAA"/>
          <w:sz w:val="20"/>
          <w:szCs w:val="20"/>
        </w:rPr>
      </w:pPr>
    </w:p>
    <w:p w14:paraId="77A2145E" w14:textId="77777777" w:rsidR="00DD3FED" w:rsidRDefault="00DD3FED">
      <w:pPr>
        <w:spacing w:after="40"/>
        <w:jc w:val="center"/>
        <w:rPr>
          <w:i/>
          <w:iCs/>
          <w:color w:val="AAAAAA"/>
          <w:sz w:val="20"/>
          <w:szCs w:val="20"/>
        </w:rPr>
      </w:pPr>
    </w:p>
    <w:p w14:paraId="20BB6952" w14:textId="77777777" w:rsidR="00DD3FED" w:rsidRDefault="00DD3FED">
      <w:pPr>
        <w:spacing w:after="40"/>
        <w:jc w:val="center"/>
        <w:rPr>
          <w:i/>
          <w:iCs/>
          <w:color w:val="AAAAAA"/>
          <w:sz w:val="20"/>
          <w:szCs w:val="20"/>
        </w:rPr>
      </w:pPr>
    </w:p>
    <w:p w14:paraId="4EF1F264" w14:textId="77777777" w:rsidR="00DD3FED" w:rsidRDefault="00DD3FED">
      <w:pPr>
        <w:spacing w:after="40"/>
        <w:jc w:val="center"/>
        <w:rPr>
          <w:i/>
          <w:iCs/>
          <w:color w:val="AAAAAA"/>
          <w:sz w:val="20"/>
          <w:szCs w:val="20"/>
        </w:rPr>
      </w:pPr>
    </w:p>
    <w:p w14:paraId="3253D097" w14:textId="32ECC03E" w:rsidR="00963DBA" w:rsidRDefault="00000000">
      <w:pPr>
        <w:spacing w:after="40"/>
        <w:jc w:val="center"/>
      </w:pPr>
      <w:r>
        <w:rPr>
          <w:color w:val="AAAAAA"/>
          <w:sz w:val="18"/>
          <w:szCs w:val="18"/>
        </w:rPr>
        <w:t xml:space="preserve">Anthony </w:t>
      </w:r>
      <w:proofErr w:type="gramStart"/>
      <w:r>
        <w:rPr>
          <w:color w:val="AAAAAA"/>
          <w:sz w:val="18"/>
          <w:szCs w:val="18"/>
        </w:rPr>
        <w:t>Vondoom  |</w:t>
      </w:r>
      <w:proofErr w:type="gramEnd"/>
      <w:r>
        <w:rPr>
          <w:color w:val="AAAAAA"/>
          <w:sz w:val="18"/>
          <w:szCs w:val="18"/>
        </w:rPr>
        <w:t xml:space="preserve">  ORCID: 0009-0003-4953-</w:t>
      </w:r>
      <w:proofErr w:type="gramStart"/>
      <w:r>
        <w:rPr>
          <w:color w:val="AAAAAA"/>
          <w:sz w:val="18"/>
          <w:szCs w:val="18"/>
        </w:rPr>
        <w:t>1427  |</w:t>
      </w:r>
      <w:proofErr w:type="gramEnd"/>
      <w:r>
        <w:rPr>
          <w:color w:val="AAAAAA"/>
          <w:sz w:val="18"/>
          <w:szCs w:val="18"/>
        </w:rPr>
        <w:t xml:space="preserve">  anthony.vondoom@outlook.com</w:t>
      </w:r>
    </w:p>
    <w:p w14:paraId="5475EC93" w14:textId="40F29787" w:rsidR="00963DBA" w:rsidRDefault="00963DBA">
      <w:pPr>
        <w:jc w:val="center"/>
      </w:pPr>
    </w:p>
    <w:sectPr w:rsidR="00963DBA">
      <w:headerReference w:type="default" r:id="rId8"/>
      <w:footerReference w:type="even" r:id="rId9"/>
      <w:footerReference w:type="default" r:id="rId10"/>
      <w:pgSz w:w="11906" w:h="16838"/>
      <w:pgMar w:top="1440" w:right="1300" w:bottom="1440" w:left="13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B4E46" w14:textId="77777777" w:rsidR="0019530E" w:rsidRDefault="0019530E">
      <w:r>
        <w:separator/>
      </w:r>
    </w:p>
  </w:endnote>
  <w:endnote w:type="continuationSeparator" w:id="0">
    <w:p w14:paraId="4160CED2" w14:textId="77777777" w:rsidR="0019530E" w:rsidRDefault="0019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6524842"/>
      <w:docPartObj>
        <w:docPartGallery w:val="Page Numbers (Bottom of Page)"/>
        <w:docPartUnique/>
      </w:docPartObj>
    </w:sdtPr>
    <w:sdtContent>
      <w:p w14:paraId="755C7423" w14:textId="1657248B" w:rsidR="00DD3FED" w:rsidRDefault="00DD3FED" w:rsidP="00F2357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CE6DC89" w14:textId="77777777" w:rsidR="00DD3FED" w:rsidRDefault="00DD3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8548140"/>
      <w:docPartObj>
        <w:docPartGallery w:val="Page Numbers (Bottom of Page)"/>
        <w:docPartUnique/>
      </w:docPartObj>
    </w:sdtPr>
    <w:sdtContent>
      <w:p w14:paraId="09BE22E1" w14:textId="3B72F737" w:rsidR="00DD3FED" w:rsidRDefault="00DD3FED" w:rsidP="00F2357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sdtContent>
  </w:sdt>
  <w:p w14:paraId="39ABBA8F" w14:textId="4482C76E" w:rsidR="00963DBA" w:rsidRDefault="00DD3FED">
    <w:pPr>
      <w:tabs>
        <w:tab w:val="right" w:pos="8406"/>
      </w:tabs>
    </w:pPr>
    <w:r>
      <w:rPr>
        <w:color w:val="888888"/>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9B701" w14:textId="77777777" w:rsidR="0019530E" w:rsidRDefault="0019530E">
      <w:r>
        <w:separator/>
      </w:r>
    </w:p>
  </w:footnote>
  <w:footnote w:type="continuationSeparator" w:id="0">
    <w:p w14:paraId="5A28C087" w14:textId="77777777" w:rsidR="0019530E" w:rsidRDefault="00195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DF61" w14:textId="6829A79E" w:rsidR="00963DBA" w:rsidRDefault="00963DBA">
    <w:pPr>
      <w:tabs>
        <w:tab w:val="right" w:pos="84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B078E"/>
    <w:multiLevelType w:val="hybridMultilevel"/>
    <w:tmpl w:val="F0406636"/>
    <w:lvl w:ilvl="0" w:tplc="AEB000CA">
      <w:start w:val="1"/>
      <w:numFmt w:val="bullet"/>
      <w:lvlText w:val="●"/>
      <w:lvlJc w:val="left"/>
      <w:pPr>
        <w:ind w:left="720" w:hanging="360"/>
      </w:pPr>
    </w:lvl>
    <w:lvl w:ilvl="1" w:tplc="839C71A4">
      <w:start w:val="1"/>
      <w:numFmt w:val="bullet"/>
      <w:lvlText w:val="○"/>
      <w:lvlJc w:val="left"/>
      <w:pPr>
        <w:ind w:left="1440" w:hanging="360"/>
      </w:pPr>
    </w:lvl>
    <w:lvl w:ilvl="2" w:tplc="00F4D014">
      <w:start w:val="1"/>
      <w:numFmt w:val="bullet"/>
      <w:lvlText w:val="■"/>
      <w:lvlJc w:val="left"/>
      <w:pPr>
        <w:ind w:left="2160" w:hanging="360"/>
      </w:pPr>
    </w:lvl>
    <w:lvl w:ilvl="3" w:tplc="287ED514">
      <w:start w:val="1"/>
      <w:numFmt w:val="bullet"/>
      <w:lvlText w:val="●"/>
      <w:lvlJc w:val="left"/>
      <w:pPr>
        <w:ind w:left="2880" w:hanging="360"/>
      </w:pPr>
    </w:lvl>
    <w:lvl w:ilvl="4" w:tplc="E58CC5F4">
      <w:start w:val="1"/>
      <w:numFmt w:val="bullet"/>
      <w:lvlText w:val="○"/>
      <w:lvlJc w:val="left"/>
      <w:pPr>
        <w:ind w:left="3600" w:hanging="360"/>
      </w:pPr>
    </w:lvl>
    <w:lvl w:ilvl="5" w:tplc="CCCC417C">
      <w:start w:val="1"/>
      <w:numFmt w:val="bullet"/>
      <w:lvlText w:val="■"/>
      <w:lvlJc w:val="left"/>
      <w:pPr>
        <w:ind w:left="4320" w:hanging="360"/>
      </w:pPr>
    </w:lvl>
    <w:lvl w:ilvl="6" w:tplc="9C10A10C">
      <w:start w:val="1"/>
      <w:numFmt w:val="bullet"/>
      <w:lvlText w:val="●"/>
      <w:lvlJc w:val="left"/>
      <w:pPr>
        <w:ind w:left="5040" w:hanging="360"/>
      </w:pPr>
    </w:lvl>
    <w:lvl w:ilvl="7" w:tplc="C21C4A72">
      <w:start w:val="1"/>
      <w:numFmt w:val="bullet"/>
      <w:lvlText w:val="●"/>
      <w:lvlJc w:val="left"/>
      <w:pPr>
        <w:ind w:left="5760" w:hanging="360"/>
      </w:pPr>
    </w:lvl>
    <w:lvl w:ilvl="8" w:tplc="7E52A5AA">
      <w:start w:val="1"/>
      <w:numFmt w:val="bullet"/>
      <w:lvlText w:val="●"/>
      <w:lvlJc w:val="left"/>
      <w:pPr>
        <w:ind w:left="6480" w:hanging="360"/>
      </w:pPr>
    </w:lvl>
  </w:abstractNum>
  <w:abstractNum w:abstractNumId="1" w15:restartNumberingAfterBreak="0">
    <w:nsid w:val="652C1989"/>
    <w:multiLevelType w:val="hybridMultilevel"/>
    <w:tmpl w:val="B5F4D588"/>
    <w:lvl w:ilvl="0" w:tplc="8110B6B6">
      <w:start w:val="1"/>
      <w:numFmt w:val="bullet"/>
      <w:lvlText w:val="•"/>
      <w:lvlJc w:val="left"/>
      <w:pPr>
        <w:ind w:left="720" w:hanging="360"/>
      </w:pPr>
    </w:lvl>
    <w:lvl w:ilvl="1" w:tplc="F46459B8">
      <w:numFmt w:val="decimal"/>
      <w:lvlText w:val=""/>
      <w:lvlJc w:val="left"/>
    </w:lvl>
    <w:lvl w:ilvl="2" w:tplc="4BB4A6AE">
      <w:numFmt w:val="decimal"/>
      <w:lvlText w:val=""/>
      <w:lvlJc w:val="left"/>
    </w:lvl>
    <w:lvl w:ilvl="3" w:tplc="F2EC095C">
      <w:numFmt w:val="decimal"/>
      <w:lvlText w:val=""/>
      <w:lvlJc w:val="left"/>
    </w:lvl>
    <w:lvl w:ilvl="4" w:tplc="541AF2EE">
      <w:numFmt w:val="decimal"/>
      <w:lvlText w:val=""/>
      <w:lvlJc w:val="left"/>
    </w:lvl>
    <w:lvl w:ilvl="5" w:tplc="457E4970">
      <w:numFmt w:val="decimal"/>
      <w:lvlText w:val=""/>
      <w:lvlJc w:val="left"/>
    </w:lvl>
    <w:lvl w:ilvl="6" w:tplc="B1605086">
      <w:numFmt w:val="decimal"/>
      <w:lvlText w:val=""/>
      <w:lvlJc w:val="left"/>
    </w:lvl>
    <w:lvl w:ilvl="7" w:tplc="7A1AD00E">
      <w:numFmt w:val="decimal"/>
      <w:lvlText w:val=""/>
      <w:lvlJc w:val="left"/>
    </w:lvl>
    <w:lvl w:ilvl="8" w:tplc="2C68187E">
      <w:numFmt w:val="decimal"/>
      <w:lvlText w:val=""/>
      <w:lvlJc w:val="left"/>
    </w:lvl>
  </w:abstractNum>
  <w:num w:numId="1" w16cid:durableId="4143972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DBA"/>
    <w:rsid w:val="0019530E"/>
    <w:rsid w:val="00963DBA"/>
    <w:rsid w:val="00A37E12"/>
    <w:rsid w:val="00AA044C"/>
    <w:rsid w:val="00DD3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A2A9A6"/>
  <w15:docId w15:val="{30ABDAAF-ACE3-7B40-AF64-3A653E5BF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160"/>
      <w:outlineLvl w:val="0"/>
    </w:pPr>
    <w:rPr>
      <w:b/>
      <w:bCs/>
      <w:color w:val="1A1A2E"/>
      <w:sz w:val="32"/>
      <w:szCs w:val="32"/>
    </w:rPr>
  </w:style>
  <w:style w:type="paragraph" w:styleId="Heading2">
    <w:name w:val="heading 2"/>
    <w:uiPriority w:val="9"/>
    <w:unhideWhenUsed/>
    <w:qFormat/>
    <w:pPr>
      <w:spacing w:before="280" w:after="120"/>
      <w:outlineLvl w:val="1"/>
    </w:pPr>
    <w:rPr>
      <w:b/>
      <w:bCs/>
      <w:color w:val="16213E"/>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DD3FED"/>
    <w:pPr>
      <w:tabs>
        <w:tab w:val="center" w:pos="4680"/>
        <w:tab w:val="right" w:pos="9360"/>
      </w:tabs>
    </w:pPr>
  </w:style>
  <w:style w:type="character" w:customStyle="1" w:styleId="HeaderChar">
    <w:name w:val="Header Char"/>
    <w:basedOn w:val="DefaultParagraphFont"/>
    <w:link w:val="Header"/>
    <w:uiPriority w:val="99"/>
    <w:rsid w:val="00DD3FED"/>
  </w:style>
  <w:style w:type="paragraph" w:styleId="Footer">
    <w:name w:val="footer"/>
    <w:basedOn w:val="Normal"/>
    <w:link w:val="FooterChar"/>
    <w:uiPriority w:val="99"/>
    <w:unhideWhenUsed/>
    <w:rsid w:val="00DD3FED"/>
    <w:pPr>
      <w:tabs>
        <w:tab w:val="center" w:pos="4680"/>
        <w:tab w:val="right" w:pos="9360"/>
      </w:tabs>
    </w:pPr>
  </w:style>
  <w:style w:type="character" w:customStyle="1" w:styleId="FooterChar">
    <w:name w:val="Footer Char"/>
    <w:basedOn w:val="DefaultParagraphFont"/>
    <w:link w:val="Footer"/>
    <w:uiPriority w:val="99"/>
    <w:rsid w:val="00DD3FED"/>
  </w:style>
  <w:style w:type="character" w:styleId="PageNumber">
    <w:name w:val="page number"/>
    <w:basedOn w:val="DefaultParagraphFont"/>
    <w:uiPriority w:val="99"/>
    <w:semiHidden/>
    <w:unhideWhenUsed/>
    <w:rsid w:val="00DD3FED"/>
  </w:style>
  <w:style w:type="character" w:styleId="UnresolvedMention">
    <w:name w:val="Unresolved Mention"/>
    <w:basedOn w:val="DefaultParagraphFont"/>
    <w:uiPriority w:val="99"/>
    <w:semiHidden/>
    <w:unhideWhenUsed/>
    <w:rsid w:val="00AA0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6084/m9.figshare.3232528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26</Pages>
  <Words>9859</Words>
  <Characters>64479</Characters>
  <Application>Microsoft Office Word</Application>
  <DocSecurity>0</DocSecurity>
  <Lines>1074</Lines>
  <Paragraphs>291</Paragraphs>
  <ScaleCrop>false</ScaleCrop>
  <Company/>
  <LinksUpToDate>false</LinksUpToDate>
  <CharactersWithSpaces>74047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anthony vondoom</cp:lastModifiedBy>
  <cp:revision>3</cp:revision>
  <dcterms:created xsi:type="dcterms:W3CDTF">2026-05-19T12:39:00Z</dcterms:created>
  <dcterms:modified xsi:type="dcterms:W3CDTF">2026-05-19T13:00:00Z</dcterms:modified>
</cp:coreProperties>
</file>