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F7F4" w14:textId="77777777" w:rsidR="00AB6032" w:rsidRDefault="00C8126D" w:rsidP="00AB6032">
      <w:pPr>
        <w:spacing w:before="100" w:beforeAutospacing="1" w:after="100" w:afterAutospacing="1"/>
        <w:outlineLvl w:val="0"/>
        <w:rPr>
          <w:rFonts w:ascii="Times New Roman" w:eastAsia="Times New Roman" w:hAnsi="Times New Roman" w:cs="Times New Roman"/>
          <w:b/>
          <w:bCs/>
          <w:kern w:val="36"/>
          <w:sz w:val="52"/>
          <w:szCs w:val="52"/>
          <w:lang w:eastAsia="en-GB"/>
        </w:rPr>
      </w:pPr>
      <w:r w:rsidRPr="00AB6032">
        <w:rPr>
          <w:rFonts w:ascii="Times New Roman" w:eastAsia="Times New Roman" w:hAnsi="Times New Roman" w:cs="Times New Roman"/>
          <w:b/>
          <w:bCs/>
          <w:kern w:val="36"/>
          <w:sz w:val="52"/>
          <w:szCs w:val="52"/>
          <w:lang w:eastAsia="en-GB"/>
        </w:rPr>
        <w:t>Deep Symbolic Stabilization in Prehistoric Mesoamerica</w:t>
      </w:r>
    </w:p>
    <w:p w14:paraId="1D0933F1" w14:textId="77777777" w:rsidR="00C8126D" w:rsidRPr="00AB6032" w:rsidRDefault="00C8126D" w:rsidP="00AB6032">
      <w:pPr>
        <w:spacing w:before="100" w:beforeAutospacing="1" w:after="100" w:afterAutospacing="1"/>
        <w:outlineLvl w:val="0"/>
        <w:rPr>
          <w:rFonts w:ascii="Times New Roman" w:eastAsia="Times New Roman" w:hAnsi="Times New Roman" w:cs="Times New Roman"/>
          <w:b/>
          <w:bCs/>
          <w:kern w:val="36"/>
          <w:sz w:val="52"/>
          <w:szCs w:val="52"/>
          <w:lang w:eastAsia="en-GB"/>
        </w:rPr>
      </w:pPr>
      <w:r w:rsidRPr="00AB6032">
        <w:rPr>
          <w:rFonts w:ascii="Times New Roman" w:eastAsia="Times New Roman" w:hAnsi="Times New Roman" w:cs="Times New Roman"/>
          <w:i/>
          <w:iCs/>
          <w:sz w:val="32"/>
          <w:szCs w:val="32"/>
          <w:lang w:eastAsia="en-GB"/>
        </w:rPr>
        <w:t>A Macro-Regional Case Study of the Deep Symbolic Systems Model (DSSM)</w:t>
      </w:r>
    </w:p>
    <w:p w14:paraId="051A7866" w14:textId="77777777" w:rsidR="00C8126D" w:rsidRDefault="00C8126D" w:rsidP="00C8126D">
      <w:pPr>
        <w:spacing w:before="100" w:beforeAutospacing="1" w:after="100" w:afterAutospacing="1"/>
        <w:rPr>
          <w:rFonts w:ascii="Times New Roman" w:eastAsia="Times New Roman" w:hAnsi="Times New Roman" w:cs="Times New Roman"/>
          <w:lang w:eastAsia="en-GB"/>
        </w:rPr>
      </w:pPr>
    </w:p>
    <w:p w14:paraId="63899E58"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18C8623"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702C354"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00C6CD2" w14:textId="3F8D4087" w:rsidR="00AB6032" w:rsidRDefault="009D5ED3" w:rsidP="009D5ED3">
      <w:pPr>
        <w:spacing w:before="100" w:beforeAutospacing="1" w:after="100" w:afterAutospacing="1"/>
        <w:jc w:val="center"/>
        <w:rPr>
          <w:rFonts w:ascii="Times New Roman" w:eastAsia="Times New Roman" w:hAnsi="Times New Roman" w:cs="Times New Roman"/>
          <w:lang w:val="en-US" w:eastAsia="en-GB"/>
        </w:rPr>
      </w:pPr>
      <w:r w:rsidRPr="009D5ED3">
        <w:rPr>
          <w:rFonts w:ascii="Times New Roman" w:eastAsia="Times New Roman" w:hAnsi="Times New Roman" w:cs="Times New Roman"/>
          <w:lang w:val="en-US" w:eastAsia="en-GB"/>
        </w:rPr>
        <w:t>2</w:t>
      </w:r>
      <w:r>
        <w:rPr>
          <w:rFonts w:ascii="Times New Roman" w:eastAsia="Times New Roman" w:hAnsi="Times New Roman" w:cs="Times New Roman"/>
          <w:lang w:val="en-US" w:eastAsia="en-GB"/>
        </w:rPr>
        <w:t>026 Figshare</w:t>
      </w:r>
    </w:p>
    <w:p w14:paraId="4C88FCD3" w14:textId="6C4C334A" w:rsidR="009D5ED3" w:rsidRPr="009D5ED3" w:rsidRDefault="00152C56" w:rsidP="009D5ED3">
      <w:pPr>
        <w:spacing w:before="100" w:beforeAutospacing="1" w:after="100" w:afterAutospacing="1"/>
        <w:jc w:val="center"/>
        <w:rPr>
          <w:rFonts w:ascii="Times New Roman" w:eastAsia="Times New Roman" w:hAnsi="Times New Roman" w:cs="Times New Roman"/>
          <w:lang w:val="en-US" w:eastAsia="en-GB"/>
        </w:rPr>
      </w:pPr>
      <w:hyperlink r:id="rId5" w:history="1">
        <w:r w:rsidRPr="0064735F">
          <w:rPr>
            <w:rStyle w:val="Hyperlink"/>
            <w:rFonts w:ascii="Times New Roman" w:eastAsia="Times New Roman" w:hAnsi="Times New Roman" w:cs="Times New Roman"/>
            <w:lang w:val="en-US" w:eastAsia="en-GB"/>
          </w:rPr>
          <w:t>https://doi.org/10.6084/m9.figshare.31059406</w:t>
        </w:r>
      </w:hyperlink>
      <w:r>
        <w:rPr>
          <w:rFonts w:ascii="Times New Roman" w:eastAsia="Times New Roman" w:hAnsi="Times New Roman" w:cs="Times New Roman"/>
          <w:lang w:val="en-US" w:eastAsia="en-GB"/>
        </w:rPr>
        <w:t xml:space="preserve"> </w:t>
      </w:r>
    </w:p>
    <w:p w14:paraId="37B77F25"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595738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17DC7A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16121B0"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6565CD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A348058"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B2C7A73"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4625662" w14:textId="77777777" w:rsidR="00937BAB" w:rsidRDefault="00937BAB" w:rsidP="00C8126D">
      <w:pPr>
        <w:spacing w:before="100" w:beforeAutospacing="1" w:after="100" w:afterAutospacing="1"/>
        <w:rPr>
          <w:rFonts w:ascii="Times New Roman" w:eastAsia="Times New Roman" w:hAnsi="Times New Roman" w:cs="Times New Roman"/>
          <w:lang w:eastAsia="en-GB"/>
        </w:rPr>
      </w:pPr>
    </w:p>
    <w:p w14:paraId="3B98C7D1" w14:textId="77777777" w:rsidR="00AB6032" w:rsidRDefault="00C8126D" w:rsidP="00C8126D">
      <w:pPr>
        <w:spacing w:before="100" w:beforeAutospacing="1" w:after="100" w:afterAutospacing="1"/>
        <w:rPr>
          <w:rFonts w:ascii="Times New Roman" w:eastAsia="Times New Roman" w:hAnsi="Times New Roman" w:cs="Times New Roman"/>
          <w:b/>
          <w:bCs/>
          <w:lang w:eastAsia="en-GB"/>
        </w:rPr>
      </w:pPr>
      <w:r w:rsidRPr="00C8126D">
        <w:rPr>
          <w:rFonts w:ascii="Times New Roman" w:eastAsia="Times New Roman" w:hAnsi="Times New Roman" w:cs="Times New Roman"/>
          <w:b/>
          <w:bCs/>
          <w:lang w:eastAsia="en-GB"/>
        </w:rPr>
        <w:t>Anthony Vondoom</w:t>
      </w:r>
    </w:p>
    <w:p w14:paraId="6F366B13" w14:textId="77777777" w:rsidR="00937BAB" w:rsidRDefault="00937BAB" w:rsidP="00937BAB">
      <w:pPr>
        <w:pStyle w:val="p1"/>
      </w:pPr>
      <w:r>
        <w:t>This paper is conceptually and methodologically related to the foundational work on the Deep Symbolic Systems Model (DSSM) by Vondoom, A.:</w:t>
      </w:r>
    </w:p>
    <w:p w14:paraId="15B6A30D" w14:textId="77777777" w:rsidR="00937BAB" w:rsidRDefault="00937BAB" w:rsidP="00937BAB">
      <w:pPr>
        <w:pStyle w:val="p1"/>
        <w:numPr>
          <w:ilvl w:val="0"/>
          <w:numId w:val="6"/>
        </w:numPr>
      </w:pPr>
      <w:r>
        <w:rPr>
          <w:rStyle w:val="s1"/>
          <w:b/>
          <w:bCs/>
        </w:rPr>
        <w:t>Vondoom, A. (2025, December 30).</w:t>
      </w:r>
      <w:r>
        <w:t xml:space="preserve"> </w:t>
      </w:r>
      <w:r>
        <w:rPr>
          <w:i/>
          <w:iCs/>
        </w:rPr>
        <w:t>The Deep Symbolic Systems Model (DSSM) – A Cognitive–Ritual Framework for Early Monumentality and Cultural Continuity.</w:t>
      </w:r>
      <w:r>
        <w:t xml:space="preserve"> </w:t>
      </w:r>
      <w:hyperlink r:id="rId6" w:history="1">
        <w:r w:rsidRPr="00113FAC">
          <w:rPr>
            <w:rStyle w:val="Hyperlink"/>
          </w:rPr>
          <w:t>https://doi.org/10.17605/OSF.IO/MRZFU</w:t>
        </w:r>
      </w:hyperlink>
    </w:p>
    <w:p w14:paraId="1A99F9D3" w14:textId="77777777" w:rsidR="00937BAB" w:rsidRDefault="00937BAB" w:rsidP="00937BAB">
      <w:pPr>
        <w:pStyle w:val="p1"/>
        <w:numPr>
          <w:ilvl w:val="0"/>
          <w:numId w:val="6"/>
        </w:numPr>
      </w:pPr>
      <w:r>
        <w:rPr>
          <w:rStyle w:val="s1"/>
          <w:b/>
          <w:bCs/>
        </w:rPr>
        <w:t>Vondoom, A. (2026, January 5).</w:t>
      </w:r>
      <w:r>
        <w:t xml:space="preserve"> </w:t>
      </w:r>
      <w:r>
        <w:rPr>
          <w:i/>
          <w:iCs/>
        </w:rPr>
        <w:t>Cognitive Preconditions for the Deep Symbolic Systems Model (DSSM).</w:t>
      </w:r>
      <w:r>
        <w:t xml:space="preserve"> </w:t>
      </w:r>
      <w:hyperlink r:id="rId7" w:history="1">
        <w:r w:rsidRPr="00113FAC">
          <w:rPr>
            <w:rStyle w:val="Hyperlink"/>
          </w:rPr>
          <w:t>https://doi.org/10.17605/OSF.IO/25AJW</w:t>
        </w:r>
      </w:hyperlink>
    </w:p>
    <w:p w14:paraId="2011CDCD" w14:textId="77777777" w:rsidR="00AB6032" w:rsidRDefault="00AB6032" w:rsidP="00C8126D">
      <w:pPr>
        <w:spacing w:before="100" w:beforeAutospacing="1" w:after="100" w:afterAutospacing="1"/>
        <w:rPr>
          <w:rFonts w:ascii="Times New Roman" w:eastAsia="Times New Roman" w:hAnsi="Times New Roman" w:cs="Times New Roman"/>
          <w:b/>
          <w:bCs/>
          <w:lang w:eastAsia="en-GB"/>
        </w:rPr>
      </w:pPr>
    </w:p>
    <w:p w14:paraId="6610E326" w14:textId="77777777" w:rsidR="00AB6032" w:rsidRPr="00AB6032" w:rsidRDefault="00AB6032" w:rsidP="00C8126D">
      <w:pPr>
        <w:spacing w:before="100" w:beforeAutospacing="1" w:after="100" w:afterAutospacing="1"/>
        <w:rPr>
          <w:rFonts w:ascii="Times New Roman" w:eastAsia="Times New Roman" w:hAnsi="Times New Roman" w:cs="Times New Roman"/>
          <w:b/>
          <w:bCs/>
          <w:lang w:eastAsia="en-GB"/>
        </w:rPr>
      </w:pPr>
    </w:p>
    <w:p w14:paraId="30E7130E"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1D0EF74">
          <v:rect id="_x0000_i1038"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Abstract</w:t>
      </w:r>
    </w:p>
    <w:p w14:paraId="2BD2C94B"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paper presents a full-scale empirical application of the Deep Symbolic Systems Model (DSSM) to prehistoric Mesoamerica. Rather than treating Mesoamerica as a derivative or anomalous case relative to Egypt, Mesopotamia, or East Asia, the region is analyzed as a severe structural stress test for long-term symbolic stabilization. Mesoamerica lacks a single axial river system, exhibits extreme ecological fragmentation, and demonstrates prolonged delays between symbolic stabilization and the appearance of monumentality and writing. Drawing on evidence from Late Pleistocene forager contexts, Archaic cave reoccupation and ritualized subsistence, Early Formative village stabilization, distributed Preclassic symbolic grammars, portable elite ritual objects in the Olmec horizon, and late monumental externalization, this study demonstrates that Mesoamerican societies achieved deep symbolic stabilization well before pyramids, kingship, or writing. Monumentality emerges late as a compression of accumulated symbolic load rather than as its origin. Writing appears as codification, not genesis. The Mesoamerican case confirms DSSM as a general explanatory framework while revealing a distinct stabilization pathway based on ritual networks, distributed grammars, and portable symbolic authority rather than early landscape-fixed anchors.</w:t>
      </w:r>
    </w:p>
    <w:p w14:paraId="5081077B"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0108CD3C"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9B6183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69CBD045"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B01C7A6"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E550A51"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F798531"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3F77262"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6EBDB51"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149715E"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98EECCD"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0B1F6385"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E39A022"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3C128BF" w14:textId="77777777" w:rsidR="00080234" w:rsidRPr="00C8126D" w:rsidRDefault="00080234" w:rsidP="00C8126D">
      <w:pPr>
        <w:spacing w:before="100" w:beforeAutospacing="1" w:after="100" w:afterAutospacing="1"/>
        <w:rPr>
          <w:rFonts w:ascii="Times New Roman" w:eastAsia="Times New Roman" w:hAnsi="Times New Roman" w:cs="Times New Roman"/>
          <w:lang w:eastAsia="en-GB"/>
        </w:rPr>
      </w:pPr>
    </w:p>
    <w:p w14:paraId="7444EC8B"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196BF520">
          <v:rect id="_x0000_i1037"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1. Introduction: Mesoamerica as a Structural Stress Test</w:t>
      </w:r>
    </w:p>
    <w:p w14:paraId="13338370"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Archaeological narratives of early civilization have traditionally privileged regions where monumentality, writing, and centralized political authority appear early and conspicuously. Within such frameworks, Mesoamerica is often treated as developmentally delayed or structurally anomalous, its Preclassic millennia framed as a protracted prelude to “true” civilization. This paper rejects that framing.</w:t>
      </w:r>
    </w:p>
    <w:p w14:paraId="3A462B97"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Instead, Mesoamerica is treated as a macro-regional stress test for the Deep Symbolic Systems Model (DSSM), comparable in analytical weight to the Nile corridor and the Yellow River–Yangtze system. If DSSM is a general model of early symbolic stabilization, it must account for regions where stabilization occurs without a unifying river corridor, without early monumentality, and under conditions of pronounced ecological fragmentation.</w:t>
      </w:r>
    </w:p>
    <w:p w14:paraId="310319C5"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Mesoamerica meets all three criteria. Its core symbolic corridors—the Central Mexican Plateau, Gulf Coast lowlands, Maya Lowlands and Highlands, and Oaxaca Valley—are not environmentally unified. Interaction is constrained not by linear riverine corridors but by ritual exchange networks, seasonal aggregation cycles, and shared symbolic grammars. This makes Mesoamerica analytically valuable rather than exceptional.</w:t>
      </w:r>
    </w:p>
    <w:p w14:paraId="5F007334"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p>
    <w:p w14:paraId="2F508D86"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The purpose of this paper is diagnostic. Mesoamerica is used to test whether DSSM can explain: (1) symbolic persistence without axial geography, (2) stabilization through distributed ritual networks rather than landscape-fixed monuments, and (3) the late and abrupt emergence of monumental architecture and writing. If DSSM can account for Mesoamerica without modification, its claim to generality is substantially strengthened.</w:t>
      </w:r>
    </w:p>
    <w:p w14:paraId="40521C48"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913BE64"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57BB9B2"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68FEAC9"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A2EE3ED"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3EB032A"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9E55D11"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0F3023EE"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4DF1144"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CA63332" w14:textId="77777777" w:rsidR="00AB6032" w:rsidRPr="00C8126D" w:rsidRDefault="00AB6032" w:rsidP="00C8126D">
      <w:pPr>
        <w:spacing w:before="100" w:beforeAutospacing="1" w:after="100" w:afterAutospacing="1"/>
        <w:rPr>
          <w:rFonts w:ascii="Times New Roman" w:eastAsia="Times New Roman" w:hAnsi="Times New Roman" w:cs="Times New Roman"/>
          <w:lang w:eastAsia="en-GB"/>
        </w:rPr>
      </w:pPr>
    </w:p>
    <w:p w14:paraId="4F06E8AB"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2471319F">
          <v:rect id="_x0000_i1036"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2. Methodological Framework</w:t>
      </w:r>
    </w:p>
    <w:p w14:paraId="5718CA5A"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2.1 Analytical Scope</w:t>
      </w:r>
    </w:p>
    <w:p w14:paraId="6D17BD8D"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 xml:space="preserve">This study applies DSSM as formulated in </w:t>
      </w:r>
      <w:r w:rsidRPr="00C8126D">
        <w:rPr>
          <w:rFonts w:ascii="Times New Roman" w:eastAsia="Times New Roman" w:hAnsi="Times New Roman" w:cs="Times New Roman"/>
          <w:i/>
          <w:iCs/>
          <w:lang w:eastAsia="en-GB"/>
        </w:rPr>
        <w:t>The Deep Symbolic Systems Model: A Cognitive–Ritual Framework for Early Monumentality and Cultural Continuity</w:t>
      </w:r>
      <w:r w:rsidRPr="00C8126D">
        <w:rPr>
          <w:rFonts w:ascii="Times New Roman" w:eastAsia="Times New Roman" w:hAnsi="Times New Roman" w:cs="Times New Roman"/>
          <w:lang w:eastAsia="en-GB"/>
        </w:rPr>
        <w:t xml:space="preserve"> (Vondoom, 2025). The framework is applied without revision. Mesoamerica is evaluated using the same stabilization criteria previously applied to Egypt and East Asia, allowing direct structural comparison across macro-regions.</w:t>
      </w:r>
    </w:p>
    <w:p w14:paraId="42CFC8C7"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2.2 Criteria for Symbolic Stabilization</w:t>
      </w:r>
    </w:p>
    <w:p w14:paraId="38564C3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Following DSSM, a symbolic system is considered structurally stabilized when it demonstrates:</w:t>
      </w:r>
    </w:p>
    <w:p w14:paraId="61B5BBBB" w14:textId="77777777" w:rsidR="00C8126D" w:rsidRPr="00C8126D" w:rsidRDefault="00C8126D" w:rsidP="00C8126D">
      <w:pPr>
        <w:numPr>
          <w:ilvl w:val="0"/>
          <w:numId w:val="1"/>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Intergenerational repetition independent of individual agents</w:t>
      </w:r>
    </w:p>
    <w:p w14:paraId="13EFDD29" w14:textId="77777777" w:rsidR="00C8126D" w:rsidRPr="00C8126D" w:rsidRDefault="00C8126D" w:rsidP="00C8126D">
      <w:pPr>
        <w:numPr>
          <w:ilvl w:val="0"/>
          <w:numId w:val="1"/>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Constraint on spatial organization and ritual practice</w:t>
      </w:r>
    </w:p>
    <w:p w14:paraId="74043AC5" w14:textId="77777777" w:rsidR="00C8126D" w:rsidRPr="00C8126D" w:rsidRDefault="00C8126D" w:rsidP="00C8126D">
      <w:pPr>
        <w:numPr>
          <w:ilvl w:val="0"/>
          <w:numId w:val="1"/>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Redundancy across multiple symbolic media</w:t>
      </w:r>
    </w:p>
    <w:p w14:paraId="614F7F57" w14:textId="77777777" w:rsidR="00C8126D" w:rsidRPr="00AB6032" w:rsidRDefault="00C8126D" w:rsidP="00C8126D">
      <w:pPr>
        <w:numPr>
          <w:ilvl w:val="0"/>
          <w:numId w:val="1"/>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Persistence under demographic, ecological, or political stress</w:t>
      </w:r>
    </w:p>
    <w:p w14:paraId="41D51C79"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Symbolic acts that lack long-term repetition, cross-media reinforcement, or resistance to drift are treated as evidence of symbolic capacity but not of structural stabilization.</w:t>
      </w:r>
    </w:p>
    <w:p w14:paraId="27B22F11"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2.3 Data Sources</w:t>
      </w:r>
    </w:p>
    <w:p w14:paraId="79C4623C"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The analysis draws on:</w:t>
      </w:r>
    </w:p>
    <w:p w14:paraId="7DF98770"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Late Pleistocene and Early Archaic forager contexts (Tlapacoya, Valsequillo Basin)</w:t>
      </w:r>
    </w:p>
    <w:p w14:paraId="68CDC640"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Archaic cave and valley reoccupation sequences (Guilá Naquitz, Tehuacán Valley, Coxcatlán Cave)</w:t>
      </w:r>
    </w:p>
    <w:p w14:paraId="393B7B1D"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Early Formative village systems (Soconusco, Oaxaca Valley, early Maya lowlands)</w:t>
      </w:r>
    </w:p>
    <w:p w14:paraId="39EED6A9"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Middle Preclassic regional grammars (Oaxaca, Gulf Coast, Maya Lowlands)</w:t>
      </w:r>
    </w:p>
    <w:p w14:paraId="1AADE40B"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Olmec ritual object systems (San Lorenzo, La Venta)</w:t>
      </w:r>
    </w:p>
    <w:p w14:paraId="1C123AE3" w14:textId="77777777" w:rsidR="00C8126D" w:rsidRPr="00C8126D" w:rsidRDefault="00C8126D" w:rsidP="00C8126D">
      <w:pPr>
        <w:numPr>
          <w:ilvl w:val="0"/>
          <w:numId w:val="2"/>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Terminal Preclassic monumental and epigraphic traditions</w:t>
      </w:r>
    </w:p>
    <w:p w14:paraId="0269D57C"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These datasets are selected for their ability to demonstrate repetition, constraint, redundancy, and long-term symbolic persistence rather than for representational richness.</w:t>
      </w:r>
    </w:p>
    <w:p w14:paraId="312FA04F"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0B25BB44"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18DCB89"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7C62A92"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085C2126" w14:textId="77777777" w:rsidR="00AB6032" w:rsidRPr="00C8126D" w:rsidRDefault="00AB6032" w:rsidP="00C8126D">
      <w:pPr>
        <w:spacing w:before="100" w:beforeAutospacing="1" w:after="100" w:afterAutospacing="1"/>
        <w:rPr>
          <w:rFonts w:ascii="Times New Roman" w:eastAsia="Times New Roman" w:hAnsi="Times New Roman" w:cs="Times New Roman"/>
          <w:lang w:eastAsia="en-GB"/>
        </w:rPr>
      </w:pPr>
    </w:p>
    <w:p w14:paraId="517056E4"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034E84C5">
          <v:rect id="_x0000_i1035"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3. Symbolic Capacity Without Stabilization (c. 20,000–9000 BCE)</w:t>
      </w:r>
    </w:p>
    <w:p w14:paraId="5DC2497C"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3.1 Late Pleistocene Foragers</w:t>
      </w:r>
    </w:p>
    <w:p w14:paraId="018A0007"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Early contexts such as Tlapacoya and the Valsequillo Basin indicate human presence in Central Mexico during the Late Pleistocene. While some of this evidence remains disputed, its structural implications are informative. Tool standardization, subsistence planning, and likely body ornamentation suggest symbolic capacity comparable to contemporaneous Old World populations.</w:t>
      </w:r>
    </w:p>
    <w:p w14:paraId="262FC830"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Ochre use is inferred but archaeologically sparse, likely due to preservation biases. Symbolic expression, where present, appears episodic and context-specific rather than spatially anchored or redundantly encoded.</w:t>
      </w:r>
    </w:p>
    <w:p w14:paraId="121FA365" w14:textId="77777777" w:rsidR="00C8126D" w:rsidRPr="00C8126D" w:rsidRDefault="00C8126D" w:rsidP="00AB6032">
      <w:pPr>
        <w:spacing w:before="100" w:beforeAutospacing="1" w:after="100" w:afterAutospacing="1"/>
        <w:ind w:firstLine="36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3.2 DSSM Diagnosis</w:t>
      </w:r>
    </w:p>
    <w:p w14:paraId="62CC2362" w14:textId="77777777" w:rsidR="00C8126D" w:rsidRPr="00C8126D" w:rsidRDefault="00C8126D" w:rsidP="00C8126D">
      <w:pPr>
        <w:numPr>
          <w:ilvl w:val="0"/>
          <w:numId w:val="3"/>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Symbolic capacity: present</w:t>
      </w:r>
    </w:p>
    <w:p w14:paraId="4C7645F3" w14:textId="77777777" w:rsidR="00C8126D" w:rsidRPr="00C8126D" w:rsidRDefault="00C8126D" w:rsidP="00C8126D">
      <w:pPr>
        <w:numPr>
          <w:ilvl w:val="0"/>
          <w:numId w:val="3"/>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Intergenerational stabilization: absent</w:t>
      </w:r>
    </w:p>
    <w:p w14:paraId="70664741" w14:textId="77777777" w:rsidR="00C8126D" w:rsidRPr="00C8126D" w:rsidRDefault="00C8126D" w:rsidP="00C8126D">
      <w:pPr>
        <w:numPr>
          <w:ilvl w:val="0"/>
          <w:numId w:val="3"/>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Spatial anchoring: absent</w:t>
      </w:r>
    </w:p>
    <w:p w14:paraId="1EC8697F"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phase establishes cognitive parity, not symbolic systems. Structurally, it corresponds to African Middle Stone Age contexts and early East Asian engraving and pigment traditions.</w:t>
      </w:r>
    </w:p>
    <w:p w14:paraId="098401BC"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51A317F">
          <v:rect id="_x0000_i1034"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4. Landscape Memory Without Public Anchors (c. 9000–6000 BCE)</w:t>
      </w:r>
    </w:p>
    <w:p w14:paraId="28433F8C" w14:textId="77777777" w:rsidR="00C8126D" w:rsidRPr="00AB6032"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4.1 Early Archaic Reoccupation</w:t>
      </w:r>
    </w:p>
    <w:p w14:paraId="36E9A4D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Sites such as Guilá Naquitz, Coxcatlán Cave, and the broader Tehuacán Valley demonstrate repeated cave reoccupation over millennia. Seasonal aggregation cycles become archaeologically visible, and early domestication of squash, maize, and beans is embedded within ritualized subsistence practices.</w:t>
      </w:r>
    </w:p>
    <w:p w14:paraId="3C64C04A"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Caves function as mnemonic nodes—places of return, memory, and ritual repetition—rather than as public monuments. Symbolic authority remains internal to practice rather than externalized in durable, high-visibility media.</w:t>
      </w:r>
    </w:p>
    <w:p w14:paraId="0031B2F9"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4.2 Transitional Symbolic Structuring</w:t>
      </w:r>
    </w:p>
    <w:p w14:paraId="0DABB70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Within DSSM, this phase represents an incipient stabilization regime. Landscape memory emerges through repetition, but redundancy across symbolic media remains weak. There is no clear externalization of symbolic authority into publicly legible anchors.This is not a cognitive limitation. It reflects a structural strategy in which symbolic transmission is embedded in subsistence scheduling, ritual practice, and localized memory.</w:t>
      </w:r>
    </w:p>
    <w:p w14:paraId="0F984BDA"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76A2227">
          <v:rect id="_x0000_i1033"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5. Aggregation and Distributed Ritual Practice (c. 6000–4000 BCE)</w:t>
      </w:r>
    </w:p>
    <w:p w14:paraId="60A2ABAA"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During the Middle Archaic transition, aggregation intensifies across the Central Mexican Plateau, Oaxaca Valley, and Pacific Coast shell midden zones. Sites increase in size and occupational depth, and plant-processing technologies become formalized.</w:t>
      </w:r>
    </w:p>
    <w:p w14:paraId="5BA0710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Crucially, symbolic systems begin to outlive individual groups. Authority circulates through food preparation, calendrical scheduling, and repetitive aggregation rather than through monuments or elite-controlled spaces.</w:t>
      </w:r>
    </w:p>
    <w:p w14:paraId="351C1406"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DSSM interprets this as a structurally viable pathway to symbolic persistence: stabilization through distributed repetition rather than centralized anchoring.</w:t>
      </w:r>
    </w:p>
    <w:p w14:paraId="1138E9CC"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27B6BFF">
          <v:rect id="_x0000_i1032"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6. Full Symbolic Stabilization Without Monumentality (c. 4000–2500 BCE)</w:t>
      </w:r>
    </w:p>
    <w:p w14:paraId="4F6DF2C0"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6.1 Early Formative Transitions</w:t>
      </w:r>
    </w:p>
    <w:p w14:paraId="4806A01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Early Formative societies in the Soconusco region, Oaxaca Valley, and Maya lowlands exhibit fixed village plans, formalized burials beneath houses, repeated figurine types, and long-distance exchange of ritual materials such as jade and obsidian.</w:t>
      </w:r>
    </w:p>
    <w:p w14:paraId="413790BB"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These features demonstrate redundancy across spatial, mortuary, and portable media. Symbolic practices persist across generations and remain stable under demographic expansion.</w:t>
      </w:r>
    </w:p>
    <w:p w14:paraId="0BB826A3" w14:textId="77777777" w:rsidR="00C8126D" w:rsidRPr="00C8126D" w:rsidRDefault="00C8126D" w:rsidP="00AB6032">
      <w:pPr>
        <w:spacing w:before="100" w:beforeAutospacing="1" w:after="100" w:afterAutospacing="1"/>
        <w:ind w:firstLine="720"/>
        <w:outlineLvl w:val="2"/>
        <w:rPr>
          <w:rFonts w:ascii="Times New Roman" w:eastAsia="Times New Roman" w:hAnsi="Times New Roman" w:cs="Times New Roman"/>
          <w:b/>
          <w:bCs/>
          <w:sz w:val="27"/>
          <w:szCs w:val="27"/>
          <w:lang w:eastAsia="en-GB"/>
        </w:rPr>
      </w:pPr>
      <w:r w:rsidRPr="00C8126D">
        <w:rPr>
          <w:rFonts w:ascii="Times New Roman" w:eastAsia="Times New Roman" w:hAnsi="Times New Roman" w:cs="Times New Roman"/>
          <w:b/>
          <w:bCs/>
          <w:sz w:val="27"/>
          <w:szCs w:val="27"/>
          <w:lang w:eastAsia="en-GB"/>
        </w:rPr>
        <w:t>6.2 DSSM Diagnosis</w:t>
      </w:r>
    </w:p>
    <w:p w14:paraId="32AEE06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All DSSM criteria are met:</w:t>
      </w:r>
    </w:p>
    <w:p w14:paraId="79E2C6AC" w14:textId="77777777" w:rsidR="00C8126D" w:rsidRPr="00C8126D" w:rsidRDefault="00C8126D" w:rsidP="00C8126D">
      <w:pPr>
        <w:numPr>
          <w:ilvl w:val="0"/>
          <w:numId w:val="4"/>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Intergenerational repetition</w:t>
      </w:r>
    </w:p>
    <w:p w14:paraId="0BECA1BC" w14:textId="77777777" w:rsidR="00C8126D" w:rsidRPr="00C8126D" w:rsidRDefault="00C8126D" w:rsidP="00C8126D">
      <w:pPr>
        <w:numPr>
          <w:ilvl w:val="0"/>
          <w:numId w:val="4"/>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Spatial constraint</w:t>
      </w:r>
    </w:p>
    <w:p w14:paraId="10055655" w14:textId="77777777" w:rsidR="00C8126D" w:rsidRPr="00C8126D" w:rsidRDefault="00C8126D" w:rsidP="00C8126D">
      <w:pPr>
        <w:numPr>
          <w:ilvl w:val="0"/>
          <w:numId w:val="4"/>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Cross-media redundancy</w:t>
      </w:r>
    </w:p>
    <w:p w14:paraId="37CDB4B9" w14:textId="77777777" w:rsidR="00C8126D" w:rsidRPr="00C8126D" w:rsidRDefault="00C8126D" w:rsidP="00C8126D">
      <w:pPr>
        <w:numPr>
          <w:ilvl w:val="0"/>
          <w:numId w:val="4"/>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Persistence under change</w:t>
      </w:r>
    </w:p>
    <w:p w14:paraId="699AFFBC"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phase represents the first clear instance of full symbolic stabilization in Mesoamerica, structurally equivalent to Jiahu in East Asia.</w:t>
      </w:r>
    </w:p>
    <w:p w14:paraId="7A51CA0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EC05C9D"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4ADC66F" w14:textId="77777777" w:rsidR="00AB6032" w:rsidRPr="00C8126D" w:rsidRDefault="00AB6032" w:rsidP="00C8126D">
      <w:pPr>
        <w:spacing w:before="100" w:beforeAutospacing="1" w:after="100" w:afterAutospacing="1"/>
        <w:rPr>
          <w:rFonts w:ascii="Times New Roman" w:eastAsia="Times New Roman" w:hAnsi="Times New Roman" w:cs="Times New Roman"/>
          <w:lang w:eastAsia="en-GB"/>
        </w:rPr>
      </w:pPr>
    </w:p>
    <w:p w14:paraId="39A24A2B"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1F9E6490">
          <v:rect id="_x0000_i1031"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7. Distributed Symbolic Grammars (c. 2500–1800 BCE)</w:t>
      </w:r>
    </w:p>
    <w:p w14:paraId="22043627"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During the Middle Preclassic, symbolic stabilization expands across vast territories. Village layouts become standardized, plaza-centered settlements proliferate, and regional ceramic grammars replicate with high fidelity.</w:t>
      </w:r>
    </w:p>
    <w:p w14:paraId="169E4A8A"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Importantly, this is not Olmec political dominance. It is symbolic convergence. Stabilization remains distributed, with no single axial center or early monumentality.</w:t>
      </w:r>
    </w:p>
    <w:p w14:paraId="519E57D7"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Structurally, this phase parallels the Yangshao horizon: high symbolic coherence without centralized architectural authority.</w:t>
      </w:r>
    </w:p>
    <w:p w14:paraId="429CA66D"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13467608">
          <v:rect id="_x0000_i1030"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8. Portable Permanence and Elite Ritual Objects (c. 1800–1400 BCE)</w:t>
      </w:r>
    </w:p>
    <w:p w14:paraId="0EA97CD7"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The early Olmec horizon introduces a new stabilization strategy. Jade celts, masks, and standardized iconography function as portable symbolic anchors with long ritual biographies. Symbolic authority concentrates in objects rather than in landscapes.</w:t>
      </w:r>
    </w:p>
    <w:p w14:paraId="17270466"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Colossal heads do not mark the origin of Olmec symbolism. They are late compression artifacts. By the time monumental sculpture appears, symbolic systems are already deeply stabilized through portable permanence and controlled ritual knowledge.</w:t>
      </w:r>
    </w:p>
    <w:p w14:paraId="4EE06AAF"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phase is structurally analogous to Hongshan jade systems in East Asia.</w:t>
      </w:r>
    </w:p>
    <w:p w14:paraId="1269AD2B"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3E03B8D3">
          <v:rect id="_x0000_i1029"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9. Monumental Externalization Under Symbolic Saturation (c. 1400–900 BCE)</w:t>
      </w:r>
    </w:p>
    <w:p w14:paraId="7B250C2E"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During the Late Olmec and Terminal Preclassic transition, monumental platforms, public plazas, and large-scale sculpture proliferate. Landscapes are actively modified to externalize symbolic hierarchies.</w:t>
      </w:r>
    </w:p>
    <w:p w14:paraId="57513E7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Within DSSM, monumentality emerges only after symbolic load exceeds the capacity of portable and domestic media. Architecture formalizes pre-existing ritual grammars rather than generating them.</w:t>
      </w:r>
    </w:p>
    <w:p w14:paraId="62D546F2"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transition is structurally identical to Erlitou and to Egypt’s Naqada III–Early Dynastic shift.</w:t>
      </w:r>
    </w:p>
    <w:p w14:paraId="2B0FA036"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181F97B"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424CB08F" w14:textId="77777777" w:rsidR="00AB6032" w:rsidRPr="00C8126D" w:rsidRDefault="00AB6032" w:rsidP="00C8126D">
      <w:pPr>
        <w:spacing w:before="100" w:beforeAutospacing="1" w:after="100" w:afterAutospacing="1"/>
        <w:rPr>
          <w:rFonts w:ascii="Times New Roman" w:eastAsia="Times New Roman" w:hAnsi="Times New Roman" w:cs="Times New Roman"/>
          <w:lang w:eastAsia="en-GB"/>
        </w:rPr>
      </w:pPr>
    </w:p>
    <w:p w14:paraId="131E45BA"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pict w14:anchorId="77C09B5D">
          <v:rect id="_x0000_i1028"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10. Writing as Codification, Not Genesis (c. 900–300 BCE)</w:t>
      </w:r>
    </w:p>
    <w:p w14:paraId="0B65BA01" w14:textId="77777777" w:rsidR="00C8126D" w:rsidRPr="00C8126D" w:rsidRDefault="00C8126D" w:rsidP="00AB6032">
      <w:pPr>
        <w:spacing w:before="100" w:beforeAutospacing="1" w:after="100" w:afterAutospacing="1"/>
        <w:ind w:firstLine="720"/>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Epi-Olmec and early Maya writing systems, including the Isthmian script and Long Count calendrics, formalize symbolic systems that were already deeply stabilized. Writing encodes ancestral time, ritual obligation, and political legitimacy; it does not create them.</w:t>
      </w:r>
    </w:p>
    <w:p w14:paraId="589D6C23"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p>
    <w:p w14:paraId="2A4A6843"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This sequence aligns precisely with DSSM predictions: symbolic stabilization precedes writing, which emerges as a managerial and mnemonic tool under symbolic saturation.</w:t>
      </w:r>
    </w:p>
    <w:p w14:paraId="038E9B40" w14:textId="77777777" w:rsidR="00C8126D" w:rsidRPr="00C8126D"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45395466">
          <v:rect id="_x0000_i1027"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11. Comparative Implications</w:t>
      </w:r>
    </w:p>
    <w:p w14:paraId="10E68F9D"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Mesoamerica demonstrates that deep symbolic stabilization:</w:t>
      </w:r>
    </w:p>
    <w:p w14:paraId="782037B3" w14:textId="77777777" w:rsidR="00C8126D" w:rsidRPr="00C8126D" w:rsidRDefault="00C8126D" w:rsidP="00C8126D">
      <w:pPr>
        <w:numPr>
          <w:ilvl w:val="0"/>
          <w:numId w:val="5"/>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Does not require axial rivers</w:t>
      </w:r>
    </w:p>
    <w:p w14:paraId="0705BAAD" w14:textId="77777777" w:rsidR="00C8126D" w:rsidRPr="00C8126D" w:rsidRDefault="00C8126D" w:rsidP="00C8126D">
      <w:pPr>
        <w:numPr>
          <w:ilvl w:val="0"/>
          <w:numId w:val="5"/>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Does not depend on early monumentality</w:t>
      </w:r>
    </w:p>
    <w:p w14:paraId="01D740DD" w14:textId="77777777" w:rsidR="00C8126D" w:rsidRPr="00C8126D" w:rsidRDefault="00C8126D" w:rsidP="00C8126D">
      <w:pPr>
        <w:numPr>
          <w:ilvl w:val="0"/>
          <w:numId w:val="5"/>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Precedes writing and state bureaucracy</w:t>
      </w:r>
    </w:p>
    <w:p w14:paraId="39E012BC" w14:textId="77777777" w:rsidR="00C8126D" w:rsidRPr="00AB6032" w:rsidRDefault="00C8126D" w:rsidP="00C8126D">
      <w:pPr>
        <w:numPr>
          <w:ilvl w:val="0"/>
          <w:numId w:val="5"/>
        </w:num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Can persist across ecologically fragmented regions through distributed ritual grammars</w:t>
      </w:r>
    </w:p>
    <w:p w14:paraId="643B95D5" w14:textId="77777777" w:rsid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If Egypt represents a stone-anchor solution and East Asia a portable-craft solution, Mesoamerica constitutes a ritual-network solution to the problem of long-term symbolic stabilization.</w:t>
      </w:r>
    </w:p>
    <w:p w14:paraId="5CEFED8F"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B797757"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DE43020"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6172EA4"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2651C86"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6C041D70"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4EA4CF1"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5B96B21C"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3F3BC00D"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7243916E"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252F1995" w14:textId="77777777" w:rsidR="00AB6032" w:rsidRDefault="00AB6032" w:rsidP="00C8126D">
      <w:pPr>
        <w:spacing w:before="100" w:beforeAutospacing="1" w:after="100" w:afterAutospacing="1"/>
        <w:rPr>
          <w:rFonts w:ascii="Times New Roman" w:eastAsia="Times New Roman" w:hAnsi="Times New Roman" w:cs="Times New Roman"/>
          <w:lang w:eastAsia="en-GB"/>
        </w:rPr>
      </w:pPr>
    </w:p>
    <w:p w14:paraId="1AF51CE8" w14:textId="77777777" w:rsidR="00AB6032" w:rsidRPr="00C8126D" w:rsidRDefault="00AB6032" w:rsidP="00C8126D">
      <w:pPr>
        <w:spacing w:before="100" w:beforeAutospacing="1" w:after="100" w:afterAutospacing="1"/>
        <w:rPr>
          <w:rFonts w:ascii="Times New Roman" w:eastAsia="Times New Roman" w:hAnsi="Times New Roman" w:cs="Times New Roman"/>
          <w:lang w:eastAsia="en-GB"/>
        </w:rPr>
      </w:pPr>
    </w:p>
    <w:p w14:paraId="4862B777"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0B951E7B">
          <v:rect id="_x0000_i1026"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12. Conclusion</w:t>
      </w:r>
    </w:p>
    <w:p w14:paraId="0E251924"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Mesoamerica validates the Deep Symbolic Systems Model as a general explanatory framework. The region demonstrates that symbolic systems can stabilize deeply through ritual networks, portable authority, and distributed grammars long before pyramids, kings, or writing appear. Monumentality, when it emerges, functions as late-stage compression rather than origin.</w:t>
      </w:r>
    </w:p>
    <w:p w14:paraId="40422370"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Together with Egypt, Mesopotamia, and East Asia, Mesoamerica confirms that early civilizations are not defined by sudden innovation, but by the long accumulation and stabilization of symbolic systems across deep time.</w:t>
      </w:r>
    </w:p>
    <w:p w14:paraId="445663B8" w14:textId="77777777" w:rsidR="00C8126D" w:rsidRPr="00AB6032" w:rsidRDefault="007F339E" w:rsidP="00AB6032">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w14:anchorId="799D4B0B">
          <v:rect id="_x0000_i1025" alt="" style="width:451.3pt;height:.05pt;mso-width-percent:0;mso-height-percent:0;mso-width-percent:0;mso-height-percent:0" o:hralign="center" o:hrstd="t" o:hr="t" fillcolor="#a0a0a0" stroked="f"/>
        </w:pict>
      </w:r>
      <w:r w:rsidR="00C8126D" w:rsidRPr="00C8126D">
        <w:rPr>
          <w:rFonts w:ascii="Times New Roman" w:eastAsia="Times New Roman" w:hAnsi="Times New Roman" w:cs="Times New Roman"/>
          <w:b/>
          <w:bCs/>
          <w:sz w:val="36"/>
          <w:szCs w:val="36"/>
          <w:lang w:eastAsia="en-GB"/>
        </w:rPr>
        <w:t xml:space="preserve">References </w:t>
      </w:r>
    </w:p>
    <w:p w14:paraId="413C5020"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p>
    <w:p w14:paraId="41DAC400"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 xml:space="preserve">Flannery &amp; Marcus, </w:t>
      </w:r>
      <w:r w:rsidRPr="00C8126D">
        <w:rPr>
          <w:rFonts w:ascii="Times New Roman" w:eastAsia="Times New Roman" w:hAnsi="Times New Roman" w:cs="Times New Roman"/>
          <w:i/>
          <w:iCs/>
          <w:lang w:eastAsia="en-GB"/>
        </w:rPr>
        <w:t>The Creation of Inequality</w:t>
      </w:r>
    </w:p>
    <w:p w14:paraId="009E0ED1"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Piperno, Tehuacán Valley studies</w:t>
      </w:r>
    </w:p>
    <w:p w14:paraId="4AAB2119"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 xml:space="preserve">Joyce, </w:t>
      </w:r>
      <w:r w:rsidRPr="00C8126D">
        <w:rPr>
          <w:rFonts w:ascii="Times New Roman" w:eastAsia="Times New Roman" w:hAnsi="Times New Roman" w:cs="Times New Roman"/>
          <w:i/>
          <w:iCs/>
          <w:lang w:eastAsia="en-GB"/>
        </w:rPr>
        <w:t>Ancient Mesoamerica</w:t>
      </w:r>
    </w:p>
    <w:p w14:paraId="22218644"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 xml:space="preserve">Diehl, </w:t>
      </w:r>
      <w:r w:rsidRPr="00C8126D">
        <w:rPr>
          <w:rFonts w:ascii="Times New Roman" w:eastAsia="Times New Roman" w:hAnsi="Times New Roman" w:cs="Times New Roman"/>
          <w:i/>
          <w:iCs/>
          <w:lang w:eastAsia="en-GB"/>
        </w:rPr>
        <w:t>The Olmecs</w:t>
      </w:r>
    </w:p>
    <w:p w14:paraId="7B2896E5"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Clark &amp; Blake, Early Formative Mesoamerica</w:t>
      </w:r>
    </w:p>
    <w:p w14:paraId="5F31D83C" w14:textId="77777777" w:rsidR="00C8126D" w:rsidRPr="00C8126D" w:rsidRDefault="00C8126D" w:rsidP="00C8126D">
      <w:pPr>
        <w:spacing w:before="100" w:beforeAutospacing="1" w:after="100" w:afterAutospacing="1"/>
        <w:rPr>
          <w:rFonts w:ascii="Times New Roman" w:eastAsia="Times New Roman" w:hAnsi="Times New Roman" w:cs="Times New Roman"/>
          <w:lang w:eastAsia="en-GB"/>
        </w:rPr>
      </w:pPr>
      <w:r w:rsidRPr="00C8126D">
        <w:rPr>
          <w:rFonts w:ascii="Times New Roman" w:eastAsia="Times New Roman" w:hAnsi="Times New Roman" w:cs="Times New Roman"/>
          <w:lang w:eastAsia="en-GB"/>
        </w:rPr>
        <w:t xml:space="preserve">Vondoom, </w:t>
      </w:r>
      <w:r w:rsidRPr="00C8126D">
        <w:rPr>
          <w:rFonts w:ascii="Times New Roman" w:eastAsia="Times New Roman" w:hAnsi="Times New Roman" w:cs="Times New Roman"/>
          <w:i/>
          <w:iCs/>
          <w:lang w:eastAsia="en-GB"/>
        </w:rPr>
        <w:t>The Deep Symbolic Systems Model</w:t>
      </w:r>
      <w:r w:rsidRPr="00C8126D">
        <w:rPr>
          <w:rFonts w:ascii="Times New Roman" w:eastAsia="Times New Roman" w:hAnsi="Times New Roman" w:cs="Times New Roman"/>
          <w:lang w:eastAsia="en-GB"/>
        </w:rPr>
        <w:t>, 2025</w:t>
      </w:r>
    </w:p>
    <w:p w14:paraId="1641582E" w14:textId="77777777" w:rsidR="00E50B22" w:rsidRDefault="00E50B22"/>
    <w:sectPr w:rsidR="00E50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300"/>
    <w:multiLevelType w:val="multilevel"/>
    <w:tmpl w:val="68B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579F1"/>
    <w:multiLevelType w:val="multilevel"/>
    <w:tmpl w:val="A8F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F3363"/>
    <w:multiLevelType w:val="multilevel"/>
    <w:tmpl w:val="116A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50570"/>
    <w:multiLevelType w:val="multilevel"/>
    <w:tmpl w:val="A632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A616A"/>
    <w:multiLevelType w:val="multilevel"/>
    <w:tmpl w:val="E0CC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13268">
    <w:abstractNumId w:val="3"/>
  </w:num>
  <w:num w:numId="2" w16cid:durableId="153449788">
    <w:abstractNumId w:val="0"/>
  </w:num>
  <w:num w:numId="3" w16cid:durableId="251742548">
    <w:abstractNumId w:val="2"/>
  </w:num>
  <w:num w:numId="4" w16cid:durableId="109202282">
    <w:abstractNumId w:val="4"/>
  </w:num>
  <w:num w:numId="5" w16cid:durableId="2117748058">
    <w:abstractNumId w:val="5"/>
  </w:num>
  <w:num w:numId="6" w16cid:durableId="118181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6D"/>
    <w:rsid w:val="00080234"/>
    <w:rsid w:val="00152C56"/>
    <w:rsid w:val="00414597"/>
    <w:rsid w:val="00431E74"/>
    <w:rsid w:val="007F339E"/>
    <w:rsid w:val="00937BAB"/>
    <w:rsid w:val="009D5ED3"/>
    <w:rsid w:val="00A90B35"/>
    <w:rsid w:val="00AB6032"/>
    <w:rsid w:val="00C8126D"/>
    <w:rsid w:val="00CD0D40"/>
    <w:rsid w:val="00E463AE"/>
    <w:rsid w:val="00E50B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47DE"/>
  <w15:chartTrackingRefBased/>
  <w15:docId w15:val="{250446AD-8A32-FC49-B27E-84950A8F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26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126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126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126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126D"/>
    <w:rPr>
      <w:rFonts w:ascii="Times New Roman" w:eastAsia="Times New Roman" w:hAnsi="Times New Roman" w:cs="Times New Roman"/>
      <w:b/>
      <w:bCs/>
      <w:sz w:val="27"/>
      <w:szCs w:val="27"/>
      <w:lang w:eastAsia="en-GB"/>
    </w:rPr>
  </w:style>
  <w:style w:type="paragraph" w:customStyle="1" w:styleId="p1">
    <w:name w:val="p1"/>
    <w:basedOn w:val="Normal"/>
    <w:rsid w:val="00C8126D"/>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C8126D"/>
  </w:style>
  <w:style w:type="paragraph" w:customStyle="1" w:styleId="p2">
    <w:name w:val="p2"/>
    <w:basedOn w:val="Normal"/>
    <w:rsid w:val="00C8126D"/>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C8126D"/>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C8126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37BAB"/>
    <w:rPr>
      <w:color w:val="0563C1" w:themeColor="hyperlink"/>
      <w:u w:val="single"/>
    </w:rPr>
  </w:style>
  <w:style w:type="character" w:styleId="UnresolvedMention">
    <w:name w:val="Unresolved Mention"/>
    <w:basedOn w:val="DefaultParagraphFont"/>
    <w:uiPriority w:val="99"/>
    <w:semiHidden/>
    <w:unhideWhenUsed/>
    <w:rsid w:val="0015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5" Type="http://schemas.openxmlformats.org/officeDocument/2006/relationships/hyperlink" Target="https://doi.org/10.6084/m9.figshare.310594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1667</Words>
  <Characters>11092</Characters>
  <Application>Microsoft Office Word</Application>
  <DocSecurity>0</DocSecurity>
  <Lines>284</Lines>
  <Paragraphs>109</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6</cp:revision>
  <dcterms:created xsi:type="dcterms:W3CDTF">2026-01-04T22:47:00Z</dcterms:created>
  <dcterms:modified xsi:type="dcterms:W3CDTF">2026-05-16T12:52:00Z</dcterms:modified>
</cp:coreProperties>
</file>