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B175" w14:textId="77777777" w:rsidR="00601C07" w:rsidRDefault="00000000">
      <w:pPr>
        <w:spacing w:before="720" w:after="240"/>
        <w:jc w:val="center"/>
        <w:rPr>
          <w:b/>
          <w:bCs/>
          <w:sz w:val="28"/>
          <w:szCs w:val="28"/>
        </w:rPr>
      </w:pPr>
      <w:r>
        <w:rPr>
          <w:b/>
          <w:bCs/>
          <w:sz w:val="28"/>
          <w:szCs w:val="28"/>
        </w:rPr>
        <w:t xml:space="preserve">The Sky as Shared Referent: Symbolic Saturation, Independent Astronomical Encoding, and the </w:t>
      </w:r>
      <w:proofErr w:type="spellStart"/>
      <w:r>
        <w:rPr>
          <w:b/>
          <w:bCs/>
          <w:sz w:val="28"/>
          <w:szCs w:val="28"/>
        </w:rPr>
        <w:t>Stellarium</w:t>
      </w:r>
      <w:proofErr w:type="spellEnd"/>
      <w:r>
        <w:rPr>
          <w:b/>
          <w:bCs/>
          <w:sz w:val="28"/>
          <w:szCs w:val="28"/>
        </w:rPr>
        <w:t xml:space="preserve"> Evidence at </w:t>
      </w:r>
      <w:proofErr w:type="spellStart"/>
      <w:r>
        <w:rPr>
          <w:b/>
          <w:bCs/>
          <w:sz w:val="28"/>
          <w:szCs w:val="28"/>
        </w:rPr>
        <w:t>Göbekli</w:t>
      </w:r>
      <w:proofErr w:type="spellEnd"/>
      <w:r>
        <w:rPr>
          <w:b/>
          <w:bCs/>
          <w:sz w:val="28"/>
          <w:szCs w:val="28"/>
        </w:rPr>
        <w:t xml:space="preserve"> Tepe Reconsidered</w:t>
      </w:r>
    </w:p>
    <w:p w14:paraId="0148A5D6" w14:textId="77777777" w:rsidR="001D6DB7" w:rsidRDefault="001D6DB7" w:rsidP="00712EE2">
      <w:pPr>
        <w:spacing w:after="120"/>
        <w:jc w:val="center"/>
      </w:pPr>
      <w:hyperlink r:id="rId7" w:history="1">
        <w:r w:rsidRPr="00072ACD">
          <w:rPr>
            <w:rStyle w:val="Hyperlink"/>
          </w:rPr>
          <w:t>https://doi.org/10.5281/zenodo.20110015</w:t>
        </w:r>
      </w:hyperlink>
      <w:r>
        <w:t xml:space="preserve"> </w:t>
      </w:r>
    </w:p>
    <w:p w14:paraId="5D0FC3EC" w14:textId="77777777" w:rsidR="001D6DB7" w:rsidRDefault="001D6DB7" w:rsidP="00712EE2">
      <w:pPr>
        <w:spacing w:after="120"/>
        <w:jc w:val="center"/>
      </w:pPr>
    </w:p>
    <w:p w14:paraId="464F300A" w14:textId="5B0EAD00" w:rsidR="00712EE2" w:rsidRDefault="00000000" w:rsidP="00712EE2">
      <w:pPr>
        <w:spacing w:after="120"/>
        <w:jc w:val="center"/>
      </w:pPr>
      <w:r>
        <w:t>Anthony Vondoom</w:t>
      </w:r>
    </w:p>
    <w:p w14:paraId="34BEF728" w14:textId="77777777" w:rsidR="00601C07" w:rsidRDefault="00000000">
      <w:pPr>
        <w:spacing w:after="120"/>
        <w:jc w:val="center"/>
      </w:pPr>
      <w:r>
        <w:rPr>
          <w:i/>
          <w:iCs/>
          <w:sz w:val="22"/>
          <w:szCs w:val="22"/>
        </w:rPr>
        <w:t xml:space="preserve">Independent Researcher, Cognitive Archaeology | </w:t>
      </w:r>
      <w:proofErr w:type="spellStart"/>
      <w:r>
        <w:rPr>
          <w:i/>
          <w:iCs/>
          <w:sz w:val="22"/>
          <w:szCs w:val="22"/>
        </w:rPr>
        <w:t>Sirmione</w:t>
      </w:r>
      <w:proofErr w:type="spellEnd"/>
      <w:r>
        <w:rPr>
          <w:i/>
          <w:iCs/>
          <w:sz w:val="22"/>
          <w:szCs w:val="22"/>
        </w:rPr>
        <w:t>, Italy</w:t>
      </w:r>
    </w:p>
    <w:p w14:paraId="1D1C800B" w14:textId="77777777" w:rsidR="00601C07" w:rsidRDefault="00000000">
      <w:pPr>
        <w:spacing w:after="120"/>
        <w:jc w:val="center"/>
      </w:pPr>
      <w:r>
        <w:rPr>
          <w:sz w:val="22"/>
          <w:szCs w:val="22"/>
        </w:rPr>
        <w:t>ORCID: 0009-0003-4953-1427 | anthony.vondoom@outlook.com</w:t>
      </w:r>
    </w:p>
    <w:p w14:paraId="6968D68C" w14:textId="77777777" w:rsidR="00601C07" w:rsidRDefault="00000000">
      <w:pPr>
        <w:spacing w:after="480"/>
        <w:jc w:val="center"/>
      </w:pPr>
      <w:r>
        <w:rPr>
          <w:i/>
          <w:iCs/>
          <w:sz w:val="20"/>
          <w:szCs w:val="20"/>
        </w:rPr>
        <w:t>AI Assistance Disclosure: This paper was developed with editorial and structural support from Claude Sonnet (Anthropic, claude.ai). The theoretical framework, analytical conclusions, and all intellectual positions are solely those of the author.</w:t>
      </w:r>
    </w:p>
    <w:p w14:paraId="75FBADAB" w14:textId="77777777" w:rsidR="00601C07" w:rsidRDefault="00000000">
      <w:pPr>
        <w:pStyle w:val="Heading1"/>
      </w:pPr>
      <w:r>
        <w:t>Abstract</w:t>
      </w:r>
    </w:p>
    <w:p w14:paraId="53428024" w14:textId="77777777" w:rsidR="00601C07" w:rsidRDefault="00000000">
      <w:pPr>
        <w:spacing w:after="240"/>
        <w:jc w:val="both"/>
      </w:pPr>
      <w:r>
        <w:t xml:space="preserve">The primary methodological objection to Sweatman and </w:t>
      </w:r>
      <w:proofErr w:type="spellStart"/>
      <w:r>
        <w:t>Tsikritsis’s</w:t>
      </w:r>
      <w:proofErr w:type="spellEnd"/>
      <w:r>
        <w:t xml:space="preserve"> (2017) astronomical interpretation of </w:t>
      </w:r>
      <w:proofErr w:type="spellStart"/>
      <w:r>
        <w:t>Göbekli</w:t>
      </w:r>
      <w:proofErr w:type="spellEnd"/>
      <w:r>
        <w:t xml:space="preserve"> Tepe’s Pillar 43 — and to its extension in Sweatman (2024) — is that </w:t>
      </w:r>
      <w:proofErr w:type="spellStart"/>
      <w:r>
        <w:t>retrocomputing</w:t>
      </w:r>
      <w:proofErr w:type="spellEnd"/>
      <w:r>
        <w:t xml:space="preserve"> the sky with </w:t>
      </w:r>
      <w:proofErr w:type="spellStart"/>
      <w:r>
        <w:t>Stellarium</w:t>
      </w:r>
      <w:proofErr w:type="spellEnd"/>
      <w:r>
        <w:t xml:space="preserve"> imposes modern Western constellation boundaries onto ancient symbolic systems, making the interpretation unfalsifiable and potentially circular. This paper argues that this objection misidentifies what </w:t>
      </w:r>
      <w:proofErr w:type="spellStart"/>
      <w:r>
        <w:t>Stellarium</w:t>
      </w:r>
      <w:proofErr w:type="spellEnd"/>
      <w:r>
        <w:t xml:space="preserve"> is doing. The software does not project modern categories; it reconstructs the actual historical sky — the same physical sky that Neolithic communities observed. The critical independent evidence for this reframing comes from </w:t>
      </w:r>
      <w:proofErr w:type="spellStart"/>
      <w:r>
        <w:t>Nabta</w:t>
      </w:r>
      <w:proofErr w:type="spellEnd"/>
      <w:r>
        <w:t xml:space="preserve"> Playa, a ceremonial site in the Eastern Sahara whose stone circle and megalithic alignment complex dates to approximately 4,800–3,000 BCE, with human occupation of the wider region extending to the 9th–8th millennia BCE. Located approximately 2,000 km from </w:t>
      </w:r>
      <w:proofErr w:type="spellStart"/>
      <w:r>
        <w:t>Göbekli</w:t>
      </w:r>
      <w:proofErr w:type="spellEnd"/>
      <w:r>
        <w:t xml:space="preserve"> Tepe and constructed by nomadic pastoralists with no documented contact with Anatolian communities, </w:t>
      </w:r>
      <w:proofErr w:type="spellStart"/>
      <w:r>
        <w:t>Nabta</w:t>
      </w:r>
      <w:proofErr w:type="spellEnd"/>
      <w:r>
        <w:t xml:space="preserve"> Playa independently demonstrates that pre-state communities encoding summer solstice sunrise and stellar rising points in durable megalithic form were not culturally anomalous but part of a broader behavioral pattern of astronomical externalization occurring across independent populations at broadly comparable stages of symbolic development. Drawing on the Deep Symbolic Systems Model (DSSM) and its Stage 3 symbolic saturation threshold, this paper argues that such independent convergence is not coincidental but predicted: communities facing seasonal coordination pressure will converge on the night sky as an optimal externalization substrate because it is universally accessible, seasonally stable, and cognitively salient to identical human perceptual systems. The convergence documented at </w:t>
      </w:r>
      <w:proofErr w:type="spellStart"/>
      <w:r>
        <w:t>Göbekli</w:t>
      </w:r>
      <w:proofErr w:type="spellEnd"/>
      <w:r>
        <w:t xml:space="preserve"> Tepe and </w:t>
      </w:r>
      <w:proofErr w:type="spellStart"/>
      <w:r>
        <w:t>Nabta</w:t>
      </w:r>
      <w:proofErr w:type="spellEnd"/>
      <w:r>
        <w:t xml:space="preserve"> Playa — and supported by the global distribution of Pleiades mythology (Norris and Norris, 2021) and </w:t>
      </w:r>
      <w:proofErr w:type="spellStart"/>
      <w:r>
        <w:t>Palaeolithic</w:t>
      </w:r>
      <w:proofErr w:type="spellEnd"/>
      <w:r>
        <w:t xml:space="preserve"> cave art correlations (Sweatman and Coombs, 2019) — constitutes empirical evidence for symbolic saturation theory’s convergence </w:t>
      </w:r>
      <w:proofErr w:type="gramStart"/>
      <w:r>
        <w:t>prediction, and</w:t>
      </w:r>
      <w:proofErr w:type="gramEnd"/>
      <w:r>
        <w:t xml:space="preserve"> reframes the </w:t>
      </w:r>
      <w:proofErr w:type="spellStart"/>
      <w:r>
        <w:t>Stellarium</w:t>
      </w:r>
      <w:proofErr w:type="spellEnd"/>
      <w:r>
        <w:t xml:space="preserve"> evidence: the carvers recorded the sky as they saw it. The paper makes no overclaims about the specific symbolic content of individual carvings; its argument is structural and comparative.</w:t>
      </w:r>
    </w:p>
    <w:p w14:paraId="393ACB0E" w14:textId="77777777" w:rsidR="00601C07" w:rsidRDefault="00000000">
      <w:pPr>
        <w:spacing w:after="480"/>
        <w:jc w:val="both"/>
        <w:rPr>
          <w:i/>
          <w:iCs/>
          <w:sz w:val="22"/>
          <w:szCs w:val="22"/>
        </w:rPr>
      </w:pPr>
      <w:r>
        <w:rPr>
          <w:i/>
          <w:iCs/>
          <w:sz w:val="22"/>
          <w:szCs w:val="22"/>
        </w:rPr>
        <w:t xml:space="preserve">Keywords: </w:t>
      </w:r>
      <w:proofErr w:type="spellStart"/>
      <w:r>
        <w:rPr>
          <w:i/>
          <w:iCs/>
          <w:sz w:val="22"/>
          <w:szCs w:val="22"/>
        </w:rPr>
        <w:t>Göbekli</w:t>
      </w:r>
      <w:proofErr w:type="spellEnd"/>
      <w:r>
        <w:rPr>
          <w:i/>
          <w:iCs/>
          <w:sz w:val="22"/>
          <w:szCs w:val="22"/>
        </w:rPr>
        <w:t xml:space="preserve"> Tepe; </w:t>
      </w:r>
      <w:proofErr w:type="spellStart"/>
      <w:r>
        <w:rPr>
          <w:i/>
          <w:iCs/>
          <w:sz w:val="22"/>
          <w:szCs w:val="22"/>
        </w:rPr>
        <w:t>Nabta</w:t>
      </w:r>
      <w:proofErr w:type="spellEnd"/>
      <w:r>
        <w:rPr>
          <w:i/>
          <w:iCs/>
          <w:sz w:val="22"/>
          <w:szCs w:val="22"/>
        </w:rPr>
        <w:t xml:space="preserve"> Playa; </w:t>
      </w:r>
      <w:proofErr w:type="spellStart"/>
      <w:r>
        <w:rPr>
          <w:i/>
          <w:iCs/>
          <w:sz w:val="22"/>
          <w:szCs w:val="22"/>
        </w:rPr>
        <w:t>archaeoastronomy</w:t>
      </w:r>
      <w:proofErr w:type="spellEnd"/>
      <w:r>
        <w:rPr>
          <w:i/>
          <w:iCs/>
          <w:sz w:val="22"/>
          <w:szCs w:val="22"/>
        </w:rPr>
        <w:t xml:space="preserve">; symbolic saturation; Deep Symbolic Systems Model; </w:t>
      </w:r>
      <w:proofErr w:type="spellStart"/>
      <w:r>
        <w:rPr>
          <w:i/>
          <w:iCs/>
          <w:sz w:val="22"/>
          <w:szCs w:val="22"/>
        </w:rPr>
        <w:t>Stellarium</w:t>
      </w:r>
      <w:proofErr w:type="spellEnd"/>
      <w:r>
        <w:rPr>
          <w:i/>
          <w:iCs/>
          <w:sz w:val="22"/>
          <w:szCs w:val="22"/>
        </w:rPr>
        <w:t xml:space="preserve">; Taş </w:t>
      </w:r>
      <w:proofErr w:type="spellStart"/>
      <w:r>
        <w:rPr>
          <w:i/>
          <w:iCs/>
          <w:sz w:val="22"/>
          <w:szCs w:val="22"/>
        </w:rPr>
        <w:t>Tepeler</w:t>
      </w:r>
      <w:proofErr w:type="spellEnd"/>
      <w:r>
        <w:rPr>
          <w:i/>
          <w:iCs/>
          <w:sz w:val="22"/>
          <w:szCs w:val="22"/>
        </w:rPr>
        <w:t>; Neolithic astronomy; transmission fidelity; DSSM Stage 3</w:t>
      </w:r>
    </w:p>
    <w:p w14:paraId="48A584A8" w14:textId="77777777" w:rsidR="00973C6B" w:rsidRDefault="00973C6B">
      <w:pPr>
        <w:spacing w:after="480"/>
        <w:jc w:val="both"/>
      </w:pPr>
    </w:p>
    <w:p w14:paraId="1F8CBA18" w14:textId="77777777" w:rsidR="00601C07" w:rsidRDefault="00000000">
      <w:pPr>
        <w:pStyle w:val="Heading1"/>
      </w:pPr>
      <w:r>
        <w:t>1. Introduction: A Methodological Objection and Its Limits</w:t>
      </w:r>
    </w:p>
    <w:p w14:paraId="74CBF4AC" w14:textId="77777777" w:rsidR="00601C07" w:rsidRDefault="00000000">
      <w:pPr>
        <w:spacing w:after="240"/>
        <w:jc w:val="both"/>
      </w:pPr>
      <w:r>
        <w:t xml:space="preserve">Since the publication of Sweatman and </w:t>
      </w:r>
      <w:proofErr w:type="spellStart"/>
      <w:r>
        <w:t>Tsikritsis’s</w:t>
      </w:r>
      <w:proofErr w:type="spellEnd"/>
      <w:r>
        <w:t xml:space="preserve"> (2017) interpretation of Pillar 43 at </w:t>
      </w:r>
      <w:proofErr w:type="spellStart"/>
      <w:r>
        <w:t>Göbekli</w:t>
      </w:r>
      <w:proofErr w:type="spellEnd"/>
      <w:r>
        <w:t xml:space="preserve"> Tepe, and more recently in Sweatman’s (2024) extended analysis encompassing Karahan Tepe’s 11-pillar pool structure and the lunisolar calendar evidence, a persistent methodological objection has structured the critical response. The objection, articulated most forcefully by </w:t>
      </w:r>
      <w:proofErr w:type="spellStart"/>
      <w:r>
        <w:t>Notroff</w:t>
      </w:r>
      <w:proofErr w:type="spellEnd"/>
      <w:r>
        <w:t xml:space="preserve"> et al. (2017), runs as follows: Sweatman’s argument depends on matching animal carvings on Neolithic pillars to constellations visualized in </w:t>
      </w:r>
      <w:proofErr w:type="spellStart"/>
      <w:r>
        <w:t>Stellarium</w:t>
      </w:r>
      <w:proofErr w:type="spellEnd"/>
      <w:r>
        <w:t xml:space="preserve"> — a modern planetarium application built on Western astronomical conventions codified by Ptolemy, transmitted through Hipparchus, and formalized in Eudoxus. To use this software to identify what ‘Sagittarius’ or ‘Scorpius’ looked like from </w:t>
      </w:r>
      <w:proofErr w:type="spellStart"/>
      <w:r>
        <w:t>Şanlıurfa</w:t>
      </w:r>
      <w:proofErr w:type="spellEnd"/>
      <w:r>
        <w:t xml:space="preserve"> in 10,950 BCE is, on this view, to impose modern categorical distinctions onto minds that had no access to, and no reason to reproduce, the specific groupings that later Greek astronomers would formalize. The interpretation is therefore circular: the carvings match the Greek constellation set because the analyst is looking for the Greek constellation set.</w:t>
      </w:r>
    </w:p>
    <w:p w14:paraId="4F764F0A" w14:textId="77777777" w:rsidR="00601C07" w:rsidRDefault="00000000">
      <w:pPr>
        <w:spacing w:after="240"/>
        <w:jc w:val="both"/>
      </w:pPr>
      <w:r>
        <w:t xml:space="preserve">This objection is not trivial. Sweatman (2024) acknowledges it directly, noting that the ranking table comparing animal symbols to </w:t>
      </w:r>
      <w:proofErr w:type="spellStart"/>
      <w:r>
        <w:t>Stellarium</w:t>
      </w:r>
      <w:proofErr w:type="spellEnd"/>
      <w:r>
        <w:t xml:space="preserve"> constellation patterns ‘is based on a subjective evaluation.’ The statistical arguments in Sweatman and Coombs (2019) are the primary quantitative defense against the circularity charge, and those arguments themselves remain contested on methodological grounds.</w:t>
      </w:r>
    </w:p>
    <w:p w14:paraId="08C30356" w14:textId="77777777" w:rsidR="00601C07" w:rsidRDefault="00000000">
      <w:pPr>
        <w:spacing w:after="240"/>
        <w:jc w:val="both"/>
      </w:pPr>
      <w:r>
        <w:t xml:space="preserve">This paper does not adjudicate the statistical dispute. Instead, it argues that the framing of the objection contains a categorical error that, once identified, substantially changes the evidential situation. The error is this: </w:t>
      </w:r>
      <w:proofErr w:type="spellStart"/>
      <w:r>
        <w:t>Stellarium</w:t>
      </w:r>
      <w:proofErr w:type="spellEnd"/>
      <w:r>
        <w:t xml:space="preserve"> does not show what the Greek constellation set looked like. It shows what the actual sky looked like. Those are not the same thing. The stars that rise and set over </w:t>
      </w:r>
      <w:proofErr w:type="spellStart"/>
      <w:r>
        <w:t>Şanlıurfa</w:t>
      </w:r>
      <w:proofErr w:type="spellEnd"/>
      <w:r>
        <w:t xml:space="preserve"> in 10,950 BCE are not a modern convention; they are physical objects whose positions are calculable from gravitational mechanics. If a Neolithic carver at </w:t>
      </w:r>
      <w:proofErr w:type="spellStart"/>
      <w:r>
        <w:t>Göbekli</w:t>
      </w:r>
      <w:proofErr w:type="spellEnd"/>
      <w:r>
        <w:t xml:space="preserve"> Tepe looked south at sunset in the relevant season, they saw a scorpion-shaped star grouping in the part of the sky where the sun had been. The </w:t>
      </w:r>
      <w:proofErr w:type="spellStart"/>
      <w:r>
        <w:t>Stellarium</w:t>
      </w:r>
      <w:proofErr w:type="spellEnd"/>
      <w:r>
        <w:t xml:space="preserve"> reconstruction of that moment is not an imposition of Greek categories; it is a reconstruction of a physical event. The question is therefore not ‘did they see what Ptolemy later called Scorpius’ but ‘did they encode what they saw in stone’ — and that is a question with independent empirical traction.</w:t>
      </w:r>
    </w:p>
    <w:p w14:paraId="3C639F68" w14:textId="77777777" w:rsidR="00601C07" w:rsidRDefault="00000000">
      <w:pPr>
        <w:spacing w:after="240"/>
        <w:jc w:val="both"/>
      </w:pPr>
      <w:r>
        <w:t xml:space="preserve">The independent empirical traction comes from </w:t>
      </w:r>
      <w:proofErr w:type="spellStart"/>
      <w:r>
        <w:t>Nabta</w:t>
      </w:r>
      <w:proofErr w:type="spellEnd"/>
      <w:r>
        <w:t xml:space="preserve"> Playa. At a site approximately 2,000 km from </w:t>
      </w:r>
      <w:proofErr w:type="spellStart"/>
      <w:r>
        <w:t>Göbekli</w:t>
      </w:r>
      <w:proofErr w:type="spellEnd"/>
      <w:r>
        <w:t xml:space="preserve"> Tepe, nomadic pastoralists built megalithic alignments encoding summer solstice sunrise and stellar rising points. They were not using </w:t>
      </w:r>
      <w:proofErr w:type="spellStart"/>
      <w:r>
        <w:t>Stellarium</w:t>
      </w:r>
      <w:proofErr w:type="spellEnd"/>
      <w:r>
        <w:t>. They were not aware of Greek constellations. They were watching the same sky.</w:t>
      </w:r>
    </w:p>
    <w:p w14:paraId="54E73637" w14:textId="77777777" w:rsidR="00601C07" w:rsidRDefault="00000000">
      <w:pPr>
        <w:spacing w:after="240"/>
        <w:jc w:val="both"/>
      </w:pPr>
      <w:r>
        <w:t xml:space="preserve">The paper proceeds as follows. Section 2 reviews Sweatman’s core findings and clarifies the specific epistemic function of the </w:t>
      </w:r>
      <w:proofErr w:type="spellStart"/>
      <w:r>
        <w:t>Stellarium</w:t>
      </w:r>
      <w:proofErr w:type="spellEnd"/>
      <w:r>
        <w:t xml:space="preserve"> evidence. Section 3 presents </w:t>
      </w:r>
      <w:proofErr w:type="spellStart"/>
      <w:r>
        <w:t>Nabta</w:t>
      </w:r>
      <w:proofErr w:type="spellEnd"/>
      <w:r>
        <w:t xml:space="preserve"> Playa as independent empirical documentation of pre-state astronomical encoding in megalithic form. Section 4 develops the DSSM theoretical account of why convergent astronomical externalization is a predicted outcome of Stage 3 symbolic saturation across independent communities. Section 5 draws on the global Pleiades mythology evidence and </w:t>
      </w:r>
      <w:proofErr w:type="spellStart"/>
      <w:r>
        <w:t>Palaeolithic</w:t>
      </w:r>
      <w:proofErr w:type="spellEnd"/>
      <w:r>
        <w:t xml:space="preserve"> cave art correlations as further </w:t>
      </w:r>
      <w:r>
        <w:lastRenderedPageBreak/>
        <w:t>convergence instances. Section 6 addresses remaining limitations and overclaim boundaries. Section 7 concludes.</w:t>
      </w:r>
    </w:p>
    <w:p w14:paraId="4517C93A" w14:textId="77777777" w:rsidR="00601C07" w:rsidRDefault="00000000">
      <w:pPr>
        <w:pStyle w:val="Heading1"/>
      </w:pPr>
      <w:r>
        <w:t xml:space="preserve">2. Sweatman’s Findings and the Specific Nature of the </w:t>
      </w:r>
      <w:proofErr w:type="spellStart"/>
      <w:r>
        <w:t>Stellarium</w:t>
      </w:r>
      <w:proofErr w:type="spellEnd"/>
      <w:r>
        <w:t xml:space="preserve"> Evidence</w:t>
      </w:r>
    </w:p>
    <w:p w14:paraId="3C8F8977" w14:textId="77777777" w:rsidR="00601C07" w:rsidRDefault="00000000">
      <w:pPr>
        <w:spacing w:after="240"/>
        <w:jc w:val="both"/>
      </w:pPr>
      <w:r>
        <w:t xml:space="preserve">Sweatman and </w:t>
      </w:r>
      <w:proofErr w:type="spellStart"/>
      <w:r>
        <w:t>Tsikritsis</w:t>
      </w:r>
      <w:proofErr w:type="spellEnd"/>
      <w:r>
        <w:t xml:space="preserve"> (2017) published the foundational astronomical interpretation of </w:t>
      </w:r>
      <w:proofErr w:type="spellStart"/>
      <w:r>
        <w:t>Göbekli</w:t>
      </w:r>
      <w:proofErr w:type="spellEnd"/>
      <w:r>
        <w:t xml:space="preserve"> Tepe’s Pillar 43 in Enclosure D, arguing that the animal carvings on its broad face encode a zodiacal date using precession of the equinoxes. The central claim is that the vulture (bird of prey), scorpion, fox, and tall bending bird on Pillar 43 correspond to the constellations visible around the ecliptic at the Younger Dryas impact date of approximately 10,950 BCE, with a circular disc above the vulture’s wing representing the sun’s position relative to Sagittarius at summer solstice sunset on that date.</w:t>
      </w:r>
    </w:p>
    <w:p w14:paraId="69997A70" w14:textId="77777777" w:rsidR="00601C07" w:rsidRDefault="00000000">
      <w:pPr>
        <w:spacing w:after="240"/>
        <w:jc w:val="both"/>
      </w:pPr>
      <w:r>
        <w:t xml:space="preserve">Sweatman (2024) substantially extends this argument in three directions. First, the paper identifies V-symbols on Pillar 43 as day-counting marks encoding a lunisolar calendar: 29 V-symbols for a lunar month, 11 box-symbols for additional lunar months, and 10 further V-symbols for epagomenal days, yielding a 365-day solar year. This calendrical interpretation is independent of the </w:t>
      </w:r>
      <w:proofErr w:type="spellStart"/>
      <w:r>
        <w:t>Stellarium</w:t>
      </w:r>
      <w:proofErr w:type="spellEnd"/>
      <w:r>
        <w:t xml:space="preserve"> evidence: it is a numerical argument about carved marks, not a pattern-matching exercise. Second, the same calendar logic — specifically the special status of 11 and its relationship to the lunisolar cycle — reappears in the 11-pillar structure of Enclosure D, the 11 pillars of Enclosure C’s inner ring, and the 11-pillar bedrock pool at Karahan Tepe. Three independent structural encodings of the same numerical system across two sites constitute architectural evidence of a shared symbolic convention, entirely independent of </w:t>
      </w:r>
      <w:proofErr w:type="spellStart"/>
      <w:r>
        <w:t>Stellarium</w:t>
      </w:r>
      <w:proofErr w:type="spellEnd"/>
      <w:r>
        <w:t xml:space="preserve">. Third, the paper identifies V-symbol necklaces on the Urfa Man statue, a statue at Karahan Tepe, and a wall carving at </w:t>
      </w:r>
      <w:proofErr w:type="spellStart"/>
      <w:r>
        <w:t>Sayburc</w:t>
      </w:r>
      <w:proofErr w:type="spellEnd"/>
      <w:r>
        <w:t>̧ — the same symbol appearing in the same position on anthropomorphic figures across the landscape — as iconographic evidence of a shared temporal symbolic vocabulary.</w:t>
      </w:r>
    </w:p>
    <w:p w14:paraId="3FFAFD38" w14:textId="77777777" w:rsidR="00601C07" w:rsidRDefault="00000000">
      <w:pPr>
        <w:spacing w:after="240"/>
        <w:jc w:val="both"/>
      </w:pPr>
      <w:r>
        <w:t xml:space="preserve">The </w:t>
      </w:r>
      <w:proofErr w:type="spellStart"/>
      <w:r>
        <w:t>Stellarium</w:t>
      </w:r>
      <w:proofErr w:type="spellEnd"/>
      <w:r>
        <w:t xml:space="preserve"> evidence, properly understood, operates as follows. Sweatman sets the software to the location of </w:t>
      </w:r>
      <w:proofErr w:type="spellStart"/>
      <w:r>
        <w:t>Şanlıurfa</w:t>
      </w:r>
      <w:proofErr w:type="spellEnd"/>
      <w:r>
        <w:t xml:space="preserve">, dates it to approximately 10,950 BCE, and observes which star groupings are visible in which positions at sunset in the relevant season. He then compares the morphological shape of those groupings — as rendered by the Western constellation stick figures in </w:t>
      </w:r>
      <w:proofErr w:type="spellStart"/>
      <w:r>
        <w:t>Stellarium</w:t>
      </w:r>
      <w:proofErr w:type="spellEnd"/>
      <w:r>
        <w:t xml:space="preserve"> — to the shapes of the carved animals on Pillar 43. The vulture’s head-and-wing shape matches the ‘teapot’ asterism of Sagittarius. The scorpion matches Scorpius. The fox’s shape matches northern Aquarius.</w:t>
      </w:r>
    </w:p>
    <w:p w14:paraId="1AD121B7" w14:textId="77777777" w:rsidR="00601C07" w:rsidRDefault="00000000">
      <w:pPr>
        <w:spacing w:after="240"/>
        <w:jc w:val="both"/>
      </w:pPr>
      <w:r>
        <w:t xml:space="preserve">The methodological question is: what is </w:t>
      </w:r>
      <w:proofErr w:type="spellStart"/>
      <w:r>
        <w:t>Stellarium</w:t>
      </w:r>
      <w:proofErr w:type="spellEnd"/>
      <w:r>
        <w:t xml:space="preserve"> representing here? It is not representing Greek cultural conventions about constellation membership. It is representing the actual positions and relative brightnesses of stars as they would appear from a specific latitude at a specific date. The ‘teapot’ of Sagittarius is a genuine asterism — a grouping of stars that forms a visually coherent pattern to human observers — not a boundary imposed by Ptolemy. The same pattern would have been visible to any human observer at that latitude at that date, regardless of cultural context. Sweatman is not arguing that Neolithic carvers used Greek constellation names; he is arguing that they encoded the shapes of star groupings they </w:t>
      </w:r>
      <w:proofErr w:type="gramStart"/>
      <w:r>
        <w:t>actually saw</w:t>
      </w:r>
      <w:proofErr w:type="gramEnd"/>
      <w:r>
        <w:t xml:space="preserve">. The circularity objection would have force if the analyst were using boundaries that did not correspond to visually distinctive groupings; it has much less force when the specific asterisms in question — the teapot of Sagittarius, the curve </w:t>
      </w:r>
      <w:r>
        <w:lastRenderedPageBreak/>
        <w:t>of Scorpius — are among the most morphologically distinctive and visually salient groupings in the southern sky.</w:t>
      </w:r>
    </w:p>
    <w:p w14:paraId="6407312F" w14:textId="77777777" w:rsidR="00601C07" w:rsidRDefault="00000000">
      <w:pPr>
        <w:spacing w:after="240"/>
        <w:jc w:val="both"/>
      </w:pPr>
      <w:r>
        <w:t xml:space="preserve">This does not fully resolve the objection. It remains possible that the morphological matches are coincidental, that the specific star groupings selected are post-hoc, or that different analysts would produce different matches. Sweatman acknowledges these vulnerabilities. What is being claimed here is narrower: the </w:t>
      </w:r>
      <w:proofErr w:type="spellStart"/>
      <w:r>
        <w:t>Stellarium</w:t>
      </w:r>
      <w:proofErr w:type="spellEnd"/>
      <w:r>
        <w:t xml:space="preserve"> evidence is not epistemically equivalent to pure speculation, because it is grounded in the actual reconstructed sky rather than in modern categorical conventions. Whether the matches are convincing is a separate empirical question. The more fundamental question — could Neolithic communities have been engaged in systematic astronomical observation at this date? — is the question that </w:t>
      </w:r>
      <w:proofErr w:type="spellStart"/>
      <w:r>
        <w:t>Nabta</w:t>
      </w:r>
      <w:proofErr w:type="spellEnd"/>
      <w:r>
        <w:t xml:space="preserve"> Playa answers independently.</w:t>
      </w:r>
    </w:p>
    <w:p w14:paraId="02F6D1C3" w14:textId="77777777" w:rsidR="00601C07" w:rsidRDefault="00000000">
      <w:pPr>
        <w:pStyle w:val="Heading1"/>
      </w:pPr>
      <w:r>
        <w:t xml:space="preserve">3. </w:t>
      </w:r>
      <w:proofErr w:type="spellStart"/>
      <w:r>
        <w:t>Nabta</w:t>
      </w:r>
      <w:proofErr w:type="spellEnd"/>
      <w:r>
        <w:t xml:space="preserve"> Playa: Independent Empirical Evidence of Pre-State Astronomical Encoding</w:t>
      </w:r>
    </w:p>
    <w:p w14:paraId="51D9D8B7" w14:textId="77777777" w:rsidR="00601C07" w:rsidRDefault="00000000">
      <w:pPr>
        <w:spacing w:after="240"/>
        <w:jc w:val="both"/>
      </w:pPr>
      <w:proofErr w:type="spellStart"/>
      <w:r>
        <w:t>Nabta</w:t>
      </w:r>
      <w:proofErr w:type="spellEnd"/>
      <w:r>
        <w:t xml:space="preserve"> Playa is a prehistoric ceremonial site in the Nubian Desert of southern Egypt, located approximately 100 km west of Abu Simbel at 22°32’N, 30°42’E. The site was first documented by Fred Wendorf in 1974 and has been the subject of systematic </w:t>
      </w:r>
      <w:proofErr w:type="spellStart"/>
      <w:r>
        <w:t>archaeoastronomical</w:t>
      </w:r>
      <w:proofErr w:type="spellEnd"/>
      <w:r>
        <w:t xml:space="preserve"> investigation since the 1990s (Wendorf and Schild, 1998; </w:t>
      </w:r>
      <w:proofErr w:type="spellStart"/>
      <w:r>
        <w:t>Malville</w:t>
      </w:r>
      <w:proofErr w:type="spellEnd"/>
      <w:r>
        <w:t xml:space="preserve"> et al., 1998; Wendorf and </w:t>
      </w:r>
      <w:proofErr w:type="spellStart"/>
      <w:r>
        <w:t>Malville</w:t>
      </w:r>
      <w:proofErr w:type="spellEnd"/>
      <w:r>
        <w:t xml:space="preserve">, 2001; </w:t>
      </w:r>
      <w:proofErr w:type="spellStart"/>
      <w:r>
        <w:t>Malville</w:t>
      </w:r>
      <w:proofErr w:type="spellEnd"/>
      <w:r>
        <w:t xml:space="preserve"> et al., 2008; </w:t>
      </w:r>
      <w:proofErr w:type="spellStart"/>
      <w:r>
        <w:t>Malville</w:t>
      </w:r>
      <w:proofErr w:type="spellEnd"/>
      <w:r>
        <w:t xml:space="preserve">, 2015). Archaeological evidence for human occupation of the wider </w:t>
      </w:r>
      <w:proofErr w:type="spellStart"/>
      <w:r>
        <w:t>Nabta</w:t>
      </w:r>
      <w:proofErr w:type="spellEnd"/>
      <w:r>
        <w:t xml:space="preserve"> Playa region extends back to the 9th–8th millennia BCE (Wendorf and Schild, 1998), broadly contemporaneous with the occupied phases at </w:t>
      </w:r>
      <w:proofErr w:type="spellStart"/>
      <w:r>
        <w:t>Göbekli</w:t>
      </w:r>
      <w:proofErr w:type="spellEnd"/>
      <w:r>
        <w:t xml:space="preserve"> Tepe. The stone circle and megalithic alignment complex, however, dates to the Terminal Neolithic, with the primary construction phase documented at approximately 4,800–3,000 BCE (</w:t>
      </w:r>
      <w:proofErr w:type="spellStart"/>
      <w:r>
        <w:t>Malville</w:t>
      </w:r>
      <w:proofErr w:type="spellEnd"/>
      <w:r>
        <w:t xml:space="preserve"> et al., 2007; </w:t>
      </w:r>
      <w:proofErr w:type="spellStart"/>
      <w:r>
        <w:t>Malville</w:t>
      </w:r>
      <w:proofErr w:type="spellEnd"/>
      <w:r>
        <w:t>, 2015). It is the astronomical structures of this Terminal Neolithic phase — not the earlier occupational horizon — that constitute the primary evidence discussed here.</w:t>
      </w:r>
    </w:p>
    <w:p w14:paraId="2D5BCB23" w14:textId="77777777" w:rsidR="00601C07" w:rsidRDefault="00000000">
      <w:pPr>
        <w:spacing w:after="240"/>
        <w:jc w:val="both"/>
      </w:pPr>
      <w:r>
        <w:t xml:space="preserve">The astronomical alignments at </w:t>
      </w:r>
      <w:proofErr w:type="spellStart"/>
      <w:r>
        <w:t>Nabta</w:t>
      </w:r>
      <w:proofErr w:type="spellEnd"/>
      <w:r>
        <w:t xml:space="preserve"> Playa are physically documented and measured. The stone circle contains two pairs of larger stones: one pair forming a north–south line and another forming an east–west line (Wendorf and </w:t>
      </w:r>
      <w:proofErr w:type="spellStart"/>
      <w:r>
        <w:t>Malville</w:t>
      </w:r>
      <w:proofErr w:type="spellEnd"/>
      <w:r>
        <w:t xml:space="preserve">, 2001). A window between two stones in the circle aligns with the rising sun at the June solstice — the summer solstice, which at </w:t>
      </w:r>
      <w:proofErr w:type="spellStart"/>
      <w:r>
        <w:t>Nabta</w:t>
      </w:r>
      <w:proofErr w:type="spellEnd"/>
      <w:r>
        <w:t xml:space="preserve"> Playa would have signaled the onset of seasonal monsoon rains and the critical decision window for pastoral movement (</w:t>
      </w:r>
      <w:proofErr w:type="spellStart"/>
      <w:r>
        <w:t>Malville</w:t>
      </w:r>
      <w:proofErr w:type="spellEnd"/>
      <w:r>
        <w:t xml:space="preserve"> et al., 1998). Five megalithic alignments extend outward from the central complex. </w:t>
      </w:r>
      <w:proofErr w:type="spellStart"/>
      <w:r>
        <w:t>Malville</w:t>
      </w:r>
      <w:proofErr w:type="spellEnd"/>
      <w:r>
        <w:t xml:space="preserve"> et al. (1998, 2007, 2008) report that these alignments orient toward the rising points of several bright stars as they were positioned in the fifth millennium BCE: among the proposed stellar alignments are Dubhe (Alpha Ursae Majoris) and stars in Orion’s Belt. These two alignments are distinct and involve different star groupings. The specific dates of the stellar alignments remain under active discussion — Brophy and Rosen (2005) proposed corrections to Wendorf and </w:t>
      </w:r>
      <w:proofErr w:type="spellStart"/>
      <w:r>
        <w:t>Malville’s</w:t>
      </w:r>
      <w:proofErr w:type="spellEnd"/>
      <w:r>
        <w:t xml:space="preserve"> original dating for several of these lines, and </w:t>
      </w:r>
      <w:proofErr w:type="spellStart"/>
      <w:r>
        <w:t>Malville</w:t>
      </w:r>
      <w:proofErr w:type="spellEnd"/>
      <w:r>
        <w:t xml:space="preserve"> et al. (2007) responded while maintaining the core astronomically oriented interpretation — but the existence of deliberate astronomical encoding in the megalithic structure is not contested in the specialist literature.</w:t>
      </w:r>
    </w:p>
    <w:p w14:paraId="358CC25A" w14:textId="77777777" w:rsidR="00601C07" w:rsidRDefault="00000000">
      <w:pPr>
        <w:spacing w:after="240"/>
        <w:jc w:val="both"/>
      </w:pPr>
      <w:r>
        <w:t xml:space="preserve">The builders of </w:t>
      </w:r>
      <w:proofErr w:type="spellStart"/>
      <w:r>
        <w:t>Nabta</w:t>
      </w:r>
      <w:proofErr w:type="spellEnd"/>
      <w:r>
        <w:t xml:space="preserve"> Playa were nomadic pastoralists. They were not farmers, not administrators, and not affiliated with any documented state or proto-state formation. They built the ceremonial complex before Egyptian dynastic civilization emerged, and without any documented contact with Anatolian Neolithic communities. The approximately 2,000 km between </w:t>
      </w:r>
      <w:proofErr w:type="spellStart"/>
      <w:r>
        <w:t>Nabta</w:t>
      </w:r>
      <w:proofErr w:type="spellEnd"/>
      <w:r>
        <w:t xml:space="preserve"> Playa and </w:t>
      </w:r>
      <w:proofErr w:type="spellStart"/>
      <w:r>
        <w:t>Göbekli</w:t>
      </w:r>
      <w:proofErr w:type="spellEnd"/>
      <w:r>
        <w:t xml:space="preserve"> </w:t>
      </w:r>
      <w:r>
        <w:lastRenderedPageBreak/>
        <w:t>Tepe, combined with the absence of any documented material cultural exchange between these populations, makes independent convergence the most parsimonious explanation for the structural similarity in behavior given the available evidence.</w:t>
      </w:r>
    </w:p>
    <w:p w14:paraId="7408B8DB" w14:textId="77777777" w:rsidR="00601C07" w:rsidRDefault="00000000">
      <w:pPr>
        <w:spacing w:after="240"/>
        <w:jc w:val="both"/>
      </w:pPr>
      <w:r>
        <w:t xml:space="preserve">The parallel is structural, not </w:t>
      </w:r>
      <w:proofErr w:type="gramStart"/>
      <w:r>
        <w:t>content-identical</w:t>
      </w:r>
      <w:proofErr w:type="gramEnd"/>
      <w:r>
        <w:t xml:space="preserve">. </w:t>
      </w:r>
      <w:proofErr w:type="spellStart"/>
      <w:r>
        <w:t>Nabta</w:t>
      </w:r>
      <w:proofErr w:type="spellEnd"/>
      <w:r>
        <w:t xml:space="preserve"> Playa and </w:t>
      </w:r>
      <w:proofErr w:type="spellStart"/>
      <w:r>
        <w:t>Göbekli</w:t>
      </w:r>
      <w:proofErr w:type="spellEnd"/>
      <w:r>
        <w:t xml:space="preserve"> Tepe do not share the same animal vocabulary, the same constellation system, or the same specific alignments. What they share is the behavioral pattern: communities facing ecological pressures of seasonal resource prediction, converging on the night sky as the primary externalization substrate for time-keeping knowledge, and encoding that knowledge in durable, spatially fixed, publicly legible megalithic form. This is precisely the convergence predicted by symbolic saturation theory, as elaborated in Section 4.</w:t>
      </w:r>
    </w:p>
    <w:p w14:paraId="0DA89250" w14:textId="77777777" w:rsidR="00601C07" w:rsidRDefault="00000000">
      <w:pPr>
        <w:spacing w:after="240"/>
        <w:jc w:val="both"/>
      </w:pPr>
      <w:r>
        <w:t xml:space="preserve">The evidential implication for Sweatman’s work is specific. </w:t>
      </w:r>
      <w:proofErr w:type="spellStart"/>
      <w:r>
        <w:t>Nabta</w:t>
      </w:r>
      <w:proofErr w:type="spellEnd"/>
      <w:r>
        <w:t xml:space="preserve"> Playa does not confirm the animal-to-constellation mappings on Pillar 43. What it confirms is the foundational cognitive and behavioral premise on which Sweatman’s argument rests: that communities in this broad era were capable of, and motivated to undertake, systematic astronomical observation and material encoding at a level of sophistication sufficient to produce oriented megalithic structures. The skeptical position — that </w:t>
      </w:r>
      <w:proofErr w:type="spellStart"/>
      <w:r>
        <w:t>Stellarium</w:t>
      </w:r>
      <w:proofErr w:type="spellEnd"/>
      <w:r>
        <w:t xml:space="preserve"> evidence should be dismissed because Neolithic communities could not plausibly have had the astronomical knowledge it implies — is directly falsified by </w:t>
      </w:r>
      <w:proofErr w:type="spellStart"/>
      <w:r>
        <w:t>Nabta</w:t>
      </w:r>
      <w:proofErr w:type="spellEnd"/>
      <w:r>
        <w:t xml:space="preserve"> Playa. These communities demonstrably had that knowledge and demonstrated it in stone. The question of what was encoded at </w:t>
      </w:r>
      <w:proofErr w:type="spellStart"/>
      <w:r>
        <w:t>Göbekli</w:t>
      </w:r>
      <w:proofErr w:type="spellEnd"/>
      <w:r>
        <w:t xml:space="preserve"> Tepe remains open; the question of whether the capacity existed is not.</w:t>
      </w:r>
    </w:p>
    <w:p w14:paraId="1701B7FE" w14:textId="77777777" w:rsidR="00601C07" w:rsidRDefault="00000000">
      <w:pPr>
        <w:pStyle w:val="Heading1"/>
      </w:pPr>
      <w:r>
        <w:t>4. The DSSM Account: Symbolic Saturation and Convergent Astronomical Externalization</w:t>
      </w:r>
    </w:p>
    <w:p w14:paraId="37FC5634" w14:textId="77777777" w:rsidR="00601C07" w:rsidRDefault="00000000">
      <w:pPr>
        <w:spacing w:after="240"/>
        <w:jc w:val="both"/>
      </w:pPr>
      <w:r>
        <w:t>The Deep Symbolic Systems Model (DSSM) is a cognitive-archaeological framework that integrates material engagement theory (</w:t>
      </w:r>
      <w:proofErr w:type="spellStart"/>
      <w:r>
        <w:t>Malafouris</w:t>
      </w:r>
      <w:proofErr w:type="spellEnd"/>
      <w:r>
        <w:t xml:space="preserve">, 2013), distributed cognition (Hutchins, 1995), and practice theory (Bourdieu, 1990) into a unified account of the conditions under which symbolic systems stabilize across generations and eventually generate institutional complexity (Vondoom, in press). Its Stage 3 threshold — Material Amplification and Externalized Cognition — specifies the conditions under which communities facing transmission fidelity pressure externalize symbolic content into durable, portable, standardized media. The argument developed here draws on DSSM’s Stage 3 framework to explain why convergent astronomical encoding across independent Neolithic communities </w:t>
      </w:r>
      <w:proofErr w:type="gramStart"/>
      <w:r>
        <w:t>is a predicted outcome rather than a coincidence</w:t>
      </w:r>
      <w:proofErr w:type="gramEnd"/>
      <w:r>
        <w:t>.</w:t>
      </w:r>
    </w:p>
    <w:p w14:paraId="6683D4F1" w14:textId="77777777" w:rsidR="00601C07" w:rsidRDefault="00000000">
      <w:pPr>
        <w:pStyle w:val="Heading2"/>
      </w:pPr>
      <w:r>
        <w:t>4.1 Stage 3 Transmission Fidelity Pressure and the Sky as Optimal Substrate</w:t>
      </w:r>
    </w:p>
    <w:p w14:paraId="6A8D0966" w14:textId="77777777" w:rsidR="00601C07" w:rsidRDefault="00000000">
      <w:pPr>
        <w:spacing w:after="240"/>
        <w:jc w:val="both"/>
      </w:pPr>
      <w:r>
        <w:t xml:space="preserve">DSSM proposes that communities exceeding a critical effective community size face a structural transmission fidelity crisis: face-to-face symbolic transmission becomes insufficient to maintain shared conventions across sub-groups that cannot sustain whole-community aggregation. The adaptive response is externalization into material substrates capable of carrying meaning across community boundaries without requiring co-presence. The specific community size threshold proposed in Vondoom (in press) — approximately 500 individuals — is a theoretically derived estimate, not an empirically measured boundary, and requires calibration across a broader comparative sample. The argument here does not depend on the specific figure; it depends only on the weaker and more defensible claim that both </w:t>
      </w:r>
      <w:proofErr w:type="spellStart"/>
      <w:r>
        <w:t>Göbekli</w:t>
      </w:r>
      <w:proofErr w:type="spellEnd"/>
      <w:r>
        <w:t xml:space="preserve"> Tepe and </w:t>
      </w:r>
      <w:proofErr w:type="spellStart"/>
      <w:r>
        <w:t>Nabta</w:t>
      </w:r>
      <w:proofErr w:type="spellEnd"/>
      <w:r>
        <w:t xml:space="preserve"> Playa show evidence of </w:t>
      </w:r>
      <w:r>
        <w:lastRenderedPageBreak/>
        <w:t xml:space="preserve">coordinated multi-community labor at a scale that plausibly generated transmission fidelity pressure. The theoretical question this section addresses is: given that pressure, which externalization substrates are </w:t>
      </w:r>
      <w:proofErr w:type="gramStart"/>
      <w:r>
        <w:t>available</w:t>
      </w:r>
      <w:proofErr w:type="gramEnd"/>
      <w:r>
        <w:t xml:space="preserve"> and which are optimal?</w:t>
      </w:r>
    </w:p>
    <w:p w14:paraId="3FAE84D1" w14:textId="77777777" w:rsidR="00601C07" w:rsidRDefault="00000000">
      <w:pPr>
        <w:spacing w:after="240"/>
        <w:jc w:val="both"/>
      </w:pPr>
      <w:r>
        <w:t>For communities whose primary coordination challenge is seasonal resource prediction — when to move, when to plant, when to gather, when monsoon rains will come — the night sky has a set of properties that no other available substrate shares. It is universally accessible: every community member can observe it simultaneously and independently, without craft training, without access to non-local materials, and without social infrastructure beyond the act of observation. It is seasonally stable: the same stars rise and set at the same positions relative to the sun at the same times of year, generation after generation, without drift or the need for social maintenance. It is cognitively salient: human perceptual systems extract pattern from visual fields, and the brightest stars form asterisms — visually coherent groupings — whose morphology is sufficiently distinctive to be consistently recognized across observers sharing identical perceptual architecture. The capacity of human working memory to organize perceptual input into a small number of chunked units (Cowan, 2001; cf. Miller, 1956 for the general chunking principle) makes multi-star asterisms a natural unit of sky-encoding rather than individual stars: the grouping, not the point, is the cognitively stable object. And the sky resolves the central coordination problem directly: tracking solstice and equinox positions predicts the seasonal cycle that governs resource availability.</w:t>
      </w:r>
    </w:p>
    <w:p w14:paraId="252A1BF2" w14:textId="77777777" w:rsidR="00601C07" w:rsidRDefault="00000000">
      <w:pPr>
        <w:spacing w:after="240"/>
        <w:jc w:val="both"/>
      </w:pPr>
      <w:r>
        <w:t xml:space="preserve">DSSM does not predict a single universal externalization pathway. Communities facing transmission fidelity pressure may externalize into craft networks and standardized portable objects, into oral narrative traditions reinforced at periodic aggregation events, into spatial and architectural mnemonic systems, or into astronomical encoding. The pathway taken depends on the specific ecological and social context of the community in question (Vondoom, in press). The present claim is narrower: for communities whose primary adaptive pressure is seasonal coordination and who lack alternative high-fidelity coordination technologies, the night sky is the highest-utility available substrate. Hayden and Villeneuve (2011) review ethnographic and archaeological evidence suggesting that complex hunter-gatherer groups systematically track solstices and equinoxes at substantially higher rates than simpler forager groups — a pattern consistent with the DSSM prediction that astronomical encoding scales with symbolic complexity and coordination demand, though the authors appropriately note the limits of the </w:t>
      </w:r>
      <w:proofErr w:type="spellStart"/>
      <w:r>
        <w:t>Palaeolithic</w:t>
      </w:r>
      <w:proofErr w:type="spellEnd"/>
      <w:r>
        <w:t xml:space="preserve"> evidence base.</w:t>
      </w:r>
    </w:p>
    <w:p w14:paraId="5B7EDA78" w14:textId="77777777" w:rsidR="00601C07" w:rsidRDefault="00000000">
      <w:pPr>
        <w:pStyle w:val="Heading2"/>
      </w:pPr>
      <w:r>
        <w:t>4.2 Convergence as Prediction, Not Coincidence</w:t>
      </w:r>
    </w:p>
    <w:p w14:paraId="2C901958" w14:textId="77777777" w:rsidR="00601C07" w:rsidRDefault="00000000">
      <w:pPr>
        <w:spacing w:after="240"/>
        <w:jc w:val="both"/>
      </w:pPr>
      <w:r>
        <w:t xml:space="preserve">The standard framing of the </w:t>
      </w:r>
      <w:proofErr w:type="spellStart"/>
      <w:r>
        <w:t>Göbekli</w:t>
      </w:r>
      <w:proofErr w:type="spellEnd"/>
      <w:r>
        <w:t xml:space="preserve"> Tepe–</w:t>
      </w:r>
      <w:proofErr w:type="spellStart"/>
      <w:r>
        <w:t>Nabta</w:t>
      </w:r>
      <w:proofErr w:type="spellEnd"/>
      <w:r>
        <w:t xml:space="preserve"> Playa parallel treats it as a curiosity — two sites doing similar things, an interesting coincidence separated by geography if not always by strict contemporaneity. The DSSM framework inverts this: the convergence is not coincidental but mechanistically predicted. Both communities were at comparable stages of symbolic development. Both were facing comparable ecological pressures requiring seasonal coordination. Both had access to the same information substrate. Both had identical human perceptual and cognitive systems — the same visual cortex, the same pattern-recognition capacities, the same chunking constraints that make asterisms the natural unit of sky-encoding rather than individual stars. The convergence is not mysterious; it would be more surprising if it did not occur.</w:t>
      </w:r>
    </w:p>
    <w:p w14:paraId="2F290017" w14:textId="77777777" w:rsidR="00601C07" w:rsidRDefault="00000000">
      <w:pPr>
        <w:spacing w:after="240"/>
        <w:jc w:val="both"/>
      </w:pPr>
      <w:r>
        <w:lastRenderedPageBreak/>
        <w:t xml:space="preserve">This reframing has a direct implication for the </w:t>
      </w:r>
      <w:proofErr w:type="spellStart"/>
      <w:r>
        <w:t>Stellarium</w:t>
      </w:r>
      <w:proofErr w:type="spellEnd"/>
      <w:r>
        <w:t xml:space="preserve"> objection. The objection presupposes that the match between Pillar 43’s carvings and the night sky reconstructed by </w:t>
      </w:r>
      <w:proofErr w:type="spellStart"/>
      <w:r>
        <w:t>Stellarium</w:t>
      </w:r>
      <w:proofErr w:type="spellEnd"/>
      <w:r>
        <w:t xml:space="preserve"> requires either (a) an implausible level of astronomical sophistication on the part of Neolithic carvers, or (b) a methodological imposition of modern categories. </w:t>
      </w:r>
      <w:proofErr w:type="spellStart"/>
      <w:r>
        <w:t>Nabta</w:t>
      </w:r>
      <w:proofErr w:type="spellEnd"/>
      <w:r>
        <w:t xml:space="preserve"> Playa directly addresses objection (a): the sophistication is independently confirmed in the physical record. The DSSM convergence argument addresses objection (b): even if the specific Greek constellation boundaries are modern conventions, the underlying asterisms — the visually distinctive groupings of bright stars that those conventions were designed to capture — are not modern. They are features of the actual sky that any human observer with normal vision, watching the same stars from the same latitude, would parse in structurally similar ways. The teapot of Sagittarius is not a Greek invention; it is a feature of the star field that Ptolemy’s catalog happened to codify. Neolithic observers at </w:t>
      </w:r>
      <w:proofErr w:type="spellStart"/>
      <w:r>
        <w:t>Göbekli</w:t>
      </w:r>
      <w:proofErr w:type="spellEnd"/>
      <w:r>
        <w:t xml:space="preserve"> Tepe and modern users of </w:t>
      </w:r>
      <w:proofErr w:type="spellStart"/>
      <w:r>
        <w:t>Stellarium</w:t>
      </w:r>
      <w:proofErr w:type="spellEnd"/>
      <w:r>
        <w:t xml:space="preserve"> are looking at the same physical pattern. The question of whether the Pillar 43 carvings encode that pattern remains open. The question of whether encoding it was within the cognitive and technical capacity of Neolithic communities is settled.</w:t>
      </w:r>
    </w:p>
    <w:p w14:paraId="52F531E5" w14:textId="77777777" w:rsidR="00601C07" w:rsidRDefault="00000000">
      <w:pPr>
        <w:pStyle w:val="Heading1"/>
      </w:pPr>
      <w:r>
        <w:t xml:space="preserve">5. Further Convergence Instances: Pleiades Mythology and </w:t>
      </w:r>
      <w:proofErr w:type="spellStart"/>
      <w:r>
        <w:t>Palaeolithic</w:t>
      </w:r>
      <w:proofErr w:type="spellEnd"/>
      <w:r>
        <w:t xml:space="preserve"> Cave Art</w:t>
      </w:r>
    </w:p>
    <w:p w14:paraId="2387F93B" w14:textId="77777777" w:rsidR="00601C07" w:rsidRDefault="00000000">
      <w:pPr>
        <w:spacing w:after="240"/>
        <w:jc w:val="both"/>
      </w:pPr>
      <w:r>
        <w:t xml:space="preserve">The </w:t>
      </w:r>
      <w:proofErr w:type="spellStart"/>
      <w:r>
        <w:t>Göbekli</w:t>
      </w:r>
      <w:proofErr w:type="spellEnd"/>
      <w:r>
        <w:t xml:space="preserve"> Tepe–</w:t>
      </w:r>
      <w:proofErr w:type="spellStart"/>
      <w:r>
        <w:t>Nabta</w:t>
      </w:r>
      <w:proofErr w:type="spellEnd"/>
      <w:r>
        <w:t xml:space="preserve"> Playa parallel is not isolated. Two additional bodies of evidence document convergent astronomical encoding across independent communities at deep time scales, and both are directly relevant to evaluating the plausibility of Sweatman’s claims.</w:t>
      </w:r>
    </w:p>
    <w:p w14:paraId="32711A83" w14:textId="77777777" w:rsidR="00601C07" w:rsidRDefault="00000000">
      <w:pPr>
        <w:pStyle w:val="Heading2"/>
      </w:pPr>
      <w:r>
        <w:t>5.1 The Global Pleiades Convergence</w:t>
      </w:r>
    </w:p>
    <w:p w14:paraId="3812D168" w14:textId="77777777" w:rsidR="00601C07" w:rsidRDefault="00000000">
      <w:pPr>
        <w:spacing w:after="240"/>
        <w:jc w:val="both"/>
      </w:pPr>
      <w:r>
        <w:t>Norris and Norris (2021) document one of the most striking examples of independent astronomical convergence in the ethnographic and mythological record. Across widely separated cultures including Greek, Aboriginal Australian, Māori, Japanese, and multiple Native American traditions, the Pleiades star cluster is referred to as ‘seven sisters’ and is associated with myths of young women being pursued by a figure associated with the constellation Orion. The structural similarity of these stories across populations whose ancestors separated approximately 100,000 years ago has prompted the proposal that the myth predates the Out-of-Africa dispersal.</w:t>
      </w:r>
    </w:p>
    <w:p w14:paraId="44F85700" w14:textId="77777777" w:rsidR="00601C07" w:rsidRDefault="00000000">
      <w:pPr>
        <w:spacing w:after="240"/>
        <w:jc w:val="both"/>
      </w:pPr>
      <w:r>
        <w:t>For the present argument, the significant point is not the specific dating of the myth but the mechanism that Norris and Norris propose for its global distribution: the myth encodes an observational fact about the Pleiades. Most observers with good eyesight see six stars in the cluster, yet almost all cultural traditions refer to seven. Norris and Norris show that approximately 100,000 years ago, when one of the Pleiades stars was brighter than it is today, all seven were distinctly visible to the naked eye. The myth preserves an astronomical observation made before human populations separated — transmitted not through cultural diffusion across separated populations but through shared ancestry and, crucially, through its direct correspondence to the observable sky, which provided the referent that resisted mythological drift across millennia.</w:t>
      </w:r>
    </w:p>
    <w:p w14:paraId="062E7B23" w14:textId="77777777" w:rsidR="00601C07" w:rsidRDefault="00000000">
      <w:pPr>
        <w:spacing w:after="240"/>
        <w:jc w:val="both"/>
      </w:pPr>
      <w:r>
        <w:t xml:space="preserve">This is the DSSM mechanism operating at its deepest timescale: the sky as the shared referent that limits symbolic drift across separated communities. </w:t>
      </w:r>
      <w:proofErr w:type="spellStart"/>
      <w:r>
        <w:t>d’Huy</w:t>
      </w:r>
      <w:proofErr w:type="spellEnd"/>
      <w:r>
        <w:t xml:space="preserve"> and </w:t>
      </w:r>
      <w:proofErr w:type="spellStart"/>
      <w:r>
        <w:t>Berezkin</w:t>
      </w:r>
      <w:proofErr w:type="spellEnd"/>
      <w:r>
        <w:t xml:space="preserve"> (2017) similarly argue that widespread Pleiades myths share a common origin in the middle </w:t>
      </w:r>
      <w:proofErr w:type="spellStart"/>
      <w:r>
        <w:t>Palaeolithic</w:t>
      </w:r>
      <w:proofErr w:type="spellEnd"/>
      <w:r>
        <w:t xml:space="preserve">, predating the divergence of major human populations. The present paper treats this evidence as documenting the convergence mechanism that DSSM </w:t>
      </w:r>
      <w:proofErr w:type="gramStart"/>
      <w:r>
        <w:t>predicts:</w:t>
      </w:r>
      <w:proofErr w:type="gramEnd"/>
      <w:r>
        <w:t xml:space="preserve"> independent populations, using the same </w:t>
      </w:r>
      <w:r>
        <w:lastRenderedPageBreak/>
        <w:t>perceptual systems to observe the same sky, produce structurally similar symbolic encodings not because they communicated but because the referent is shared.</w:t>
      </w:r>
    </w:p>
    <w:p w14:paraId="1B54348B" w14:textId="77777777" w:rsidR="00973C6B" w:rsidRDefault="00973C6B">
      <w:pPr>
        <w:pStyle w:val="Heading2"/>
      </w:pPr>
    </w:p>
    <w:p w14:paraId="4036A2EA" w14:textId="3CA4DA37" w:rsidR="00601C07" w:rsidRDefault="00000000">
      <w:pPr>
        <w:pStyle w:val="Heading2"/>
      </w:pPr>
      <w:r>
        <w:t xml:space="preserve">5.2 </w:t>
      </w:r>
      <w:proofErr w:type="spellStart"/>
      <w:r>
        <w:t>Palaeolithic</w:t>
      </w:r>
      <w:proofErr w:type="spellEnd"/>
      <w:r>
        <w:t xml:space="preserve"> Cave Art Correlations</w:t>
      </w:r>
    </w:p>
    <w:p w14:paraId="0B14C380" w14:textId="77777777" w:rsidR="00601C07" w:rsidRDefault="00000000">
      <w:pPr>
        <w:spacing w:after="240"/>
        <w:jc w:val="both"/>
      </w:pPr>
      <w:r>
        <w:t xml:space="preserve">Sweatman and Coombs (2019) report a correlation between radiocarbon dates of well-dated animal paintings in European </w:t>
      </w:r>
      <w:proofErr w:type="spellStart"/>
      <w:r>
        <w:t>Palaeolithic</w:t>
      </w:r>
      <w:proofErr w:type="spellEnd"/>
      <w:r>
        <w:t xml:space="preserve"> caves and their ‘zodiacal dates’ — the date ranges at which those animals’ corresponding constellations would have corresponded to </w:t>
      </w:r>
      <w:proofErr w:type="spellStart"/>
      <w:r>
        <w:t>solsticial</w:t>
      </w:r>
      <w:proofErr w:type="spellEnd"/>
      <w:r>
        <w:t xml:space="preserve"> or equinoctial positions. They describe the probability of this correlation occurring by chance as extremely low. This statistical argument remains contested, and its specific quantitative claims are not reproduced here.</w:t>
      </w:r>
    </w:p>
    <w:p w14:paraId="369CCCD5" w14:textId="77777777" w:rsidR="00601C07" w:rsidRDefault="00000000">
      <w:pPr>
        <w:spacing w:after="240"/>
        <w:jc w:val="both"/>
      </w:pPr>
      <w:r>
        <w:t xml:space="preserve">What is relevant here is the pattern, not the statistics. Sweatman and Coombs (2019) find that European </w:t>
      </w:r>
      <w:proofErr w:type="spellStart"/>
      <w:r>
        <w:t>Palaeolithic</w:t>
      </w:r>
      <w:proofErr w:type="spellEnd"/>
      <w:r>
        <w:t xml:space="preserve"> cave paintings — produced by communities with no documented contact with Anatolian Neolithic cultures, separated from </w:t>
      </w:r>
      <w:proofErr w:type="spellStart"/>
      <w:r>
        <w:t>Göbekli</w:t>
      </w:r>
      <w:proofErr w:type="spellEnd"/>
      <w:r>
        <w:t xml:space="preserve"> Tepe by thousands of years as well as geography — show an analogous relationship between depicted animal species and astronomical positions. This does not constitute proof of Sweatman’s specific interpretation of Pillar 43. It constitutes additional evidence for the broader behavioral pattern: </w:t>
      </w:r>
      <w:proofErr w:type="spellStart"/>
      <w:r>
        <w:t>Palaeolithic</w:t>
      </w:r>
      <w:proofErr w:type="spellEnd"/>
      <w:r>
        <w:t xml:space="preserve"> and Neolithic communities across a wide geographic range and across deep time appear to have systematically encoded astronomical observations in durable visual media, using locally specific animal vocabularies to represent sky positions. If this pattern holds, it is consistent with DSSM’s convergence prediction and renders the </w:t>
      </w:r>
      <w:proofErr w:type="spellStart"/>
      <w:r>
        <w:t>Göbekli</w:t>
      </w:r>
      <w:proofErr w:type="spellEnd"/>
      <w:r>
        <w:t xml:space="preserve"> Tepe evidence less anomalous, not more.</w:t>
      </w:r>
    </w:p>
    <w:p w14:paraId="386ADE39" w14:textId="77777777" w:rsidR="00601C07" w:rsidRDefault="00000000">
      <w:pPr>
        <w:spacing w:after="240"/>
        <w:jc w:val="both"/>
      </w:pPr>
      <w:proofErr w:type="spellStart"/>
      <w:r>
        <w:t>Rappenglück</w:t>
      </w:r>
      <w:proofErr w:type="spellEnd"/>
      <w:r>
        <w:t xml:space="preserve"> (2004) provides an earlier, independent line of this evidence: groups of painted dots in </w:t>
      </w:r>
      <w:proofErr w:type="spellStart"/>
      <w:r>
        <w:t>Palaeolithic</w:t>
      </w:r>
      <w:proofErr w:type="spellEnd"/>
      <w:r>
        <w:t xml:space="preserve"> caves including Lascaux, interpreted as representations of the Pleiades star cluster based on positional correspondence and comparison with documented astronomical imagery from other cultures. While </w:t>
      </w:r>
      <w:proofErr w:type="spellStart"/>
      <w:r>
        <w:t>Rappenglück’s</w:t>
      </w:r>
      <w:proofErr w:type="spellEnd"/>
      <w:r>
        <w:t xml:space="preserve"> specific positional correlations are not strong by modern astronomical standards, the recurring pattern of association between animal paintings and what appear to be stellar groupings across multiple independent cave contexts constitutes background evidence consistent with widespread astronomical encoding in pre-Neolithic material culture.</w:t>
      </w:r>
    </w:p>
    <w:p w14:paraId="76DBF830" w14:textId="77777777" w:rsidR="00601C07" w:rsidRDefault="00000000">
      <w:pPr>
        <w:pStyle w:val="Heading1"/>
      </w:pPr>
      <w:r>
        <w:t>6. Limitations and Overclaim Boundaries</w:t>
      </w:r>
    </w:p>
    <w:p w14:paraId="6FCD2E37" w14:textId="77777777" w:rsidR="00601C07" w:rsidRDefault="00000000">
      <w:pPr>
        <w:spacing w:after="240"/>
        <w:jc w:val="both"/>
      </w:pPr>
      <w:r>
        <w:t>This paper’s argument is deliberately bounded. Several claims that might seem to follow from the argument above are explicitly not being made.</w:t>
      </w:r>
    </w:p>
    <w:p w14:paraId="2D72D9A9" w14:textId="77777777" w:rsidR="00601C07" w:rsidRDefault="00000000">
      <w:pPr>
        <w:spacing w:after="240"/>
        <w:jc w:val="both"/>
      </w:pPr>
      <w:r>
        <w:t xml:space="preserve">First, this paper does not claim that the specific animal-to-constellation mappings on Pillar 43 are confirmed. The argument that </w:t>
      </w:r>
      <w:proofErr w:type="spellStart"/>
      <w:r>
        <w:t>Nabta</w:t>
      </w:r>
      <w:proofErr w:type="spellEnd"/>
      <w:r>
        <w:t xml:space="preserve"> Playa establishes pre-state astronomical capacity does not validate any </w:t>
      </w:r>
      <w:proofErr w:type="gramStart"/>
      <w:r>
        <w:t>particular reading</w:t>
      </w:r>
      <w:proofErr w:type="gramEnd"/>
      <w:r>
        <w:t xml:space="preserve"> of specific carvings. Those readings depend on the morphological matching procedure that Sweatman employs, and that procedure retains the subjective vulnerabilities </w:t>
      </w:r>
      <w:proofErr w:type="spellStart"/>
      <w:r>
        <w:t>Notroff</w:t>
      </w:r>
      <w:proofErr w:type="spellEnd"/>
      <w:r>
        <w:t xml:space="preserve"> et al. identified. The present argument changes the cognitive plausibility context of those readings; it does not resolve the matching problem.</w:t>
      </w:r>
    </w:p>
    <w:p w14:paraId="2A14EE9B" w14:textId="77777777" w:rsidR="00601C07" w:rsidRDefault="00000000">
      <w:pPr>
        <w:spacing w:after="240"/>
        <w:jc w:val="both"/>
      </w:pPr>
      <w:r>
        <w:t xml:space="preserve">Second, this paper does not claim that </w:t>
      </w:r>
      <w:proofErr w:type="spellStart"/>
      <w:r>
        <w:t>Göbekli</w:t>
      </w:r>
      <w:proofErr w:type="spellEnd"/>
      <w:r>
        <w:t xml:space="preserve"> Tepe and </w:t>
      </w:r>
      <w:proofErr w:type="spellStart"/>
      <w:r>
        <w:t>Nabta</w:t>
      </w:r>
      <w:proofErr w:type="spellEnd"/>
      <w:r>
        <w:t xml:space="preserve"> Playa were in cultural contact or shared a common symbolic tradition. The argument depends on their independence, not their </w:t>
      </w:r>
      <w:r>
        <w:lastRenderedPageBreak/>
        <w:t>connection. Any evidence of contact would weaken the convergence argument by reducing the number of independent data points.</w:t>
      </w:r>
    </w:p>
    <w:p w14:paraId="00126B5B" w14:textId="77777777" w:rsidR="00601C07" w:rsidRDefault="00000000">
      <w:pPr>
        <w:spacing w:after="240"/>
        <w:jc w:val="both"/>
      </w:pPr>
      <w:r>
        <w:t>Third, the approximately 500-individual transmission fidelity threshold discussed in Section 4.1 is a theoretically derived estimate requiring empirical calibration, as already noted in that section. The paper’s argument rests on the weaker and more defensible claim that coordinated multi-community labor at both sites plausibly generated transmission fidelity pressure, not on a specific population figure.</w:t>
      </w:r>
    </w:p>
    <w:p w14:paraId="5DAD3AA1" w14:textId="77777777" w:rsidR="00601C07" w:rsidRDefault="00000000">
      <w:pPr>
        <w:spacing w:after="240"/>
        <w:jc w:val="both"/>
      </w:pPr>
      <w:r>
        <w:t xml:space="preserve">Fourth, this paper does not claim to resolve the debate between Sweatman and his critics. It argues that one specific objection — the </w:t>
      </w:r>
      <w:proofErr w:type="spellStart"/>
      <w:r>
        <w:t>Stellarium</w:t>
      </w:r>
      <w:proofErr w:type="spellEnd"/>
      <w:r>
        <w:t xml:space="preserve"> circularity charge — is partially answered by the independent empirical record. Other objections remain active. The debate over </w:t>
      </w:r>
      <w:proofErr w:type="spellStart"/>
      <w:r>
        <w:t>Göbekli</w:t>
      </w:r>
      <w:proofErr w:type="spellEnd"/>
      <w:r>
        <w:t xml:space="preserve"> Tepe’s symbolism is not closed by this argument; the epistemic floor for Sweatman’s interpretation is raised.</w:t>
      </w:r>
    </w:p>
    <w:p w14:paraId="59AF11A6" w14:textId="77777777" w:rsidR="00601C07" w:rsidRDefault="00000000">
      <w:pPr>
        <w:spacing w:after="240"/>
        <w:jc w:val="both"/>
      </w:pPr>
      <w:r>
        <w:t xml:space="preserve">Fifth, the alignment debates at </w:t>
      </w:r>
      <w:proofErr w:type="spellStart"/>
      <w:r>
        <w:t>Nabta</w:t>
      </w:r>
      <w:proofErr w:type="spellEnd"/>
      <w:r>
        <w:t xml:space="preserve"> Playa itself are not fully resolved. The specific stellar alignments proposed by Wendorf and </w:t>
      </w:r>
      <w:proofErr w:type="spellStart"/>
      <w:r>
        <w:t>Malville</w:t>
      </w:r>
      <w:proofErr w:type="spellEnd"/>
      <w:r>
        <w:t xml:space="preserve"> (1998) were challenged and partially corrected by Brophy and Rosen (2005), and </w:t>
      </w:r>
      <w:proofErr w:type="spellStart"/>
      <w:r>
        <w:t>Malville</w:t>
      </w:r>
      <w:proofErr w:type="spellEnd"/>
      <w:r>
        <w:t xml:space="preserve"> et al. (2007) responded while maintaining the core astronomically oriented interpretation. The solstice alignment of the stone circle’s window is the most secure element in the archaeological record; the specific stellar alignments of the megalithic lines remain contested at the level of individual stars and precise dates. This paper relies on the solstice alignment and the general pattern of deliberate astronomical encoding, not on any specific contested stellar identification.</w:t>
      </w:r>
    </w:p>
    <w:p w14:paraId="2C44E8A5" w14:textId="77777777" w:rsidR="00601C07" w:rsidRDefault="00000000">
      <w:pPr>
        <w:pStyle w:val="Heading1"/>
      </w:pPr>
      <w:r>
        <w:t>7. Conclusion</w:t>
      </w:r>
    </w:p>
    <w:p w14:paraId="6A9DC586" w14:textId="77777777" w:rsidR="00601C07" w:rsidRDefault="00000000">
      <w:pPr>
        <w:spacing w:after="240"/>
        <w:jc w:val="both"/>
      </w:pPr>
      <w:r>
        <w:t xml:space="preserve">This paper began with a methodological dispute about a piece of software and ends with a claim about the nature of evidence. The </w:t>
      </w:r>
      <w:proofErr w:type="spellStart"/>
      <w:r>
        <w:t>Stellarium</w:t>
      </w:r>
      <w:proofErr w:type="spellEnd"/>
      <w:r>
        <w:t xml:space="preserve"> circularity objection — that </w:t>
      </w:r>
      <w:proofErr w:type="spellStart"/>
      <w:r>
        <w:t>retrocomputing</w:t>
      </w:r>
      <w:proofErr w:type="spellEnd"/>
      <w:r>
        <w:t xml:space="preserve"> the sky imposes modern Greek constellation categories onto ancient minds — correctly identifies a genuine interpretive vulnerability in Sweatman’s matching procedure. But it targets the wrong level of the argument. What </w:t>
      </w:r>
      <w:proofErr w:type="spellStart"/>
      <w:r>
        <w:t>Stellarium</w:t>
      </w:r>
      <w:proofErr w:type="spellEnd"/>
      <w:r>
        <w:t xml:space="preserve"> reconstructs is not a cultural convention; it is a physical state of the universe at a specific date. That physical state was equally visible to the people who carved Pillar 43 and to anyone running the software today. The gap between ancient observation and modern computation is closed not by speculation but by gravitational mechanics.</w:t>
      </w:r>
    </w:p>
    <w:p w14:paraId="41AF9FBD" w14:textId="77777777" w:rsidR="00601C07" w:rsidRDefault="00000000">
      <w:pPr>
        <w:spacing w:after="240"/>
        <w:jc w:val="both"/>
      </w:pPr>
      <w:proofErr w:type="spellStart"/>
      <w:r>
        <w:t>Nabta</w:t>
      </w:r>
      <w:proofErr w:type="spellEnd"/>
      <w:r>
        <w:t xml:space="preserve"> Playa provides the empirical anchor. That nomadic pastoralists in the Eastern Sahara, operating without contact with Anatolian communities, independently built megalithic structures encoding summer solstice sunrise does not prove Sweatman’s specific readings of Pillar 43. It does something structurally prior: it demonstrates that the cognitive and technical capacity his argument requires was real and documented in the physical record, not inferred from the carvings he is trying to interpret. The capacity argument — which the circularity objection was partly doing the work of — cannot be sustained after </w:t>
      </w:r>
      <w:proofErr w:type="spellStart"/>
      <w:r>
        <w:t>Nabta</w:t>
      </w:r>
      <w:proofErr w:type="spellEnd"/>
      <w:r>
        <w:t xml:space="preserve"> Playa.</w:t>
      </w:r>
    </w:p>
    <w:p w14:paraId="098FEB62" w14:textId="77777777" w:rsidR="00601C07" w:rsidRDefault="00000000">
      <w:pPr>
        <w:spacing w:after="240"/>
        <w:jc w:val="both"/>
      </w:pPr>
      <w:r>
        <w:t xml:space="preserve">The DSSM framework explains why this was predictable. The night sky is not one possible externalization substrate among many equally weighted options. For communities whose survival depends on seasonal prediction, it is the highest-utility substrate available: universally accessible, requiring no material investment to sustain across generations, cognitively salient, and directly </w:t>
      </w:r>
      <w:r>
        <w:lastRenderedPageBreak/>
        <w:t>resolving the central coordination problem. Convergent astronomical encoding across independent communities is therefore a predicted outcome of Stage 3 symbolic saturation, not a coincidence requiring special explanation.</w:t>
      </w:r>
    </w:p>
    <w:p w14:paraId="7145BA48" w14:textId="77777777" w:rsidR="00601C07" w:rsidRDefault="00000000">
      <w:pPr>
        <w:spacing w:after="240"/>
        <w:jc w:val="both"/>
      </w:pPr>
      <w:r>
        <w:t xml:space="preserve">What this opens is a reframing of </w:t>
      </w:r>
      <w:proofErr w:type="spellStart"/>
      <w:r>
        <w:t>archaeoastronomy’s</w:t>
      </w:r>
      <w:proofErr w:type="spellEnd"/>
      <w:r>
        <w:t xml:space="preserve"> methodological position. If convergent astronomical encoding is a predicted Stage 3 output rather than a speculative reading of ambiguous marks, then the evidential bar for astronomical interpretations of Neolithic material culture is not ‘prove it was intentional’ but ‘show that it is inconsistent with the convergence prediction.’ That is a substantively different standard. Applying it to the full corpus of Neolithic symbolic material — not only at </w:t>
      </w:r>
      <w:proofErr w:type="spellStart"/>
      <w:r>
        <w:t>Göbekli</w:t>
      </w:r>
      <w:proofErr w:type="spellEnd"/>
      <w:r>
        <w:t xml:space="preserve"> Tepe and </w:t>
      </w:r>
      <w:proofErr w:type="spellStart"/>
      <w:r>
        <w:t>Nabta</w:t>
      </w:r>
      <w:proofErr w:type="spellEnd"/>
      <w:r>
        <w:t xml:space="preserve"> Playa but across the full Stage 3 comparative sample that DSSM generates, encompassing state-forming and non-state-forming societies from Mesopotamia to Mesoamerica to the Indus Valley, analyzed in Vondoom (in press) — is the research agenda this paper proposes.</w:t>
      </w:r>
    </w:p>
    <w:p w14:paraId="1B085864" w14:textId="77777777" w:rsidR="00601C07" w:rsidRDefault="00000000">
      <w:pPr>
        <w:pStyle w:val="Heading1"/>
      </w:pPr>
      <w:r>
        <w:t>SDG Alignment Statement</w:t>
      </w:r>
    </w:p>
    <w:p w14:paraId="2A33ADF3" w14:textId="77777777" w:rsidR="00601C07" w:rsidRDefault="00000000">
      <w:pPr>
        <w:spacing w:after="240"/>
        <w:jc w:val="both"/>
      </w:pPr>
      <w:r>
        <w:t xml:space="preserve">This paper contributes indirectly to SDG 4 (Quality Education) by developing an interdisciplinary methodological argument that bridges cognitive archaeology, </w:t>
      </w:r>
      <w:proofErr w:type="spellStart"/>
      <w:r>
        <w:t>archaeoastronomy</w:t>
      </w:r>
      <w:proofErr w:type="spellEnd"/>
      <w:r>
        <w:t>, and symbolic systems theory, offering a replicable comparative framework for evaluating astronomical evidence at prehistoric sites. It engages with SDG 16 (Peace, Justice and Strong Institutions) by contributing to the foundational understanding of how pre-state communities developed shared symbolic systems — the cognitive and material preconditions of later institutional forms.</w:t>
      </w:r>
    </w:p>
    <w:p w14:paraId="1BA510E8" w14:textId="77777777" w:rsidR="00601C07" w:rsidRDefault="00000000">
      <w:pPr>
        <w:pStyle w:val="Heading1"/>
      </w:pPr>
      <w:r>
        <w:t>References</w:t>
      </w:r>
    </w:p>
    <w:p w14:paraId="26864EA7" w14:textId="77777777" w:rsidR="00601C07" w:rsidRDefault="00000000">
      <w:pPr>
        <w:spacing w:after="120"/>
        <w:ind w:left="720" w:hanging="720"/>
        <w:jc w:val="both"/>
      </w:pPr>
      <w:r>
        <w:rPr>
          <w:sz w:val="22"/>
          <w:szCs w:val="22"/>
        </w:rPr>
        <w:t>Bourdieu, P. (1990). The Logic of Practice. Cambridge: Polity Press.</w:t>
      </w:r>
    </w:p>
    <w:p w14:paraId="09842341" w14:textId="77777777" w:rsidR="00601C07" w:rsidRDefault="00000000">
      <w:pPr>
        <w:spacing w:after="120"/>
        <w:ind w:left="720" w:hanging="720"/>
        <w:jc w:val="both"/>
      </w:pPr>
      <w:r>
        <w:rPr>
          <w:sz w:val="22"/>
          <w:szCs w:val="22"/>
        </w:rPr>
        <w:t xml:space="preserve">Brophy, T.G. and Rosen, P.A. (2005). Satellite Imagery Measures of the Astronomically Aligned Megaliths at </w:t>
      </w:r>
      <w:proofErr w:type="spellStart"/>
      <w:r>
        <w:rPr>
          <w:sz w:val="22"/>
          <w:szCs w:val="22"/>
        </w:rPr>
        <w:t>Nabta</w:t>
      </w:r>
      <w:proofErr w:type="spellEnd"/>
      <w:r>
        <w:rPr>
          <w:sz w:val="22"/>
          <w:szCs w:val="22"/>
        </w:rPr>
        <w:t xml:space="preserve"> Playa. Mediterranean Archaeology and Archaeometry, 5(1), pp.15–24.</w:t>
      </w:r>
    </w:p>
    <w:p w14:paraId="2D492C23" w14:textId="77777777" w:rsidR="00601C07" w:rsidRDefault="00000000">
      <w:pPr>
        <w:spacing w:after="120"/>
        <w:ind w:left="720" w:hanging="720"/>
        <w:jc w:val="both"/>
      </w:pPr>
      <w:r>
        <w:rPr>
          <w:sz w:val="22"/>
          <w:szCs w:val="22"/>
        </w:rPr>
        <w:t>Cowan, N. (2001). The magical number 4 in short-term memory: A reconsideration of mental storage capacity. Behavioral and Brain Sciences, 24(1), pp.87–114. https://doi.org/10.1017/S0140525X01003922</w:t>
      </w:r>
    </w:p>
    <w:p w14:paraId="6B2F050B" w14:textId="77777777" w:rsidR="00601C07" w:rsidRDefault="00000000">
      <w:pPr>
        <w:spacing w:after="120"/>
        <w:ind w:left="720" w:hanging="720"/>
        <w:jc w:val="both"/>
      </w:pPr>
      <w:proofErr w:type="spellStart"/>
      <w:r>
        <w:rPr>
          <w:sz w:val="22"/>
          <w:szCs w:val="22"/>
        </w:rPr>
        <w:t>d’Huy</w:t>
      </w:r>
      <w:proofErr w:type="spellEnd"/>
      <w:r>
        <w:rPr>
          <w:sz w:val="22"/>
          <w:szCs w:val="22"/>
        </w:rPr>
        <w:t xml:space="preserve">, J. and </w:t>
      </w:r>
      <w:proofErr w:type="spellStart"/>
      <w:r>
        <w:rPr>
          <w:sz w:val="22"/>
          <w:szCs w:val="22"/>
        </w:rPr>
        <w:t>Berezkin</w:t>
      </w:r>
      <w:proofErr w:type="spellEnd"/>
      <w:r>
        <w:rPr>
          <w:sz w:val="22"/>
          <w:szCs w:val="22"/>
        </w:rPr>
        <w:t>, Y.E. (2017). How Did the First Humans Perceive the Starry Night? On the Pleiades. RMN Newsletter, 12-13, pp.100–122.</w:t>
      </w:r>
    </w:p>
    <w:p w14:paraId="05E15808" w14:textId="77777777" w:rsidR="00601C07" w:rsidRDefault="00000000">
      <w:pPr>
        <w:spacing w:after="120"/>
        <w:ind w:left="720" w:hanging="720"/>
        <w:jc w:val="both"/>
      </w:pPr>
      <w:r>
        <w:rPr>
          <w:sz w:val="22"/>
          <w:szCs w:val="22"/>
        </w:rPr>
        <w:t xml:space="preserve">Hayden, B. and Villeneuve, S. (2011). Astronomy in the Upper </w:t>
      </w:r>
      <w:proofErr w:type="spellStart"/>
      <w:r>
        <w:rPr>
          <w:sz w:val="22"/>
          <w:szCs w:val="22"/>
        </w:rPr>
        <w:t>Palaeolithic</w:t>
      </w:r>
      <w:proofErr w:type="spellEnd"/>
      <w:r>
        <w:rPr>
          <w:sz w:val="22"/>
          <w:szCs w:val="22"/>
        </w:rPr>
        <w:t>? Cambridge Archaeological Journal, 21(3), pp.331–355. https://doi.org/10.1017/S0959774311000400</w:t>
      </w:r>
    </w:p>
    <w:p w14:paraId="30FAE713" w14:textId="77777777" w:rsidR="00601C07" w:rsidRDefault="00000000">
      <w:pPr>
        <w:spacing w:after="120"/>
        <w:ind w:left="720" w:hanging="720"/>
        <w:jc w:val="both"/>
      </w:pPr>
      <w:r>
        <w:rPr>
          <w:sz w:val="22"/>
          <w:szCs w:val="22"/>
        </w:rPr>
        <w:t>Hutchins, E. (1995). Cognition in the Wild. Cambridge, MA: MIT Press.</w:t>
      </w:r>
    </w:p>
    <w:p w14:paraId="247F9846" w14:textId="77777777" w:rsidR="00601C07" w:rsidRDefault="00000000">
      <w:pPr>
        <w:spacing w:after="120"/>
        <w:ind w:left="720" w:hanging="720"/>
        <w:jc w:val="both"/>
      </w:pPr>
      <w:proofErr w:type="spellStart"/>
      <w:r>
        <w:rPr>
          <w:sz w:val="22"/>
          <w:szCs w:val="22"/>
        </w:rPr>
        <w:t>Malafouris</w:t>
      </w:r>
      <w:proofErr w:type="spellEnd"/>
      <w:r>
        <w:rPr>
          <w:sz w:val="22"/>
          <w:szCs w:val="22"/>
        </w:rPr>
        <w:t>, L. (2013). How Things Shape the Mind: A Theory of Material Engagement. Cambridge, MA: MIT Press.</w:t>
      </w:r>
    </w:p>
    <w:p w14:paraId="4E017D23" w14:textId="77777777" w:rsidR="00601C07" w:rsidRDefault="00000000">
      <w:pPr>
        <w:spacing w:after="120"/>
        <w:ind w:left="720" w:hanging="720"/>
        <w:jc w:val="both"/>
      </w:pPr>
      <w:proofErr w:type="spellStart"/>
      <w:r>
        <w:rPr>
          <w:sz w:val="22"/>
          <w:szCs w:val="22"/>
        </w:rPr>
        <w:t>Malville</w:t>
      </w:r>
      <w:proofErr w:type="spellEnd"/>
      <w:r>
        <w:rPr>
          <w:sz w:val="22"/>
          <w:szCs w:val="22"/>
        </w:rPr>
        <w:t>, J.M., Wendorf, F., Mazar, A.A. and Schild, R. (1998). Megaliths and Neolithic astronomy in southern Egypt. Nature, 392, pp.488–491. https://doi.org/10.1038/33131</w:t>
      </w:r>
    </w:p>
    <w:p w14:paraId="2A2A7B09" w14:textId="77777777" w:rsidR="00601C07" w:rsidRDefault="00000000">
      <w:pPr>
        <w:spacing w:after="120"/>
        <w:ind w:left="720" w:hanging="720"/>
        <w:jc w:val="both"/>
      </w:pPr>
      <w:proofErr w:type="spellStart"/>
      <w:r>
        <w:rPr>
          <w:sz w:val="22"/>
          <w:szCs w:val="22"/>
        </w:rPr>
        <w:t>Malville</w:t>
      </w:r>
      <w:proofErr w:type="spellEnd"/>
      <w:r>
        <w:rPr>
          <w:sz w:val="22"/>
          <w:szCs w:val="22"/>
        </w:rPr>
        <w:t xml:space="preserve">, J.M., Schild, R., Wendorf, F. and </w:t>
      </w:r>
      <w:proofErr w:type="spellStart"/>
      <w:r>
        <w:rPr>
          <w:sz w:val="22"/>
          <w:szCs w:val="22"/>
        </w:rPr>
        <w:t>Brenmer</w:t>
      </w:r>
      <w:proofErr w:type="spellEnd"/>
      <w:r>
        <w:rPr>
          <w:sz w:val="22"/>
          <w:szCs w:val="22"/>
        </w:rPr>
        <w:t xml:space="preserve">, R. (2007). Astronomy of </w:t>
      </w:r>
      <w:proofErr w:type="spellStart"/>
      <w:r>
        <w:rPr>
          <w:sz w:val="22"/>
          <w:szCs w:val="22"/>
        </w:rPr>
        <w:t>Nabta</w:t>
      </w:r>
      <w:proofErr w:type="spellEnd"/>
      <w:r>
        <w:rPr>
          <w:sz w:val="22"/>
          <w:szCs w:val="22"/>
        </w:rPr>
        <w:t xml:space="preserve"> Playa. African Skies/</w:t>
      </w:r>
      <w:proofErr w:type="spellStart"/>
      <w:r>
        <w:rPr>
          <w:sz w:val="22"/>
          <w:szCs w:val="22"/>
        </w:rPr>
        <w:t>Cieux</w:t>
      </w:r>
      <w:proofErr w:type="spellEnd"/>
      <w:r>
        <w:rPr>
          <w:sz w:val="22"/>
          <w:szCs w:val="22"/>
        </w:rPr>
        <w:t xml:space="preserve"> </w:t>
      </w:r>
      <w:proofErr w:type="spellStart"/>
      <w:r>
        <w:rPr>
          <w:sz w:val="22"/>
          <w:szCs w:val="22"/>
        </w:rPr>
        <w:t>Africains</w:t>
      </w:r>
      <w:proofErr w:type="spellEnd"/>
      <w:r>
        <w:rPr>
          <w:sz w:val="22"/>
          <w:szCs w:val="22"/>
        </w:rPr>
        <w:t>, 11, pp.20–27.</w:t>
      </w:r>
    </w:p>
    <w:p w14:paraId="3ABEE183" w14:textId="77777777" w:rsidR="00601C07" w:rsidRDefault="00000000">
      <w:pPr>
        <w:spacing w:after="120"/>
        <w:ind w:left="720" w:hanging="720"/>
        <w:jc w:val="both"/>
      </w:pPr>
      <w:proofErr w:type="spellStart"/>
      <w:r>
        <w:rPr>
          <w:sz w:val="22"/>
          <w:szCs w:val="22"/>
        </w:rPr>
        <w:t>Malville</w:t>
      </w:r>
      <w:proofErr w:type="spellEnd"/>
      <w:r>
        <w:rPr>
          <w:sz w:val="22"/>
          <w:szCs w:val="22"/>
        </w:rPr>
        <w:t xml:space="preserve">, J.M., Schild, R., Wendorf, F. and </w:t>
      </w:r>
      <w:proofErr w:type="spellStart"/>
      <w:r>
        <w:rPr>
          <w:sz w:val="22"/>
          <w:szCs w:val="22"/>
        </w:rPr>
        <w:t>Brenmer</w:t>
      </w:r>
      <w:proofErr w:type="spellEnd"/>
      <w:r>
        <w:rPr>
          <w:sz w:val="22"/>
          <w:szCs w:val="22"/>
        </w:rPr>
        <w:t xml:space="preserve">, R. (2008). Astronomy of </w:t>
      </w:r>
      <w:proofErr w:type="spellStart"/>
      <w:r>
        <w:rPr>
          <w:sz w:val="22"/>
          <w:szCs w:val="22"/>
        </w:rPr>
        <w:t>Nabta</w:t>
      </w:r>
      <w:proofErr w:type="spellEnd"/>
      <w:r>
        <w:rPr>
          <w:sz w:val="22"/>
          <w:szCs w:val="22"/>
        </w:rPr>
        <w:t xml:space="preserve"> Playa. In: J. Holbrook, R. </w:t>
      </w:r>
      <w:proofErr w:type="spellStart"/>
      <w:r>
        <w:rPr>
          <w:sz w:val="22"/>
          <w:szCs w:val="22"/>
        </w:rPr>
        <w:t>Medupe</w:t>
      </w:r>
      <w:proofErr w:type="spellEnd"/>
      <w:r>
        <w:rPr>
          <w:sz w:val="22"/>
          <w:szCs w:val="22"/>
        </w:rPr>
        <w:t xml:space="preserve"> and J. </w:t>
      </w:r>
      <w:proofErr w:type="spellStart"/>
      <w:r>
        <w:rPr>
          <w:sz w:val="22"/>
          <w:szCs w:val="22"/>
        </w:rPr>
        <w:t>Urama</w:t>
      </w:r>
      <w:proofErr w:type="spellEnd"/>
      <w:r>
        <w:rPr>
          <w:sz w:val="22"/>
          <w:szCs w:val="22"/>
        </w:rPr>
        <w:t xml:space="preserve">, eds., African Cultural Astronomy: Current </w:t>
      </w:r>
      <w:proofErr w:type="spellStart"/>
      <w:r>
        <w:rPr>
          <w:sz w:val="22"/>
          <w:szCs w:val="22"/>
        </w:rPr>
        <w:t>Archaeoastronomy</w:t>
      </w:r>
      <w:proofErr w:type="spellEnd"/>
      <w:r>
        <w:rPr>
          <w:sz w:val="22"/>
          <w:szCs w:val="22"/>
        </w:rPr>
        <w:t xml:space="preserve"> and Ethnoastronomy Research in Africa. New York: Springer, pp.131–143.</w:t>
      </w:r>
    </w:p>
    <w:p w14:paraId="47DE1EE1" w14:textId="77777777" w:rsidR="00601C07" w:rsidRDefault="00000000">
      <w:pPr>
        <w:spacing w:after="120"/>
        <w:ind w:left="720" w:hanging="720"/>
        <w:jc w:val="both"/>
      </w:pPr>
      <w:proofErr w:type="spellStart"/>
      <w:r>
        <w:rPr>
          <w:sz w:val="22"/>
          <w:szCs w:val="22"/>
        </w:rPr>
        <w:lastRenderedPageBreak/>
        <w:t>Malville</w:t>
      </w:r>
      <w:proofErr w:type="spellEnd"/>
      <w:r>
        <w:rPr>
          <w:sz w:val="22"/>
          <w:szCs w:val="22"/>
        </w:rPr>
        <w:t xml:space="preserve">, J.M. (2015). Astronomy at </w:t>
      </w:r>
      <w:proofErr w:type="spellStart"/>
      <w:r>
        <w:rPr>
          <w:sz w:val="22"/>
          <w:szCs w:val="22"/>
        </w:rPr>
        <w:t>Nabta</w:t>
      </w:r>
      <w:proofErr w:type="spellEnd"/>
      <w:r>
        <w:rPr>
          <w:sz w:val="22"/>
          <w:szCs w:val="22"/>
        </w:rPr>
        <w:t xml:space="preserve"> Playa, Southern Egypt. In: C.L.N. Ruggles, ed., Handbook of </w:t>
      </w:r>
      <w:proofErr w:type="spellStart"/>
      <w:r>
        <w:rPr>
          <w:sz w:val="22"/>
          <w:szCs w:val="22"/>
        </w:rPr>
        <w:t>Archaeoastronomy</w:t>
      </w:r>
      <w:proofErr w:type="spellEnd"/>
      <w:r>
        <w:rPr>
          <w:sz w:val="22"/>
          <w:szCs w:val="22"/>
        </w:rPr>
        <w:t xml:space="preserve"> and Ethnoastronomy. New York: Springer, pp.1079–1091. https://doi.org/10.1007/978-1-4614-6141-8_101</w:t>
      </w:r>
    </w:p>
    <w:p w14:paraId="2F5371BC" w14:textId="77777777" w:rsidR="00601C07" w:rsidRDefault="00000000">
      <w:pPr>
        <w:spacing w:after="120"/>
        <w:ind w:left="720" w:hanging="720"/>
        <w:jc w:val="both"/>
      </w:pPr>
      <w:r>
        <w:rPr>
          <w:sz w:val="22"/>
          <w:szCs w:val="22"/>
        </w:rPr>
        <w:t>Miller, G.A. (1956). The magical number seven, plus or minus two: Some limits on our capacity for processing information. Psychological Review, 63(2), pp.81–97. https://doi.org/10.1037/h0043158</w:t>
      </w:r>
    </w:p>
    <w:p w14:paraId="2F3F0487" w14:textId="77777777" w:rsidR="00601C07" w:rsidRDefault="00000000">
      <w:pPr>
        <w:spacing w:after="120"/>
        <w:ind w:left="720" w:hanging="720"/>
        <w:jc w:val="both"/>
      </w:pPr>
      <w:proofErr w:type="spellStart"/>
      <w:r>
        <w:rPr>
          <w:sz w:val="22"/>
          <w:szCs w:val="22"/>
        </w:rPr>
        <w:t>Notroff</w:t>
      </w:r>
      <w:proofErr w:type="spellEnd"/>
      <w:r>
        <w:rPr>
          <w:sz w:val="22"/>
          <w:szCs w:val="22"/>
        </w:rPr>
        <w:t xml:space="preserve">, J., Dietrich, O., Dietrich, L., </w:t>
      </w:r>
      <w:proofErr w:type="spellStart"/>
      <w:r>
        <w:rPr>
          <w:sz w:val="22"/>
          <w:szCs w:val="22"/>
        </w:rPr>
        <w:t>Tvetmarken</w:t>
      </w:r>
      <w:proofErr w:type="spellEnd"/>
      <w:r>
        <w:rPr>
          <w:sz w:val="22"/>
          <w:szCs w:val="22"/>
        </w:rPr>
        <w:t xml:space="preserve">, C.L., Kinzel, M., Schlindwein, J., Sönmez, D. and Clare, L. (2017). More Than a Vulture: A Response to Sweatman and </w:t>
      </w:r>
      <w:proofErr w:type="spellStart"/>
      <w:r>
        <w:rPr>
          <w:sz w:val="22"/>
          <w:szCs w:val="22"/>
        </w:rPr>
        <w:t>Tsikritsis</w:t>
      </w:r>
      <w:proofErr w:type="spellEnd"/>
      <w:r>
        <w:rPr>
          <w:sz w:val="22"/>
          <w:szCs w:val="22"/>
        </w:rPr>
        <w:t>. Mediterranean Archaeology and Archaeometry, 17(2), pp.57–63.</w:t>
      </w:r>
    </w:p>
    <w:p w14:paraId="1F9D709C" w14:textId="77777777" w:rsidR="00601C07" w:rsidRDefault="00000000">
      <w:pPr>
        <w:spacing w:after="120"/>
        <w:ind w:left="720" w:hanging="720"/>
        <w:jc w:val="both"/>
      </w:pPr>
      <w:r>
        <w:rPr>
          <w:sz w:val="22"/>
          <w:szCs w:val="22"/>
        </w:rPr>
        <w:t xml:space="preserve">Norris, R.P. and Norris, B.R.M. (2021). Why Are There Seven Sisters? In: E. </w:t>
      </w:r>
      <w:proofErr w:type="spellStart"/>
      <w:r>
        <w:rPr>
          <w:sz w:val="22"/>
          <w:szCs w:val="22"/>
        </w:rPr>
        <w:t>Boutsikas</w:t>
      </w:r>
      <w:proofErr w:type="spellEnd"/>
      <w:r>
        <w:rPr>
          <w:sz w:val="22"/>
          <w:szCs w:val="22"/>
        </w:rPr>
        <w:t>, S.C. McCluskey and J. Steele, eds., Advancing Cultural Astronomy: Studies in Honour of Clive Ruggles. Historical &amp; Cultural Astronomy. Cham: Springer, pp.223–235. https://doi.org/10.1007/978-3-030-64606-6_11</w:t>
      </w:r>
    </w:p>
    <w:p w14:paraId="75F5C1AC" w14:textId="77777777" w:rsidR="00601C07" w:rsidRDefault="00000000">
      <w:pPr>
        <w:spacing w:after="120"/>
        <w:ind w:left="720" w:hanging="720"/>
        <w:jc w:val="both"/>
      </w:pPr>
      <w:proofErr w:type="spellStart"/>
      <w:r>
        <w:rPr>
          <w:sz w:val="22"/>
          <w:szCs w:val="22"/>
        </w:rPr>
        <w:t>Rappenglück</w:t>
      </w:r>
      <w:proofErr w:type="spellEnd"/>
      <w:r>
        <w:rPr>
          <w:sz w:val="22"/>
          <w:szCs w:val="22"/>
        </w:rPr>
        <w:t xml:space="preserve">, M.A. (2004). A </w:t>
      </w:r>
      <w:proofErr w:type="spellStart"/>
      <w:r>
        <w:rPr>
          <w:sz w:val="22"/>
          <w:szCs w:val="22"/>
        </w:rPr>
        <w:t>Palaeolithic</w:t>
      </w:r>
      <w:proofErr w:type="spellEnd"/>
      <w:r>
        <w:rPr>
          <w:sz w:val="22"/>
          <w:szCs w:val="22"/>
        </w:rPr>
        <w:t xml:space="preserve"> Planetarium Underground: The Cave of Lascaux (Part 1). Migration and Diffusion, 5, pp.93–119.</w:t>
      </w:r>
    </w:p>
    <w:p w14:paraId="7013DBBE" w14:textId="77777777" w:rsidR="00601C07" w:rsidRDefault="00000000">
      <w:pPr>
        <w:spacing w:after="120"/>
        <w:ind w:left="720" w:hanging="720"/>
        <w:jc w:val="both"/>
      </w:pPr>
      <w:r>
        <w:rPr>
          <w:sz w:val="22"/>
          <w:szCs w:val="22"/>
        </w:rPr>
        <w:t xml:space="preserve">Sweatman, M.B. and Tsikritsis, D. (2017). Decoding </w:t>
      </w:r>
      <w:proofErr w:type="spellStart"/>
      <w:r>
        <w:rPr>
          <w:sz w:val="22"/>
          <w:szCs w:val="22"/>
        </w:rPr>
        <w:t>Göbekli</w:t>
      </w:r>
      <w:proofErr w:type="spellEnd"/>
      <w:r>
        <w:rPr>
          <w:sz w:val="22"/>
          <w:szCs w:val="22"/>
        </w:rPr>
        <w:t xml:space="preserve"> Tepe with </w:t>
      </w:r>
      <w:proofErr w:type="spellStart"/>
      <w:r>
        <w:rPr>
          <w:sz w:val="22"/>
          <w:szCs w:val="22"/>
        </w:rPr>
        <w:t>Archaeoastronomy</w:t>
      </w:r>
      <w:proofErr w:type="spellEnd"/>
      <w:r>
        <w:rPr>
          <w:sz w:val="22"/>
          <w:szCs w:val="22"/>
        </w:rPr>
        <w:t>: What Does the Fox Say? Mediterranean Archaeology and Archaeometry, 17(1), pp.233–250.</w:t>
      </w:r>
    </w:p>
    <w:p w14:paraId="44E1F665" w14:textId="77777777" w:rsidR="00601C07" w:rsidRDefault="00000000">
      <w:pPr>
        <w:spacing w:after="120"/>
        <w:ind w:left="720" w:hanging="720"/>
        <w:jc w:val="both"/>
      </w:pPr>
      <w:r>
        <w:rPr>
          <w:sz w:val="22"/>
          <w:szCs w:val="22"/>
        </w:rPr>
        <w:t xml:space="preserve">Sweatman, M.B. and Coombs, A. (2019). Decoding European </w:t>
      </w:r>
      <w:proofErr w:type="spellStart"/>
      <w:r>
        <w:rPr>
          <w:sz w:val="22"/>
          <w:szCs w:val="22"/>
        </w:rPr>
        <w:t>Palaeolithic</w:t>
      </w:r>
      <w:proofErr w:type="spellEnd"/>
      <w:r>
        <w:rPr>
          <w:sz w:val="22"/>
          <w:szCs w:val="22"/>
        </w:rPr>
        <w:t xml:space="preserve"> Art: Extremely Ancient Knowledge of Precession of the Equinoxes. Athens Journal of History, 5(1), pp.1–30. https://doi.org/10.30958/ajhis.5-1-1</w:t>
      </w:r>
    </w:p>
    <w:p w14:paraId="2BB64999" w14:textId="77777777" w:rsidR="00601C07" w:rsidRDefault="00000000">
      <w:pPr>
        <w:spacing w:after="120"/>
        <w:ind w:left="720" w:hanging="720"/>
        <w:jc w:val="both"/>
      </w:pPr>
      <w:r>
        <w:rPr>
          <w:sz w:val="22"/>
          <w:szCs w:val="22"/>
        </w:rPr>
        <w:t xml:space="preserve">Sweatman, M.B. (2024). Representations of calendars and time at </w:t>
      </w:r>
      <w:proofErr w:type="spellStart"/>
      <w:r>
        <w:rPr>
          <w:sz w:val="22"/>
          <w:szCs w:val="22"/>
        </w:rPr>
        <w:t>Göbekli</w:t>
      </w:r>
      <w:proofErr w:type="spellEnd"/>
      <w:r>
        <w:rPr>
          <w:sz w:val="22"/>
          <w:szCs w:val="22"/>
        </w:rPr>
        <w:t xml:space="preserve"> Tepe and Karahan Tepe support an astronomical interpretation of their symbolism. Time and Mind, 17(3–4), pp.191–247. https://doi.org/10.1080/1751696X.2024.2373876</w:t>
      </w:r>
    </w:p>
    <w:p w14:paraId="0B32424F" w14:textId="77777777" w:rsidR="00601C07" w:rsidRDefault="00000000">
      <w:pPr>
        <w:spacing w:after="120"/>
        <w:ind w:left="720" w:hanging="720"/>
        <w:jc w:val="both"/>
      </w:pPr>
      <w:r>
        <w:rPr>
          <w:sz w:val="22"/>
          <w:szCs w:val="22"/>
        </w:rPr>
        <w:t>Vondoom, A. (in press). Cognitive Foundations of Early Egyptian Civilization: Insights from the Deep Symbolic Systems Model (DSSM). IWNW, Manuscript ID IWNW-2601-1075.</w:t>
      </w:r>
    </w:p>
    <w:p w14:paraId="22268E5E" w14:textId="77777777" w:rsidR="00601C07" w:rsidRDefault="00000000">
      <w:pPr>
        <w:spacing w:after="120"/>
        <w:ind w:left="720" w:hanging="720"/>
        <w:jc w:val="both"/>
      </w:pPr>
      <w:r>
        <w:rPr>
          <w:sz w:val="22"/>
          <w:szCs w:val="22"/>
        </w:rPr>
        <w:t xml:space="preserve">Wendorf, F. and Schild, R. (1998). </w:t>
      </w:r>
      <w:proofErr w:type="spellStart"/>
      <w:r>
        <w:rPr>
          <w:sz w:val="22"/>
          <w:szCs w:val="22"/>
        </w:rPr>
        <w:t>Nabta</w:t>
      </w:r>
      <w:proofErr w:type="spellEnd"/>
      <w:r>
        <w:rPr>
          <w:sz w:val="22"/>
          <w:szCs w:val="22"/>
        </w:rPr>
        <w:t xml:space="preserve"> Playa and Its Role in Northeastern African Prehistory. Journal of Anthropological Archaeology, 17(2), pp.97–123.</w:t>
      </w:r>
    </w:p>
    <w:p w14:paraId="3C30726F" w14:textId="77777777" w:rsidR="00601C07" w:rsidRDefault="00000000">
      <w:pPr>
        <w:spacing w:after="120"/>
        <w:ind w:left="720" w:hanging="720"/>
        <w:jc w:val="both"/>
      </w:pPr>
      <w:r>
        <w:rPr>
          <w:sz w:val="22"/>
          <w:szCs w:val="22"/>
        </w:rPr>
        <w:t xml:space="preserve">Wendorf, F. and </w:t>
      </w:r>
      <w:proofErr w:type="spellStart"/>
      <w:r>
        <w:rPr>
          <w:sz w:val="22"/>
          <w:szCs w:val="22"/>
        </w:rPr>
        <w:t>Malville</w:t>
      </w:r>
      <w:proofErr w:type="spellEnd"/>
      <w:r>
        <w:rPr>
          <w:sz w:val="22"/>
          <w:szCs w:val="22"/>
        </w:rPr>
        <w:t xml:space="preserve">, J.M. (2001). The Megalithic Alignments. In: F. Wendorf and R. Schild, eds., Holocene Settlement of the Egyptian Sahara, Volume 1: The Archaeology of </w:t>
      </w:r>
      <w:proofErr w:type="spellStart"/>
      <w:r>
        <w:rPr>
          <w:sz w:val="22"/>
          <w:szCs w:val="22"/>
        </w:rPr>
        <w:t>Nabta</w:t>
      </w:r>
      <w:proofErr w:type="spellEnd"/>
      <w:r>
        <w:rPr>
          <w:sz w:val="22"/>
          <w:szCs w:val="22"/>
        </w:rPr>
        <w:t xml:space="preserve"> Playa. New York: Kluwer Academic/Plenum Publishers, pp.489–502.</w:t>
      </w:r>
    </w:p>
    <w:sectPr w:rsidR="00601C0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A171" w14:textId="77777777" w:rsidR="00BC2795" w:rsidRDefault="00BC2795">
      <w:r>
        <w:separator/>
      </w:r>
    </w:p>
  </w:endnote>
  <w:endnote w:type="continuationSeparator" w:id="0">
    <w:p w14:paraId="1B733C0F" w14:textId="77777777" w:rsidR="00BC2795" w:rsidRDefault="00BC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7F60" w14:textId="77777777" w:rsidR="00601C07" w:rsidRDefault="00000000">
    <w:pPr>
      <w:jc w:val="center"/>
    </w:pPr>
    <w:r>
      <w:fldChar w:fldCharType="begin"/>
    </w:r>
    <w:r>
      <w:instrText>PAGE</w:instrText>
    </w:r>
    <w:r>
      <w:fldChar w:fldCharType="separate"/>
    </w:r>
    <w:r w:rsidR="0070063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AF92" w14:textId="77777777" w:rsidR="00BC2795" w:rsidRDefault="00BC2795">
      <w:r>
        <w:separator/>
      </w:r>
    </w:p>
  </w:footnote>
  <w:footnote w:type="continuationSeparator" w:id="0">
    <w:p w14:paraId="6C119E75" w14:textId="77777777" w:rsidR="00BC2795" w:rsidRDefault="00BC2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2C1"/>
    <w:multiLevelType w:val="hybridMultilevel"/>
    <w:tmpl w:val="9918CC38"/>
    <w:lvl w:ilvl="0" w:tplc="0F9ADA54">
      <w:start w:val="1"/>
      <w:numFmt w:val="bullet"/>
      <w:lvlText w:val="●"/>
      <w:lvlJc w:val="left"/>
      <w:pPr>
        <w:ind w:left="720" w:hanging="360"/>
      </w:pPr>
    </w:lvl>
    <w:lvl w:ilvl="1" w:tplc="867221F0">
      <w:start w:val="1"/>
      <w:numFmt w:val="bullet"/>
      <w:lvlText w:val="○"/>
      <w:lvlJc w:val="left"/>
      <w:pPr>
        <w:ind w:left="1440" w:hanging="360"/>
      </w:pPr>
    </w:lvl>
    <w:lvl w:ilvl="2" w:tplc="37A2B278">
      <w:start w:val="1"/>
      <w:numFmt w:val="bullet"/>
      <w:lvlText w:val="■"/>
      <w:lvlJc w:val="left"/>
      <w:pPr>
        <w:ind w:left="2160" w:hanging="360"/>
      </w:pPr>
    </w:lvl>
    <w:lvl w:ilvl="3" w:tplc="5BECCAFC">
      <w:start w:val="1"/>
      <w:numFmt w:val="bullet"/>
      <w:lvlText w:val="●"/>
      <w:lvlJc w:val="left"/>
      <w:pPr>
        <w:ind w:left="2880" w:hanging="360"/>
      </w:pPr>
    </w:lvl>
    <w:lvl w:ilvl="4" w:tplc="AE00C20C">
      <w:start w:val="1"/>
      <w:numFmt w:val="bullet"/>
      <w:lvlText w:val="○"/>
      <w:lvlJc w:val="left"/>
      <w:pPr>
        <w:ind w:left="3600" w:hanging="360"/>
      </w:pPr>
    </w:lvl>
    <w:lvl w:ilvl="5" w:tplc="BCBAD42C">
      <w:start w:val="1"/>
      <w:numFmt w:val="bullet"/>
      <w:lvlText w:val="■"/>
      <w:lvlJc w:val="left"/>
      <w:pPr>
        <w:ind w:left="4320" w:hanging="360"/>
      </w:pPr>
    </w:lvl>
    <w:lvl w:ilvl="6" w:tplc="4EB83B78">
      <w:start w:val="1"/>
      <w:numFmt w:val="bullet"/>
      <w:lvlText w:val="●"/>
      <w:lvlJc w:val="left"/>
      <w:pPr>
        <w:ind w:left="5040" w:hanging="360"/>
      </w:pPr>
    </w:lvl>
    <w:lvl w:ilvl="7" w:tplc="CA56F390">
      <w:start w:val="1"/>
      <w:numFmt w:val="bullet"/>
      <w:lvlText w:val="●"/>
      <w:lvlJc w:val="left"/>
      <w:pPr>
        <w:ind w:left="5760" w:hanging="360"/>
      </w:pPr>
    </w:lvl>
    <w:lvl w:ilvl="8" w:tplc="82D46A7A">
      <w:start w:val="1"/>
      <w:numFmt w:val="bullet"/>
      <w:lvlText w:val="●"/>
      <w:lvlJc w:val="left"/>
      <w:pPr>
        <w:ind w:left="6480" w:hanging="360"/>
      </w:pPr>
    </w:lvl>
  </w:abstractNum>
  <w:num w:numId="1" w16cid:durableId="3710057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C07"/>
    <w:rsid w:val="001D6DB7"/>
    <w:rsid w:val="00601C07"/>
    <w:rsid w:val="0070063C"/>
    <w:rsid w:val="00712EE2"/>
    <w:rsid w:val="00973C6B"/>
    <w:rsid w:val="00A73160"/>
    <w:rsid w:val="00BB21D2"/>
    <w:rsid w:val="00BC2795"/>
    <w:rsid w:val="00CA0A01"/>
    <w:rsid w:val="00CA5E0F"/>
    <w:rsid w:val="00D5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061483"/>
  <w15:docId w15:val="{84217201-A2DE-DF41-ABAB-D74DEA5A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sz w:val="28"/>
      <w:szCs w:val="28"/>
    </w:rPr>
  </w:style>
  <w:style w:type="paragraph" w:styleId="Heading2">
    <w:name w:val="heading 2"/>
    <w:uiPriority w:val="9"/>
    <w:unhideWhenUsed/>
    <w:qFormat/>
    <w:pPr>
      <w:spacing w:before="240" w:after="12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12EE2"/>
    <w:pPr>
      <w:tabs>
        <w:tab w:val="center" w:pos="4680"/>
        <w:tab w:val="right" w:pos="9360"/>
      </w:tabs>
    </w:pPr>
  </w:style>
  <w:style w:type="character" w:customStyle="1" w:styleId="HeaderChar">
    <w:name w:val="Header Char"/>
    <w:basedOn w:val="DefaultParagraphFont"/>
    <w:link w:val="Header"/>
    <w:uiPriority w:val="99"/>
    <w:rsid w:val="00712EE2"/>
  </w:style>
  <w:style w:type="paragraph" w:styleId="Footer">
    <w:name w:val="footer"/>
    <w:basedOn w:val="Normal"/>
    <w:link w:val="FooterChar"/>
    <w:uiPriority w:val="99"/>
    <w:unhideWhenUsed/>
    <w:rsid w:val="00712EE2"/>
    <w:pPr>
      <w:tabs>
        <w:tab w:val="center" w:pos="4680"/>
        <w:tab w:val="right" w:pos="9360"/>
      </w:tabs>
    </w:pPr>
  </w:style>
  <w:style w:type="character" w:customStyle="1" w:styleId="FooterChar">
    <w:name w:val="Footer Char"/>
    <w:basedOn w:val="DefaultParagraphFont"/>
    <w:link w:val="Footer"/>
    <w:uiPriority w:val="99"/>
    <w:rsid w:val="00712EE2"/>
  </w:style>
  <w:style w:type="character" w:styleId="UnresolvedMention">
    <w:name w:val="Unresolved Mention"/>
    <w:basedOn w:val="DefaultParagraphFont"/>
    <w:uiPriority w:val="99"/>
    <w:semiHidden/>
    <w:unhideWhenUsed/>
    <w:rsid w:val="00712EE2"/>
    <w:rPr>
      <w:color w:val="605E5C"/>
      <w:shd w:val="clear" w:color="auto" w:fill="E1DFDD"/>
    </w:rPr>
  </w:style>
  <w:style w:type="character" w:styleId="FollowedHyperlink">
    <w:name w:val="FollowedHyperlink"/>
    <w:basedOn w:val="DefaultParagraphFont"/>
    <w:uiPriority w:val="99"/>
    <w:semiHidden/>
    <w:unhideWhenUsed/>
    <w:rsid w:val="00712E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5281/zenodo.20110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5171</Words>
  <Characters>31753</Characters>
  <Application>Microsoft Office Word</Application>
  <DocSecurity>0</DocSecurity>
  <Lines>434</Lines>
  <Paragraphs>95</Paragraphs>
  <ScaleCrop>false</ScaleCrop>
  <Company/>
  <LinksUpToDate>false</LinksUpToDate>
  <CharactersWithSpaces>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5</cp:revision>
  <dcterms:created xsi:type="dcterms:W3CDTF">2026-05-10T08:05:00Z</dcterms:created>
  <dcterms:modified xsi:type="dcterms:W3CDTF">2026-05-10T13:10:00Z</dcterms:modified>
</cp:coreProperties>
</file>