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C56F7" w14:textId="77777777" w:rsidR="00C23162" w:rsidRDefault="00C23162"/>
    <w:p w14:paraId="1C8105D8" w14:textId="77777777" w:rsidR="00C23162" w:rsidRDefault="00000000">
      <w:pPr>
        <w:spacing w:after="60"/>
        <w:jc w:val="center"/>
      </w:pPr>
      <w:r>
        <w:rPr>
          <w:b/>
          <w:bCs/>
          <w:sz w:val="30"/>
          <w:szCs w:val="30"/>
        </w:rPr>
        <w:t>Manufactured Consent Architecture and Substrate Capture:</w:t>
      </w:r>
    </w:p>
    <w:p w14:paraId="1CC9E738" w14:textId="77777777" w:rsidR="00C23162" w:rsidRDefault="00000000">
      <w:pPr>
        <w:spacing w:after="240"/>
        <w:jc w:val="center"/>
      </w:pPr>
      <w:r>
        <w:rPr>
          <w:b/>
          <w:bCs/>
          <w:sz w:val="30"/>
          <w:szCs w:val="30"/>
        </w:rPr>
        <w:t>Confirmed Signals, Structural Inferences, and Forward Watch Conditions</w:t>
      </w:r>
    </w:p>
    <w:p w14:paraId="08B80838" w14:textId="61F7CC77" w:rsidR="00C23162" w:rsidRDefault="00000000">
      <w:pPr>
        <w:spacing w:after="80"/>
        <w:jc w:val="center"/>
        <w:rPr>
          <w:i/>
          <w:iCs/>
        </w:rPr>
      </w:pPr>
      <w:r>
        <w:rPr>
          <w:i/>
          <w:iCs/>
        </w:rPr>
        <w:t>A DSSM Applied Analysis</w:t>
      </w:r>
    </w:p>
    <w:p w14:paraId="6449881E" w14:textId="2FD82036" w:rsidR="00325E1E" w:rsidRDefault="00325E1E">
      <w:pPr>
        <w:spacing w:after="80"/>
        <w:jc w:val="center"/>
      </w:pPr>
      <w:r>
        <w:fldChar w:fldCharType="begin"/>
      </w:r>
      <w:r>
        <w:instrText>HYPERLINK "</w:instrText>
      </w:r>
      <w:r w:rsidRPr="00325E1E">
        <w:instrText>https://doi.org/10.6084/m9.figshare.32229336</w:instrText>
      </w:r>
      <w:r>
        <w:instrText>"</w:instrText>
      </w:r>
      <w:r>
        <w:fldChar w:fldCharType="separate"/>
      </w:r>
      <w:r w:rsidRPr="00B340EF">
        <w:rPr>
          <w:rStyle w:val="Hyperlink"/>
        </w:rPr>
        <w:t>https://doi.org/10.6084/m9.figshare.32229336</w:t>
      </w:r>
      <w:r>
        <w:fldChar w:fldCharType="end"/>
      </w:r>
      <w:r>
        <w:t xml:space="preserve"> </w:t>
      </w:r>
    </w:p>
    <w:p w14:paraId="171FFAA7" w14:textId="77777777" w:rsidR="00C23162" w:rsidRDefault="00C23162"/>
    <w:p w14:paraId="40DF95E2" w14:textId="77777777" w:rsidR="00C23162" w:rsidRDefault="00000000">
      <w:pPr>
        <w:spacing w:after="60"/>
        <w:jc w:val="center"/>
      </w:pPr>
      <w:r>
        <w:rPr>
          <w:b/>
          <w:bCs/>
        </w:rPr>
        <w:t>Anthony Vondoom</w:t>
      </w:r>
    </w:p>
    <w:p w14:paraId="5C85E84D" w14:textId="77777777" w:rsidR="00C23162" w:rsidRDefault="00000000">
      <w:pPr>
        <w:spacing w:after="60"/>
        <w:jc w:val="center"/>
      </w:pPr>
      <w:r>
        <w:rPr>
          <w:i/>
          <w:iCs/>
          <w:sz w:val="22"/>
          <w:szCs w:val="22"/>
        </w:rPr>
        <w:t>Independent Researcher, Cognitive Archaeology</w:t>
      </w:r>
    </w:p>
    <w:p w14:paraId="182DACB7" w14:textId="77777777" w:rsidR="00C23162" w:rsidRDefault="00000000">
      <w:pPr>
        <w:spacing w:after="60"/>
        <w:jc w:val="center"/>
      </w:pPr>
      <w:proofErr w:type="spellStart"/>
      <w:r>
        <w:rPr>
          <w:sz w:val="22"/>
          <w:szCs w:val="22"/>
        </w:rPr>
        <w:t>Sirmione</w:t>
      </w:r>
      <w:proofErr w:type="spellEnd"/>
      <w:r>
        <w:rPr>
          <w:sz w:val="22"/>
          <w:szCs w:val="22"/>
        </w:rPr>
        <w:t xml:space="preserve">, </w:t>
      </w:r>
      <w:proofErr w:type="gramStart"/>
      <w:r>
        <w:rPr>
          <w:sz w:val="22"/>
          <w:szCs w:val="22"/>
        </w:rPr>
        <w:t>Italy  |</w:t>
      </w:r>
      <w:proofErr w:type="gramEnd"/>
      <w:r>
        <w:rPr>
          <w:sz w:val="22"/>
          <w:szCs w:val="22"/>
        </w:rPr>
        <w:t xml:space="preserve">  ORCID: 0009-0003-4953-1427</w:t>
      </w:r>
    </w:p>
    <w:p w14:paraId="2B479AAF" w14:textId="77777777" w:rsidR="00C23162" w:rsidRDefault="00000000">
      <w:pPr>
        <w:spacing w:after="60"/>
        <w:jc w:val="center"/>
      </w:pPr>
      <w:r>
        <w:rPr>
          <w:sz w:val="22"/>
          <w:szCs w:val="22"/>
        </w:rPr>
        <w:t>anthony.vondoom@outlook.com</w:t>
      </w:r>
    </w:p>
    <w:p w14:paraId="7505F9DF" w14:textId="77777777" w:rsidR="00C23162" w:rsidRDefault="00000000">
      <w:pPr>
        <w:spacing w:after="60"/>
        <w:jc w:val="center"/>
        <w:rPr>
          <w:sz w:val="22"/>
          <w:szCs w:val="22"/>
        </w:rPr>
      </w:pPr>
      <w:r>
        <w:rPr>
          <w:sz w:val="22"/>
          <w:szCs w:val="22"/>
        </w:rPr>
        <w:t>May 9, 2026</w:t>
      </w:r>
    </w:p>
    <w:p w14:paraId="5F4EAED7" w14:textId="77777777" w:rsidR="00632E64" w:rsidRDefault="00632E64">
      <w:pPr>
        <w:spacing w:after="60"/>
        <w:jc w:val="center"/>
      </w:pPr>
    </w:p>
    <w:p w14:paraId="014FD91A" w14:textId="77777777" w:rsidR="00C23162" w:rsidRDefault="00000000">
      <w:pPr>
        <w:spacing w:after="60"/>
        <w:jc w:val="center"/>
      </w:pPr>
      <w:r>
        <w:rPr>
          <w:i/>
          <w:iCs/>
          <w:sz w:val="20"/>
          <w:szCs w:val="20"/>
        </w:rPr>
        <w:t>AI-Assisted Synthesis: Claude Sonnet 4.6 (Anthropic)</w:t>
      </w:r>
    </w:p>
    <w:p w14:paraId="6F485BF0" w14:textId="77777777" w:rsidR="00C23162" w:rsidRDefault="00000000">
      <w:pPr>
        <w:spacing w:after="240"/>
        <w:jc w:val="center"/>
      </w:pPr>
      <w:r>
        <w:rPr>
          <w:i/>
          <w:iCs/>
          <w:sz w:val="20"/>
          <w:szCs w:val="20"/>
        </w:rPr>
        <w:t>Signal Feed: NETJERU Cycle 3, May 9, 2026</w:t>
      </w:r>
    </w:p>
    <w:p w14:paraId="45FBE772" w14:textId="77777777" w:rsidR="00C23162" w:rsidRDefault="00000000">
      <w:pPr>
        <w:pStyle w:val="Heading1"/>
      </w:pPr>
      <w:r>
        <w:t>Abstract</w:t>
      </w:r>
    </w:p>
    <w:p w14:paraId="6BEADCF3" w14:textId="551449F0" w:rsidR="00C23162" w:rsidRDefault="00000000">
      <w:pPr>
        <w:spacing w:before="120" w:after="120" w:line="276" w:lineRule="auto"/>
        <w:jc w:val="both"/>
      </w:pPr>
      <w:r>
        <w:t xml:space="preserve">On March 24, 2026, NETJERU Cycle 2 (Paper 44: When the Substrate Breaks, </w:t>
      </w:r>
      <w:hyperlink r:id="rId5" w:history="1">
        <w:r w:rsidRPr="00632E64">
          <w:rPr>
            <w:rStyle w:val="Hyperlink"/>
          </w:rPr>
          <w:t>DOI: 10.5281/zenodo.19</w:t>
        </w:r>
        <w:r w:rsidRPr="00632E64">
          <w:rPr>
            <w:rStyle w:val="Hyperlink"/>
          </w:rPr>
          <w:t>2</w:t>
        </w:r>
        <w:r w:rsidRPr="00632E64">
          <w:rPr>
            <w:rStyle w:val="Hyperlink"/>
          </w:rPr>
          <w:t>07064</w:t>
        </w:r>
      </w:hyperlink>
      <w:r w:rsidR="00632E64">
        <w:t xml:space="preserve"> </w:t>
      </w:r>
      <w:r>
        <w:t>) identified five concurrent domains of symbolic coordination failure and issued forward watch conditions under Section 10.3. Forty-six days later, two of those conditions have been confirmed by documented events, reaching the threshold that Paper 44 defined as indicative of window compression. This paper proceeds in three stages, with explicit evidentiary discipline at each stage.</w:t>
      </w:r>
    </w:p>
    <w:p w14:paraId="2C2B3CA2" w14:textId="77777777" w:rsidR="00C23162" w:rsidRDefault="00000000">
      <w:pPr>
        <w:spacing w:before="120" w:after="120" w:line="276" w:lineRule="auto"/>
        <w:jc w:val="both"/>
      </w:pPr>
      <w:r>
        <w:t>Stage one documents what is confirmed: specific, dated, publicly verifiable events that match Paper 44 forward watch conditions. Stage two introduces Manufactured Consent Architecture (MCA) as a structural inference — a theoretical extension that the confirmed signals are consistent with, but which requires further evidentiary development. Stage three frames the FEMA restructuring and executive power consolidation trajectory as a forward watch prediction, not a confirmed fact, with explicit falsifiability conditions.</w:t>
      </w:r>
    </w:p>
    <w:p w14:paraId="11C1CAFA" w14:textId="77777777" w:rsidR="00C23162" w:rsidRDefault="00000000">
      <w:pPr>
        <w:spacing w:before="120" w:after="120" w:line="276" w:lineRule="auto"/>
        <w:jc w:val="both"/>
      </w:pPr>
      <w:r>
        <w:t>The distinction between confirmed signal, structural inference, and forward watch prediction is not an academic nicety. It is the evidentiary standard that separates DSSM analysis from speculative commentary. This paper holds that standard throughout.</w:t>
      </w:r>
    </w:p>
    <w:p w14:paraId="52948E2B" w14:textId="77777777" w:rsidR="00C23162" w:rsidRDefault="00000000">
      <w:pPr>
        <w:pStyle w:val="Heading1"/>
      </w:pPr>
      <w:r>
        <w:t>I. Evidentiary Framework: Three Tiers</w:t>
      </w:r>
    </w:p>
    <w:p w14:paraId="281EEE0D" w14:textId="77777777" w:rsidR="00C23162" w:rsidRDefault="00000000">
      <w:pPr>
        <w:spacing w:before="120" w:after="120" w:line="276" w:lineRule="auto"/>
        <w:jc w:val="both"/>
      </w:pPr>
      <w:r>
        <w:t>This paper applies a three-tier evidentiary framework to all claims. Every analytical statement in the paper is assigned to one of these tiers explicitly.</w:t>
      </w:r>
    </w:p>
    <w:p w14:paraId="459F27D0" w14:textId="77777777" w:rsidR="00C23162" w:rsidRDefault="00C2316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4200"/>
        <w:gridCol w:w="3360"/>
      </w:tblGrid>
      <w:tr w:rsidR="00C23162" w14:paraId="66D53F87" w14:textId="77777777">
        <w:tblPrEx>
          <w:tblCellMar>
            <w:top w:w="0" w:type="dxa"/>
            <w:bottom w:w="0" w:type="dxa"/>
          </w:tblCellMar>
        </w:tblPrEx>
        <w:tc>
          <w:tcPr>
            <w:tcW w:w="18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05C72E28" w14:textId="77777777" w:rsidR="00C23162" w:rsidRDefault="00000000" w:rsidP="00177886">
            <w:pPr>
              <w:jc w:val="center"/>
            </w:pPr>
            <w:r>
              <w:rPr>
                <w:b/>
                <w:bCs/>
                <w:color w:val="FFFFFF"/>
                <w:sz w:val="20"/>
                <w:szCs w:val="20"/>
              </w:rPr>
              <w:lastRenderedPageBreak/>
              <w:t>Tier</w:t>
            </w:r>
          </w:p>
        </w:tc>
        <w:tc>
          <w:tcPr>
            <w:tcW w:w="42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454274F8" w14:textId="77777777" w:rsidR="00C23162" w:rsidRDefault="00000000" w:rsidP="00177886">
            <w:pPr>
              <w:jc w:val="center"/>
            </w:pPr>
            <w:r>
              <w:rPr>
                <w:b/>
                <w:bCs/>
                <w:color w:val="FFFFFF"/>
                <w:sz w:val="20"/>
                <w:szCs w:val="20"/>
              </w:rPr>
              <w:t>Definition</w:t>
            </w:r>
          </w:p>
        </w:tc>
        <w:tc>
          <w:tcPr>
            <w:tcW w:w="336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218E3007" w14:textId="77777777" w:rsidR="00C23162" w:rsidRDefault="00000000" w:rsidP="00177886">
            <w:pPr>
              <w:jc w:val="center"/>
            </w:pPr>
            <w:r>
              <w:rPr>
                <w:b/>
                <w:bCs/>
                <w:color w:val="FFFFFF"/>
                <w:sz w:val="20"/>
                <w:szCs w:val="20"/>
              </w:rPr>
              <w:t>Standard</w:t>
            </w:r>
          </w:p>
        </w:tc>
      </w:tr>
      <w:tr w:rsidR="00C23162" w14:paraId="31E0AB2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DF306B8" w14:textId="77777777" w:rsidR="00C23162" w:rsidRDefault="00000000" w:rsidP="00177886">
            <w:pPr>
              <w:jc w:val="center"/>
            </w:pPr>
            <w:r>
              <w:rPr>
                <w:color w:val="000000"/>
                <w:sz w:val="20"/>
                <w:szCs w:val="20"/>
              </w:rPr>
              <w:t>CONFIRMED</w:t>
            </w:r>
          </w:p>
        </w:tc>
        <w:tc>
          <w:tcPr>
            <w:tcW w:w="42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F55912C" w14:textId="77777777" w:rsidR="00C23162" w:rsidRDefault="00000000" w:rsidP="00177886">
            <w:pPr>
              <w:jc w:val="center"/>
            </w:pPr>
            <w:r>
              <w:rPr>
                <w:color w:val="000000"/>
                <w:sz w:val="20"/>
                <w:szCs w:val="20"/>
              </w:rPr>
              <w:t>Specific, dated, publicly documented event matching a prior forward watch condition</w:t>
            </w:r>
          </w:p>
        </w:tc>
        <w:tc>
          <w:tcPr>
            <w:tcW w:w="336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0AEEDAB" w14:textId="77777777" w:rsidR="00C23162" w:rsidRDefault="00000000" w:rsidP="00177886">
            <w:pPr>
              <w:jc w:val="center"/>
            </w:pPr>
            <w:r>
              <w:rPr>
                <w:color w:val="000000"/>
                <w:sz w:val="20"/>
                <w:szCs w:val="20"/>
              </w:rPr>
              <w:t>Citation to primary source; no interpretive extension required</w:t>
            </w:r>
          </w:p>
        </w:tc>
      </w:tr>
      <w:tr w:rsidR="00C23162" w14:paraId="7A7CFFB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132F45" w14:textId="77777777" w:rsidR="00C23162" w:rsidRDefault="00000000" w:rsidP="00177886">
            <w:pPr>
              <w:jc w:val="center"/>
            </w:pPr>
            <w:r>
              <w:rPr>
                <w:color w:val="000000"/>
                <w:sz w:val="20"/>
                <w:szCs w:val="20"/>
              </w:rPr>
              <w:t>STRUCTURAL INFERENCE</w:t>
            </w:r>
          </w:p>
        </w:tc>
        <w:tc>
          <w:tcPr>
            <w:tcW w:w="4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20928B4" w14:textId="77777777" w:rsidR="00C23162" w:rsidRDefault="00000000" w:rsidP="00177886">
            <w:pPr>
              <w:jc w:val="center"/>
            </w:pPr>
            <w:r>
              <w:rPr>
                <w:color w:val="000000"/>
                <w:sz w:val="20"/>
                <w:szCs w:val="20"/>
              </w:rPr>
              <w:t>Theoretical framework consistent with confirmed signals; plausible but requires additional evidence</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6B7BE7" w14:textId="77777777" w:rsidR="00C23162" w:rsidRDefault="00000000" w:rsidP="00177886">
            <w:pPr>
              <w:jc w:val="center"/>
            </w:pPr>
            <w:r>
              <w:rPr>
                <w:color w:val="000000"/>
                <w:sz w:val="20"/>
                <w:szCs w:val="20"/>
              </w:rPr>
              <w:t>Explicitly flagged; alternative explanations registered; falsifiability conditions stated</w:t>
            </w:r>
          </w:p>
        </w:tc>
      </w:tr>
      <w:tr w:rsidR="00C23162" w14:paraId="55491BB9"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86B1587" w14:textId="77777777" w:rsidR="00C23162" w:rsidRDefault="00000000" w:rsidP="00177886">
            <w:pPr>
              <w:jc w:val="center"/>
            </w:pPr>
            <w:r>
              <w:rPr>
                <w:color w:val="000000"/>
                <w:sz w:val="20"/>
                <w:szCs w:val="20"/>
              </w:rPr>
              <w:t>FORWARD WATCH</w:t>
            </w:r>
          </w:p>
        </w:tc>
        <w:tc>
          <w:tcPr>
            <w:tcW w:w="42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F25B43C" w14:textId="77777777" w:rsidR="00C23162" w:rsidRDefault="00000000" w:rsidP="00177886">
            <w:pPr>
              <w:jc w:val="center"/>
            </w:pPr>
            <w:r>
              <w:rPr>
                <w:color w:val="000000"/>
                <w:sz w:val="20"/>
                <w:szCs w:val="20"/>
              </w:rPr>
              <w:t>Predicted condition not yet confirmed; constitutes a testable claim for Cycle 4</w:t>
            </w:r>
          </w:p>
        </w:tc>
        <w:tc>
          <w:tcPr>
            <w:tcW w:w="336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480339E" w14:textId="77777777" w:rsidR="00C23162" w:rsidRDefault="00000000" w:rsidP="00177886">
            <w:pPr>
              <w:jc w:val="center"/>
            </w:pPr>
            <w:r>
              <w:rPr>
                <w:color w:val="000000"/>
                <w:sz w:val="20"/>
                <w:szCs w:val="20"/>
              </w:rPr>
              <w:t>Explicit prediction with confirmation criteria and window impact if confirmed</w:t>
            </w:r>
          </w:p>
        </w:tc>
      </w:tr>
    </w:tbl>
    <w:p w14:paraId="70B9748D" w14:textId="77777777" w:rsidR="00C23162" w:rsidRDefault="00C23162"/>
    <w:p w14:paraId="15B93817" w14:textId="77777777" w:rsidR="00C23162" w:rsidRDefault="00000000">
      <w:pPr>
        <w:spacing w:before="120" w:after="120" w:line="276" w:lineRule="auto"/>
        <w:jc w:val="both"/>
      </w:pPr>
      <w:r>
        <w:t>Failure to distinguish these tiers is the primary mechanism by which structural analysis collapses into conspiracy theory. Conspiracy theory treats inference as confirmation and prediction as established fact. DSSM analysis treats them as three distinct operations with different epistemic weights. All three are necessary; conflating them invalidates the framework.</w:t>
      </w:r>
    </w:p>
    <w:p w14:paraId="7DA98F5C" w14:textId="77777777" w:rsidR="00C23162" w:rsidRDefault="00000000">
      <w:pPr>
        <w:pStyle w:val="Heading1"/>
      </w:pPr>
      <w:r>
        <w:t>II. Confirmed Signals: What the Evidence Shows</w:t>
      </w:r>
    </w:p>
    <w:p w14:paraId="6CEDC7C9" w14:textId="77777777" w:rsidR="00C23162" w:rsidRDefault="00000000">
      <w:pPr>
        <w:spacing w:before="120" w:after="120" w:line="276" w:lineRule="auto"/>
        <w:jc w:val="both"/>
      </w:pPr>
      <w:r>
        <w:t>The following events are confirmed against Paper 44's forward watch conditions. All are documented with primary or major secondary sources and dated. No interpretive extension is applied in this section.</w:t>
      </w:r>
    </w:p>
    <w:p w14:paraId="79166486" w14:textId="77777777" w:rsidR="00C23162" w:rsidRDefault="00000000">
      <w:pPr>
        <w:pStyle w:val="Heading2"/>
      </w:pPr>
      <w:r>
        <w:t>2.1 Hormuz: Below-Threshold Institutional Response — CONFIRMED</w:t>
      </w:r>
    </w:p>
    <w:p w14:paraId="6B1B6848" w14:textId="77777777" w:rsidR="00C23162" w:rsidRDefault="00000000">
      <w:pPr>
        <w:spacing w:before="120" w:after="120" w:line="276" w:lineRule="auto"/>
        <w:jc w:val="both"/>
      </w:pPr>
      <w:r>
        <w:t>Paper 44, Section 10.3 forward watch: 'Any military action affecting energy infrastructure producing less than the predicted institutional response.'</w:t>
      </w:r>
    </w:p>
    <w:p w14:paraId="157C78E3" w14:textId="77777777" w:rsidR="00C23162" w:rsidRDefault="00000000">
      <w:pPr>
        <w:spacing w:before="120" w:after="120" w:line="276" w:lineRule="auto"/>
        <w:jc w:val="both"/>
      </w:pPr>
      <w:r>
        <w:t>Confirmed: Kinetic engagement at or near the Strait of Hormuz has occurred without activation of the UN Security Council authorization mechanism, without formation of a multinational military response coalition, and without the diplomatic protocol activation that the post-1945 institutional order was designed to trigger. The institutional response has been below the threshold that Paper 44's energy infrastructure analysis (SRF 7.8/10, threshold crossed) predicted would constitute adequate symbolic reinforcement. This is a confirmed forward watch hit.</w:t>
      </w:r>
    </w:p>
    <w:p w14:paraId="63365123" w14:textId="77777777" w:rsidR="00C23162" w:rsidRDefault="00000000">
      <w:pPr>
        <w:pStyle w:val="Heading2"/>
      </w:pPr>
      <w:r>
        <w:t>2.2 Hantavirus: Concurrent Biological Stress Signal — CONFIRMED</w:t>
      </w:r>
    </w:p>
    <w:p w14:paraId="35D3A028" w14:textId="77777777" w:rsidR="00C23162" w:rsidRDefault="00000000">
      <w:pPr>
        <w:spacing w:before="120" w:after="120" w:line="276" w:lineRule="auto"/>
        <w:jc w:val="both"/>
      </w:pPr>
      <w:r>
        <w:t xml:space="preserve">Paper 44 did not name hantavirus specifically. The forward watch condition for concurrent biological threat emergence as a domain stress signal is structurally met. Confirmed as of May 9, 2026: the MV </w:t>
      </w:r>
      <w:proofErr w:type="spellStart"/>
      <w:r>
        <w:t>Hondius</w:t>
      </w:r>
      <w:proofErr w:type="spellEnd"/>
      <w:r>
        <w:t xml:space="preserve"> cruise ship departed Ushuaia, Argentina on April 1, 2026, traveling across the South Atlantic including Antarctica, South Georgia, Tristan da Cunha, Saint Helena, and Ascension Island. WHO confirmed the pathogen as Andes virus on May 6 — the only known hantavirus with documented human-to-human transmission. As of May 8: 8 cases (6 confirmed, 2 suspected), 3 deaths, patients hospitalized across six countries. CDC declared a Level 3 emergency response — its lowest tier, meaning active monitoring with Emergency Operations Centers </w:t>
      </w:r>
      <w:r>
        <w:lastRenderedPageBreak/>
        <w:t>activated — on May 8, the same day as the UAP release and concurrent with the Hormuz engagement. WHO assessed epidemic risk as low. The significance for this analysis is not the severity of the outbreak but its timing: a genuine biological threat signal activating institutional authority simultaneously with two other high-stimulation domain events.</w:t>
      </w:r>
    </w:p>
    <w:p w14:paraId="12B3DC5A" w14:textId="77777777" w:rsidR="00C23162" w:rsidRDefault="00C23162"/>
    <w:p w14:paraId="1919168E" w14:textId="77777777" w:rsidR="00C23162" w:rsidRDefault="00000000">
      <w:pPr>
        <w:spacing w:before="120" w:after="120" w:line="276" w:lineRule="auto"/>
        <w:jc w:val="both"/>
      </w:pPr>
      <w:r>
        <w:t>The hantavirus outbreak is a genuine low-severity public health event. Its analytical weight in this paper derives from its concurrent timing, not its magnitude — a real biological threat activating institutional response language within a 48-hour window already carrying Hormuz and UAP signals.</w:t>
      </w:r>
    </w:p>
    <w:p w14:paraId="7282FF5A" w14:textId="77777777" w:rsidR="00C23162" w:rsidRDefault="00000000">
      <w:pPr>
        <w:pStyle w:val="Heading2"/>
      </w:pPr>
      <w:r>
        <w:t>2.3 UAP Release: Spectacle Deployment — CONFIRMED</w:t>
      </w:r>
    </w:p>
    <w:p w14:paraId="268B219F" w14:textId="77777777" w:rsidR="00C23162" w:rsidRDefault="00000000">
      <w:pPr>
        <w:spacing w:before="120" w:after="120" w:line="276" w:lineRule="auto"/>
        <w:jc w:val="both"/>
      </w:pPr>
      <w:r>
        <w:t>Paper 44, P3 (Prevent Symbolic Monopoly): The warning against conscription of non-governance systems as governance substitutes.</w:t>
      </w:r>
    </w:p>
    <w:p w14:paraId="4295A941" w14:textId="77777777" w:rsidR="00C23162" w:rsidRDefault="00000000">
      <w:pPr>
        <w:spacing w:before="120" w:after="120" w:line="276" w:lineRule="auto"/>
        <w:jc w:val="both"/>
      </w:pPr>
      <w:r>
        <w:t>Confirmed: The Pentagon released 162 UAP files on May 8, 2026 — the day concurrent with the Hormuz engagement and hantavirus CDC Level 3 declaration. The release included files from FBI, DoD, NASA, and State Department, some dating to the late 1940s. 108 of 162 files contained redactions. Former Pentagon UAP office director Sean Kirkpatrick stated publicly on the day of release that the files contained 'nothing unexpected' and would 'only serve to fuel more speculation, conspiracy and arm-chair pseudoscience.' The FEMA Review Council also released its final restructuring report on May 7, 2026. All four events — Hormuz, hantavirus Level 3, UAP release, FEMA report — occurred within a 48-hour window.</w:t>
      </w:r>
    </w:p>
    <w:p w14:paraId="028AE9F3" w14:textId="77777777" w:rsidR="00C23162" w:rsidRDefault="00000000">
      <w:pPr>
        <w:pStyle w:val="Heading2"/>
      </w:pPr>
      <w:r>
        <w:t>2.4 FEMA: Operational Degradation and Restructuring — CONFIRMED</w:t>
      </w:r>
    </w:p>
    <w:p w14:paraId="263DBFC2" w14:textId="77777777" w:rsidR="00C23162" w:rsidRDefault="00000000">
      <w:pPr>
        <w:spacing w:before="120" w:after="120" w:line="276" w:lineRule="auto"/>
        <w:jc w:val="both"/>
      </w:pPr>
      <w:r>
        <w:t xml:space="preserve">Three executive orders confirm a sustained FEMA restructuring trajectory: EO 14180 (January 24, 2025) established the FEMA Review Council; EO 14378 (January 23, 2026) extended it through March 2026; a further extension on March 24, </w:t>
      </w:r>
      <w:proofErr w:type="gramStart"/>
      <w:r>
        <w:t>2026</w:t>
      </w:r>
      <w:proofErr w:type="gramEnd"/>
      <w:r>
        <w:t xml:space="preserve"> ran it through May 29, 2026. On May 7, 2026 — one day before the UAP release — the Council released its final 89-page report recommending sweeping overhaul: shifting emergency response leadership to states, introducing parametric disaster assistance triggers, and reducing federal preparedness spending. The report stops short of elimination; only Congress can fully eliminate FEMA. New DHS Secretary Mullin committed to restructuring. Confirmed operational degradation: more than a dozen senior FEMA officials resigned since January 2025; the agency has operated without a permanent administrator throughout this period; preparedness spending has been cut. Trump threatened to invoke the Insurrection Act in January 2026 over Minneapolis ICE protests; as of May 9, 2026, it has not been invoked. The structural significance of this trajectory is developed in Section III as inference, not as confirmed fact.</w:t>
      </w:r>
    </w:p>
    <w:p w14:paraId="29F23CF6" w14:textId="77777777" w:rsidR="00C23162" w:rsidRDefault="00000000">
      <w:pPr>
        <w:pStyle w:val="Heading1"/>
      </w:pPr>
      <w:r>
        <w:t>III. Structural Inference: Manufactured Consent Architecture</w:t>
      </w:r>
    </w:p>
    <w:p w14:paraId="4D197EC9" w14:textId="77777777" w:rsidR="00C23162" w:rsidRDefault="00000000">
      <w:pPr>
        <w:spacing w:before="120" w:after="120" w:line="276" w:lineRule="auto"/>
        <w:jc w:val="both"/>
      </w:pPr>
      <w:r>
        <w:lastRenderedPageBreak/>
        <w:t>The following analysis is explicitly flagged as structural inference — a theoretical framework that the confirmed signals are consistent with, but which is not established by the confirmed signals alone. Alternative explanations are registered. Falsifiability conditions are stated.</w:t>
      </w:r>
    </w:p>
    <w:p w14:paraId="6621C18E" w14:textId="77777777" w:rsidR="00C23162" w:rsidRDefault="00000000">
      <w:pPr>
        <w:pStyle w:val="Heading2"/>
      </w:pPr>
      <w:r>
        <w:t>3.1 The MCA Framework</w:t>
      </w:r>
    </w:p>
    <w:p w14:paraId="380B4AF0" w14:textId="77777777" w:rsidR="00C23162" w:rsidRDefault="00000000">
      <w:pPr>
        <w:spacing w:before="120" w:after="120" w:line="276" w:lineRule="auto"/>
        <w:jc w:val="both"/>
      </w:pPr>
      <w:r>
        <w:t>Manufactured Consent Architecture (MCA) is a structural pattern, not a conspiracy. It does not require coordinated planning. It describes the emergent output of multiple actors whose independent rational strategies produce the same systemic effect: populations being engineered into requesting the very control mechanisms that would otherwise require coercive imposition.</w:t>
      </w:r>
    </w:p>
    <w:p w14:paraId="2446B7AD" w14:textId="77777777" w:rsidR="00C23162" w:rsidRDefault="00000000">
      <w:pPr>
        <w:spacing w:before="120" w:after="120" w:line="276" w:lineRule="auto"/>
        <w:jc w:val="both"/>
      </w:pPr>
      <w:r>
        <w:t xml:space="preserve">MCA operates through four concurrent mechanisms. The confirmed signals of the May 8, </w:t>
      </w:r>
      <w:proofErr w:type="gramStart"/>
      <w:r>
        <w:t>2026</w:t>
      </w:r>
      <w:proofErr w:type="gramEnd"/>
      <w:r>
        <w:t xml:space="preserve"> window are consistent with all four:</w:t>
      </w:r>
    </w:p>
    <w:p w14:paraId="48011D32" w14:textId="77777777" w:rsidR="00C23162" w:rsidRDefault="00C2316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2200"/>
        <w:gridCol w:w="2580"/>
        <w:gridCol w:w="2580"/>
      </w:tblGrid>
      <w:tr w:rsidR="00C23162" w14:paraId="0DDC9D61" w14:textId="77777777">
        <w:tblPrEx>
          <w:tblCellMar>
            <w:top w:w="0" w:type="dxa"/>
            <w:bottom w:w="0" w:type="dxa"/>
          </w:tblCellMar>
        </w:tblPrEx>
        <w:tc>
          <w:tcPr>
            <w:tcW w:w="20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6DC9ED97" w14:textId="77777777" w:rsidR="00C23162" w:rsidRDefault="00000000" w:rsidP="00177886">
            <w:pPr>
              <w:jc w:val="center"/>
            </w:pPr>
            <w:r>
              <w:rPr>
                <w:b/>
                <w:bCs/>
                <w:color w:val="FFFFFF"/>
                <w:sz w:val="20"/>
                <w:szCs w:val="20"/>
              </w:rPr>
              <w:t>Mechanism</w:t>
            </w:r>
          </w:p>
        </w:tc>
        <w:tc>
          <w:tcPr>
            <w:tcW w:w="22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76AC9F4E" w14:textId="77777777" w:rsidR="00C23162" w:rsidRDefault="00000000" w:rsidP="00177886">
            <w:pPr>
              <w:jc w:val="center"/>
            </w:pPr>
            <w:r>
              <w:rPr>
                <w:b/>
                <w:bCs/>
                <w:color w:val="FFFFFF"/>
                <w:sz w:val="20"/>
                <w:szCs w:val="20"/>
              </w:rPr>
              <w:t>Confirmed Signal</w:t>
            </w:r>
          </w:p>
        </w:tc>
        <w:tc>
          <w:tcPr>
            <w:tcW w:w="258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5768714A" w14:textId="77777777" w:rsidR="00C23162" w:rsidRDefault="00000000" w:rsidP="00177886">
            <w:pPr>
              <w:jc w:val="center"/>
            </w:pPr>
            <w:r>
              <w:rPr>
                <w:b/>
                <w:bCs/>
                <w:color w:val="FFFFFF"/>
                <w:sz w:val="20"/>
                <w:szCs w:val="20"/>
              </w:rPr>
              <w:t>MCA-Consistent Reading</w:t>
            </w:r>
          </w:p>
        </w:tc>
        <w:tc>
          <w:tcPr>
            <w:tcW w:w="258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5CCF0AC2" w14:textId="77777777" w:rsidR="00C23162" w:rsidRDefault="00000000" w:rsidP="00177886">
            <w:pPr>
              <w:jc w:val="center"/>
            </w:pPr>
            <w:r>
              <w:rPr>
                <w:b/>
                <w:bCs/>
                <w:color w:val="FFFFFF"/>
                <w:sz w:val="20"/>
                <w:szCs w:val="20"/>
              </w:rPr>
              <w:t>Alternative Reading</w:t>
            </w:r>
          </w:p>
        </w:tc>
      </w:tr>
      <w:tr w:rsidR="00C23162" w14:paraId="4F67BA30"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38E511A" w14:textId="77777777" w:rsidR="00C23162" w:rsidRDefault="00000000" w:rsidP="00177886">
            <w:pPr>
              <w:jc w:val="center"/>
            </w:pPr>
            <w:r>
              <w:rPr>
                <w:color w:val="000000"/>
                <w:sz w:val="20"/>
                <w:szCs w:val="20"/>
              </w:rPr>
              <w:t>Attention Fragmentation</w:t>
            </w:r>
          </w:p>
        </w:tc>
        <w:tc>
          <w:tcPr>
            <w:tcW w:w="22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5CA3B7E" w14:textId="77777777" w:rsidR="00C23162" w:rsidRDefault="00000000" w:rsidP="00177886">
            <w:pPr>
              <w:jc w:val="center"/>
            </w:pPr>
            <w:r>
              <w:rPr>
                <w:color w:val="000000"/>
                <w:sz w:val="20"/>
                <w:szCs w:val="20"/>
              </w:rPr>
              <w:t>UAP release May 8, 162 files, concurrent with Hormuz and hantavirus</w:t>
            </w:r>
          </w:p>
        </w:tc>
        <w:tc>
          <w:tcPr>
            <w:tcW w:w="258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A5943F1" w14:textId="77777777" w:rsidR="00C23162" w:rsidRDefault="00000000" w:rsidP="00177886">
            <w:pPr>
              <w:jc w:val="center"/>
            </w:pPr>
            <w:r>
              <w:rPr>
                <w:color w:val="000000"/>
                <w:sz w:val="20"/>
                <w:szCs w:val="20"/>
              </w:rPr>
              <w:t>Spectacle deployed to prevent sustained geopolitical focus</w:t>
            </w:r>
          </w:p>
        </w:tc>
        <w:tc>
          <w:tcPr>
            <w:tcW w:w="258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6D902EFE" w14:textId="77777777" w:rsidR="00C23162" w:rsidRDefault="00000000" w:rsidP="00177886">
            <w:pPr>
              <w:jc w:val="center"/>
            </w:pPr>
            <w:r>
              <w:rPr>
                <w:color w:val="000000"/>
                <w:sz w:val="20"/>
                <w:szCs w:val="20"/>
              </w:rPr>
              <w:t>Scheduled transparency effort coincidentally concurrent with other events</w:t>
            </w:r>
          </w:p>
        </w:tc>
      </w:tr>
      <w:tr w:rsidR="00C23162" w14:paraId="1C3A46AA"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5E9D46" w14:textId="77777777" w:rsidR="00C23162" w:rsidRDefault="00000000" w:rsidP="00177886">
            <w:pPr>
              <w:jc w:val="center"/>
            </w:pPr>
            <w:r>
              <w:rPr>
                <w:color w:val="000000"/>
                <w:sz w:val="20"/>
                <w:szCs w:val="20"/>
              </w:rPr>
              <w:t>Biological Threat Activation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C47E78" w14:textId="77777777" w:rsidR="00C23162" w:rsidRDefault="00000000" w:rsidP="00177886">
            <w:pPr>
              <w:jc w:val="center"/>
            </w:pPr>
            <w:r>
              <w:rPr>
                <w:color w:val="000000"/>
                <w:sz w:val="20"/>
                <w:szCs w:val="20"/>
              </w:rPr>
              <w:t>Hantavirus CDC Level 3, May 8; genuine outbreak, low public risk</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34749F" w14:textId="77777777" w:rsidR="00C23162" w:rsidRDefault="00000000" w:rsidP="00177886">
            <w:pPr>
              <w:jc w:val="center"/>
            </w:pPr>
            <w:r>
              <w:rPr>
                <w:color w:val="000000"/>
                <w:sz w:val="20"/>
                <w:szCs w:val="20"/>
              </w:rPr>
              <w:t>Primes population for institutional authority acceptance</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56AC5FC" w14:textId="77777777" w:rsidR="00C23162" w:rsidRDefault="00000000" w:rsidP="00177886">
            <w:pPr>
              <w:jc w:val="center"/>
            </w:pPr>
            <w:r>
              <w:rPr>
                <w:color w:val="000000"/>
                <w:sz w:val="20"/>
                <w:szCs w:val="20"/>
              </w:rPr>
              <w:t>Genuine low-severity public health response with no political dimension</w:t>
            </w:r>
          </w:p>
        </w:tc>
      </w:tr>
      <w:tr w:rsidR="00C23162" w14:paraId="0F13980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2B5B3D0" w14:textId="77777777" w:rsidR="00C23162" w:rsidRDefault="00000000" w:rsidP="00177886">
            <w:pPr>
              <w:jc w:val="center"/>
            </w:pPr>
            <w:r>
              <w:rPr>
                <w:color w:val="000000"/>
                <w:sz w:val="20"/>
                <w:szCs w:val="20"/>
              </w:rPr>
              <w:t>Geopolitical Demonstration</w:t>
            </w:r>
          </w:p>
        </w:tc>
        <w:tc>
          <w:tcPr>
            <w:tcW w:w="22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FBFF40E" w14:textId="77777777" w:rsidR="00C23162" w:rsidRDefault="00000000" w:rsidP="00177886">
            <w:pPr>
              <w:jc w:val="center"/>
            </w:pPr>
            <w:r>
              <w:rPr>
                <w:color w:val="000000"/>
                <w:sz w:val="20"/>
                <w:szCs w:val="20"/>
              </w:rPr>
              <w:t>Hormuz engagement without institutional response activation</w:t>
            </w:r>
          </w:p>
        </w:tc>
        <w:tc>
          <w:tcPr>
            <w:tcW w:w="258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202671F" w14:textId="77777777" w:rsidR="00C23162" w:rsidRDefault="00000000" w:rsidP="00177886">
            <w:pPr>
              <w:jc w:val="center"/>
            </w:pPr>
            <w:r>
              <w:rPr>
                <w:color w:val="000000"/>
                <w:sz w:val="20"/>
                <w:szCs w:val="20"/>
              </w:rPr>
              <w:t>Demonstrates controlled power; rewrites leverage grammar</w:t>
            </w:r>
          </w:p>
        </w:tc>
        <w:tc>
          <w:tcPr>
            <w:tcW w:w="258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13AFD48" w14:textId="77777777" w:rsidR="00C23162" w:rsidRDefault="00000000" w:rsidP="00177886">
            <w:pPr>
              <w:jc w:val="center"/>
            </w:pPr>
            <w:r>
              <w:rPr>
                <w:color w:val="000000"/>
                <w:sz w:val="20"/>
                <w:szCs w:val="20"/>
              </w:rPr>
              <w:t>Conventional military-geopolitical escalation without systemic significance</w:t>
            </w:r>
          </w:p>
        </w:tc>
      </w:tr>
      <w:tr w:rsidR="00C23162" w14:paraId="550B2C53" w14:textId="77777777">
        <w:tblPrEx>
          <w:tblCellMar>
            <w:top w:w="0" w:type="dxa"/>
            <w:bottom w:w="0" w:type="dxa"/>
          </w:tblCellMar>
        </w:tblPrEx>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BB714B" w14:textId="77777777" w:rsidR="00C23162" w:rsidRDefault="00000000" w:rsidP="00177886">
            <w:pPr>
              <w:jc w:val="center"/>
            </w:pPr>
            <w:r>
              <w:rPr>
                <w:color w:val="000000"/>
                <w:sz w:val="20"/>
                <w:szCs w:val="20"/>
              </w:rPr>
              <w:t>Institutional Restructuring</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F65205" w14:textId="77777777" w:rsidR="00C23162" w:rsidRDefault="00000000" w:rsidP="00177886">
            <w:pPr>
              <w:jc w:val="center"/>
            </w:pPr>
            <w:r>
              <w:rPr>
                <w:color w:val="000000"/>
                <w:sz w:val="20"/>
                <w:szCs w:val="20"/>
              </w:rPr>
              <w:t>FEMA report May 7; devolution to states; operational degradation</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B54262" w14:textId="77777777" w:rsidR="00C23162" w:rsidRDefault="00000000" w:rsidP="00177886">
            <w:pPr>
              <w:jc w:val="center"/>
            </w:pPr>
            <w:r>
              <w:rPr>
                <w:color w:val="000000"/>
                <w:sz w:val="20"/>
                <w:szCs w:val="20"/>
              </w:rPr>
              <w:t>Hollowing of disaster response infrastructure ahead of future emergency</w:t>
            </w:r>
          </w:p>
        </w:tc>
        <w:tc>
          <w:tcPr>
            <w:tcW w:w="2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C0AF20" w14:textId="77777777" w:rsidR="00C23162" w:rsidRDefault="00000000" w:rsidP="00177886">
            <w:pPr>
              <w:jc w:val="center"/>
            </w:pPr>
            <w:r>
              <w:rPr>
                <w:color w:val="000000"/>
                <w:sz w:val="20"/>
                <w:szCs w:val="20"/>
              </w:rPr>
              <w:t>Genuine efficiency reform motivated by fiscal and operational concerns</w:t>
            </w:r>
          </w:p>
        </w:tc>
      </w:tr>
    </w:tbl>
    <w:p w14:paraId="28B053DB" w14:textId="77777777" w:rsidR="00C23162" w:rsidRDefault="00C23162"/>
    <w:p w14:paraId="0F8DBB06" w14:textId="77777777" w:rsidR="00C23162" w:rsidRDefault="00000000">
      <w:pPr>
        <w:spacing w:before="120" w:after="120" w:line="276" w:lineRule="auto"/>
        <w:jc w:val="both"/>
      </w:pPr>
      <w:r>
        <w:t>The MCA reading is structurally coherent and consistent with the confirmed signals. It is not the only coherent reading. The alternative explanations in the table above are each independently plausible. The DSSM position is that the MCA framework is worth holding as a structural hypothesis because it generates testable predictions — specifically, the forward watch conditions in Section V — that can confirm or disconfirm it in the Cycle 4 window.</w:t>
      </w:r>
    </w:p>
    <w:p w14:paraId="4B4C8D13" w14:textId="77777777" w:rsidR="00C23162" w:rsidRDefault="00000000">
      <w:pPr>
        <w:spacing w:before="120" w:after="120" w:line="276" w:lineRule="auto"/>
        <w:jc w:val="both"/>
      </w:pPr>
      <w:r>
        <w:t>The critical distinction between MCA and conspiracy theory: MCA does not require intent. A government that simultaneously releases UAP files, restructures its disaster agency, and faces a biological threat is not necessarily orchestrating anything. It may simply be operating in a high-stress environment where multiple institutional pressures produce MCA-compatible outputs as emergent byproducts. The evidentiary question is whether the outputs are consistent with MCA regardless of intent — and they are.</w:t>
      </w:r>
    </w:p>
    <w:p w14:paraId="52CCFF12" w14:textId="77777777" w:rsidR="00C23162" w:rsidRDefault="00000000">
      <w:pPr>
        <w:pStyle w:val="Heading2"/>
      </w:pPr>
      <w:r>
        <w:lastRenderedPageBreak/>
        <w:t>3.2 The Consent Mechanism</w:t>
      </w:r>
    </w:p>
    <w:p w14:paraId="1D624855" w14:textId="77777777" w:rsidR="00C23162" w:rsidRDefault="00000000">
      <w:pPr>
        <w:spacing w:before="120" w:after="120" w:line="276" w:lineRule="auto"/>
        <w:jc w:val="both"/>
      </w:pPr>
      <w:r>
        <w:t>The structural logic of MCA — regardless of whether it is coordinated or emergent — produces the same population dynamic. When attention is fragmented across simultaneously high-stimulation domains (UAP, biological threat, geopolitical crisis), no single domain accumulates the sustained focus required to generate organized response. The population experiences each domain as real and threatening but none as actionable. This is the precondition for consent to centralized management: not active support for control, but exhaustion of alternatives.</w:t>
      </w:r>
    </w:p>
    <w:p w14:paraId="5E7DA2D8" w14:textId="77777777" w:rsidR="00C23162" w:rsidRDefault="00000000">
      <w:pPr>
        <w:spacing w:before="120" w:after="120" w:line="276" w:lineRule="auto"/>
        <w:jc w:val="both"/>
      </w:pPr>
      <w:r>
        <w:t>The FEMA devolution trajectory adds a specific structural dimension. Shifting emergency response to states while simultaneously degrading federal preparedness capacity creates a vacuum — not a power consolidation, but an absence. Vacuums in emergency governance are historically filled by whoever can demonstrate capacity during a crisis event. If a major disaster occurs during a period of degraded FEMA capacity and state-level unpreparedness, the resulting chaos creates conditions under which emergency executive action is not imposed but requested. This is the MCA mechanism applied to disaster governance: not martial law declared, but emergency authority arrived at.</w:t>
      </w:r>
    </w:p>
    <w:p w14:paraId="14DD1AA1" w14:textId="77777777" w:rsidR="00C23162" w:rsidRDefault="00000000">
      <w:pPr>
        <w:spacing w:before="120" w:after="120" w:line="276" w:lineRule="auto"/>
        <w:jc w:val="both"/>
      </w:pPr>
      <w:r>
        <w:t>This is a structural inference. It requires a triggering disaster event to become operative. Without such an event, the FEMA restructuring may simply be an administrative reorganization with no MCA dimension.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23162" w14:paraId="726529C3" w14:textId="77777777">
        <w:tblPrEx>
          <w:tblCellMar>
            <w:top w:w="0" w:type="dxa"/>
            <w:bottom w:w="0" w:type="dxa"/>
          </w:tblCellMar>
        </w:tblPrEx>
        <w:tc>
          <w:tcPr>
            <w:tcW w:w="9360" w:type="dxa"/>
            <w:tcBorders>
              <w:top w:val="single" w:sz="1" w:space="0" w:color="2E4057"/>
              <w:left w:val="single" w:sz="1" w:space="0" w:color="2E4057"/>
              <w:bottom w:val="single" w:sz="1" w:space="0" w:color="2E4057"/>
              <w:right w:val="single" w:sz="1" w:space="0" w:color="2E4057"/>
            </w:tcBorders>
            <w:shd w:val="clear" w:color="auto" w:fill="1A2A3A"/>
            <w:tcMar>
              <w:top w:w="80" w:type="dxa"/>
              <w:left w:w="160" w:type="dxa"/>
              <w:bottom w:w="80" w:type="dxa"/>
              <w:right w:w="160" w:type="dxa"/>
            </w:tcMar>
          </w:tcPr>
          <w:p w14:paraId="01534405" w14:textId="77777777" w:rsidR="00C23162" w:rsidRDefault="00000000">
            <w:r>
              <w:rPr>
                <w:b/>
                <w:bCs/>
                <w:color w:val="C9A84C"/>
                <w:sz w:val="20"/>
                <w:szCs w:val="20"/>
              </w:rPr>
              <w:t xml:space="preserve">OSIRIS — HISTORICAL </w:t>
            </w:r>
            <w:proofErr w:type="gramStart"/>
            <w:r>
              <w:rPr>
                <w:b/>
                <w:bCs/>
                <w:color w:val="C9A84C"/>
                <w:sz w:val="20"/>
                <w:szCs w:val="20"/>
              </w:rPr>
              <w:t>ANALOGUE  |</w:t>
            </w:r>
            <w:proofErr w:type="gramEnd"/>
            <w:r>
              <w:rPr>
                <w:b/>
                <w:bCs/>
                <w:color w:val="C9A84C"/>
                <w:sz w:val="20"/>
                <w:szCs w:val="20"/>
              </w:rPr>
              <w:t xml:space="preserve">  Roman Principate Transition, 44–27 BCE</w:t>
            </w:r>
          </w:p>
        </w:tc>
      </w:tr>
      <w:tr w:rsidR="00C23162" w14:paraId="544B779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5F0E8"/>
            <w:tcMar>
              <w:top w:w="100" w:type="dxa"/>
              <w:left w:w="160" w:type="dxa"/>
              <w:bottom w:w="100" w:type="dxa"/>
              <w:right w:w="160" w:type="dxa"/>
            </w:tcMar>
          </w:tcPr>
          <w:p w14:paraId="2E0015A7" w14:textId="77777777" w:rsidR="00C23162" w:rsidRDefault="00000000">
            <w:pPr>
              <w:jc w:val="both"/>
            </w:pPr>
            <w:r>
              <w:rPr>
                <w:i/>
                <w:iCs/>
                <w:sz w:val="20"/>
                <w:szCs w:val="20"/>
              </w:rPr>
              <w:t>The transition from Republic to Principate did not occur through a single coup. It occurred through the accumulated normalization of emergency powers granted in response to genuine crises — civil war, external threat, institutional failure. Each grant was justified by real conditions. Each was framed as temporary. Each shifted the baseline of what executive authority looked like. By the time Augustus formalized the Principate, the symbolic architecture of Republican governance remained nominally intact while the operating reality had been fundamentally rewritten. The population did not experience this as the end of the Republic. They experienced it as the restoration of order. The MCA parallel is structural, not predictive: the Roman case does not establish that the current trajectory leads to the same outcome. It establishes that the mechanism has historical precedent and that the absence of coercion does not preclude fundamental institutional rewriting.</w:t>
            </w:r>
          </w:p>
        </w:tc>
      </w:tr>
    </w:tbl>
    <w:p w14:paraId="6E38BAF8" w14:textId="77777777" w:rsidR="00C23162" w:rsidRDefault="00C23162"/>
    <w:p w14:paraId="11699C61" w14:textId="77777777" w:rsidR="00C23162" w:rsidRDefault="00000000">
      <w:pPr>
        <w:pStyle w:val="Heading1"/>
      </w:pPr>
      <w:r>
        <w:t>IV. The UAP Release as Symbolic Architecture</w:t>
      </w:r>
    </w:p>
    <w:p w14:paraId="1BA0F874" w14:textId="77777777" w:rsidR="00C23162" w:rsidRDefault="00000000">
      <w:pPr>
        <w:spacing w:before="120" w:after="120" w:line="276" w:lineRule="auto"/>
        <w:jc w:val="both"/>
      </w:pPr>
      <w:r>
        <w:t>The UAP release warrants specific analysis because it is the confirmed signal most directly consistent with the MCA attention fragmentation mechanism — and because it is also the signal most susceptible to over-interpretation.</w:t>
      </w:r>
    </w:p>
    <w:p w14:paraId="09682AFF" w14:textId="77777777" w:rsidR="00C23162" w:rsidRDefault="00000000">
      <w:pPr>
        <w:pStyle w:val="Heading2"/>
      </w:pPr>
      <w:r>
        <w:t>4.1 What the Release Confirms</w:t>
      </w:r>
    </w:p>
    <w:p w14:paraId="7C463C98" w14:textId="77777777" w:rsidR="00C23162" w:rsidRDefault="00000000">
      <w:pPr>
        <w:spacing w:before="120" w:after="120" w:line="276" w:lineRule="auto"/>
        <w:jc w:val="both"/>
      </w:pPr>
      <w:r>
        <w:t xml:space="preserve">The Pentagon released 162 files on May 8, 2026, concurrent with three other significant events. The former director of the Pentagon's UAP office publicly characterized the release as generating speculation rather than clarity, on the same day. 108 of 162 files were redacted. The release was </w:t>
      </w:r>
      <w:r>
        <w:lastRenderedPageBreak/>
        <w:t>framed explicitly as a transparency initiative while withholding substantial content. These are confirmed facts.</w:t>
      </w:r>
    </w:p>
    <w:p w14:paraId="2D8F89C2" w14:textId="77777777" w:rsidR="00C23162" w:rsidRDefault="00000000">
      <w:pPr>
        <w:spacing w:before="120" w:after="120" w:line="276" w:lineRule="auto"/>
        <w:jc w:val="both"/>
      </w:pPr>
      <w:r>
        <w:t>The structural function of the release — as an attention fragmentation instrument — is consistent with these facts. A release that generates maximum public engagement while conveying minimum actionable information, timed concurrently with genuinely significant geopolitical and public health events, performs the attention fragmentation function regardless of whether it was designed to do so.</w:t>
      </w:r>
    </w:p>
    <w:p w14:paraId="76A49896" w14:textId="77777777" w:rsidR="00C23162" w:rsidRDefault="00000000">
      <w:pPr>
        <w:pStyle w:val="Heading2"/>
      </w:pPr>
      <w:r>
        <w:t>4.2 What the Release Does Not Confirm</w:t>
      </w:r>
    </w:p>
    <w:p w14:paraId="237EACC7" w14:textId="77777777" w:rsidR="00C23162" w:rsidRDefault="00000000">
      <w:pPr>
        <w:spacing w:before="120" w:after="120" w:line="276" w:lineRule="auto"/>
        <w:jc w:val="both"/>
      </w:pPr>
      <w:r>
        <w:t>The release does not confirm that the Trump administration scheduled it to distract from Hormuz. It does not confirm that UAP disclosure is being used as a governance instrument in any planned sense. The timing may be coincidental. The evidentiary standard requires holding both readings simultaneously: the MCA-consistent reading (attention fragmentation deployed) and the alternative reading (scheduled transparency initiative with unfortunate timing).</w:t>
      </w:r>
    </w:p>
    <w:p w14:paraId="4DB7128D" w14:textId="77777777" w:rsidR="00C23162" w:rsidRDefault="00000000">
      <w:pPr>
        <w:spacing w:before="120" w:after="120" w:line="276" w:lineRule="auto"/>
        <w:jc w:val="both"/>
      </w:pPr>
      <w:r>
        <w:t>The forward watch condition that would move this from inference to confirmation is a pattern of repetition: a second major spectacle event deployed within 30 days of the next Hormuz escalation or domestic emergency declaration. A single concurrent event is consistent with coincidence. A pattern is not.</w:t>
      </w:r>
    </w:p>
    <w:p w14:paraId="034F9746" w14:textId="77777777" w:rsidR="00C23162" w:rsidRDefault="00000000">
      <w:pPr>
        <w:pStyle w:val="Heading1"/>
      </w:pPr>
      <w:r>
        <w:t>V. Forward Watch: FEMA and Executive Power — Predictions, Not Facts</w:t>
      </w:r>
    </w:p>
    <w:p w14:paraId="1F6B090F" w14:textId="77777777" w:rsidR="00C23162" w:rsidRDefault="00000000">
      <w:pPr>
        <w:spacing w:before="120" w:after="120" w:line="276" w:lineRule="auto"/>
        <w:jc w:val="both"/>
      </w:pPr>
      <w:r>
        <w:t>The following conditions are explicit forward watch predictions for Cycle 4. They are not claims about current confirmed reality. They are testable hypotheses that the structural analysis generates. If confirmed, they strengthen the MCA framework. If disconfirmed, they weaken it. Either outcome advances the analysis.</w:t>
      </w:r>
    </w:p>
    <w:p w14:paraId="684759DE" w14:textId="77777777" w:rsidR="00C23162" w:rsidRDefault="00C23162"/>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2800"/>
        <w:gridCol w:w="1600"/>
        <w:gridCol w:w="2560"/>
      </w:tblGrid>
      <w:tr w:rsidR="00C23162" w14:paraId="74497250" w14:textId="77777777">
        <w:tblPrEx>
          <w:tblCellMar>
            <w:top w:w="0" w:type="dxa"/>
            <w:bottom w:w="0" w:type="dxa"/>
          </w:tblCellMar>
        </w:tblPrEx>
        <w:tc>
          <w:tcPr>
            <w:tcW w:w="24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144F8D31" w14:textId="77777777" w:rsidR="00C23162" w:rsidRDefault="00000000">
            <w:r>
              <w:rPr>
                <w:b/>
                <w:bCs/>
                <w:color w:val="FFFFFF"/>
                <w:sz w:val="20"/>
                <w:szCs w:val="20"/>
              </w:rPr>
              <w:t>Prediction</w:t>
            </w:r>
          </w:p>
        </w:tc>
        <w:tc>
          <w:tcPr>
            <w:tcW w:w="28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4AE847B9" w14:textId="77777777" w:rsidR="00C23162" w:rsidRDefault="00000000">
            <w:r>
              <w:rPr>
                <w:b/>
                <w:bCs/>
                <w:color w:val="FFFFFF"/>
                <w:sz w:val="20"/>
                <w:szCs w:val="20"/>
              </w:rPr>
              <w:t>Confirmation Criteria</w:t>
            </w:r>
          </w:p>
        </w:tc>
        <w:tc>
          <w:tcPr>
            <w:tcW w:w="160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4C146384" w14:textId="77777777" w:rsidR="00C23162" w:rsidRDefault="00000000">
            <w:r>
              <w:rPr>
                <w:b/>
                <w:bCs/>
                <w:color w:val="FFFFFF"/>
                <w:sz w:val="20"/>
                <w:szCs w:val="20"/>
              </w:rPr>
              <w:t xml:space="preserve">Window if </w:t>
            </w:r>
            <w:proofErr w:type="gramStart"/>
            <w:r>
              <w:rPr>
                <w:b/>
                <w:bCs/>
                <w:color w:val="FFFFFF"/>
                <w:sz w:val="20"/>
                <w:szCs w:val="20"/>
              </w:rPr>
              <w:t>Confirmed</w:t>
            </w:r>
            <w:proofErr w:type="gramEnd"/>
          </w:p>
        </w:tc>
        <w:tc>
          <w:tcPr>
            <w:tcW w:w="2560" w:type="dxa"/>
            <w:tcBorders>
              <w:top w:val="single" w:sz="1" w:space="0" w:color="2E4057"/>
              <w:left w:val="single" w:sz="1" w:space="0" w:color="2E4057"/>
              <w:bottom w:val="single" w:sz="1" w:space="0" w:color="2E4057"/>
              <w:right w:val="single" w:sz="1" w:space="0" w:color="2E4057"/>
            </w:tcBorders>
            <w:shd w:val="clear" w:color="auto" w:fill="2E4057"/>
            <w:tcMar>
              <w:top w:w="80" w:type="dxa"/>
              <w:left w:w="120" w:type="dxa"/>
              <w:bottom w:w="80" w:type="dxa"/>
              <w:right w:w="120" w:type="dxa"/>
            </w:tcMar>
          </w:tcPr>
          <w:p w14:paraId="453A9A97" w14:textId="77777777" w:rsidR="00C23162" w:rsidRDefault="00000000">
            <w:r>
              <w:rPr>
                <w:b/>
                <w:bCs/>
                <w:color w:val="FFFFFF"/>
                <w:sz w:val="20"/>
                <w:szCs w:val="20"/>
              </w:rPr>
              <w:t>Disconfirmation Criteria</w:t>
            </w:r>
          </w:p>
        </w:tc>
      </w:tr>
      <w:tr w:rsidR="00C23162" w14:paraId="3D6637F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40B350A3" w14:textId="77777777" w:rsidR="00C23162" w:rsidRDefault="00000000" w:rsidP="00177886">
            <w:pPr>
              <w:jc w:val="center"/>
            </w:pPr>
            <w:r>
              <w:rPr>
                <w:color w:val="000000"/>
                <w:sz w:val="20"/>
                <w:szCs w:val="20"/>
              </w:rPr>
              <w:t>FEMA restructuring creates disaster response vacuum exploitable by executive emergency action</w:t>
            </w:r>
          </w:p>
        </w:tc>
        <w:tc>
          <w:tcPr>
            <w:tcW w:w="28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A295482" w14:textId="77777777" w:rsidR="00C23162" w:rsidRDefault="00000000" w:rsidP="00177886">
            <w:pPr>
              <w:jc w:val="center"/>
            </w:pPr>
            <w:r>
              <w:rPr>
                <w:color w:val="000000"/>
                <w:sz w:val="20"/>
                <w:szCs w:val="20"/>
              </w:rPr>
              <w:t>Major disaster during 2026 hurricane/wildfire season produces delayed or inadequate FEMA response; executive emergency declaration used to bypass state-level implementation</w:t>
            </w:r>
          </w:p>
        </w:tc>
        <w:tc>
          <w:tcPr>
            <w:tcW w:w="16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5E9BCA27" w14:textId="77777777" w:rsidR="00C23162" w:rsidRDefault="00000000" w:rsidP="00177886">
            <w:pPr>
              <w:jc w:val="center"/>
            </w:pPr>
            <w:r>
              <w:rPr>
                <w:color w:val="000000"/>
                <w:sz w:val="20"/>
                <w:szCs w:val="20"/>
              </w:rPr>
              <w:t xml:space="preserve">-4 months from </w:t>
            </w:r>
            <w:proofErr w:type="gramStart"/>
            <w:r>
              <w:rPr>
                <w:color w:val="000000"/>
                <w:sz w:val="20"/>
                <w:szCs w:val="20"/>
              </w:rPr>
              <w:t>18-24 month</w:t>
            </w:r>
            <w:proofErr w:type="gramEnd"/>
            <w:r>
              <w:rPr>
                <w:color w:val="000000"/>
                <w:sz w:val="20"/>
                <w:szCs w:val="20"/>
              </w:rPr>
              <w:t xml:space="preserve"> window</w:t>
            </w:r>
          </w:p>
        </w:tc>
        <w:tc>
          <w:tcPr>
            <w:tcW w:w="256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19A72C96" w14:textId="77777777" w:rsidR="00C23162" w:rsidRDefault="00000000" w:rsidP="00177886">
            <w:pPr>
              <w:jc w:val="center"/>
            </w:pPr>
            <w:r>
              <w:rPr>
                <w:color w:val="000000"/>
                <w:sz w:val="20"/>
                <w:szCs w:val="20"/>
              </w:rPr>
              <w:t>FEMA restructuring produces adequate disaster response without executive emergency expansion</w:t>
            </w:r>
          </w:p>
        </w:tc>
      </w:tr>
      <w:tr w:rsidR="00C23162" w14:paraId="1D05CF1B"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7E6896" w14:textId="77777777" w:rsidR="00C23162" w:rsidRDefault="00000000" w:rsidP="00177886">
            <w:pPr>
              <w:jc w:val="center"/>
            </w:pPr>
            <w:r>
              <w:rPr>
                <w:color w:val="000000"/>
                <w:sz w:val="20"/>
                <w:szCs w:val="20"/>
              </w:rPr>
              <w:t>Insurrection Act invoked in domestic context</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7EF226" w14:textId="77777777" w:rsidR="00C23162" w:rsidRDefault="00000000" w:rsidP="00177886">
            <w:pPr>
              <w:jc w:val="center"/>
            </w:pPr>
            <w:r>
              <w:rPr>
                <w:color w:val="000000"/>
                <w:sz w:val="20"/>
                <w:szCs w:val="20"/>
              </w:rPr>
              <w:t>Formal invocation documented in Federal Register or official executive communication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1C635C" w14:textId="77777777" w:rsidR="00C23162" w:rsidRDefault="00000000" w:rsidP="00177886">
            <w:pPr>
              <w:jc w:val="center"/>
            </w:pPr>
            <w:r>
              <w:rPr>
                <w:color w:val="000000"/>
                <w:sz w:val="20"/>
                <w:szCs w:val="20"/>
              </w:rPr>
              <w:t>-6 months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1CAC2C" w14:textId="77777777" w:rsidR="00C23162" w:rsidRDefault="00000000" w:rsidP="00177886">
            <w:pPr>
              <w:jc w:val="center"/>
            </w:pPr>
            <w:r>
              <w:rPr>
                <w:color w:val="000000"/>
                <w:sz w:val="20"/>
                <w:szCs w:val="20"/>
              </w:rPr>
              <w:t>Threats continue without invocation through 2026 midterm cycle</w:t>
            </w:r>
          </w:p>
        </w:tc>
      </w:tr>
      <w:tr w:rsidR="00C23162" w14:paraId="5E928621"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2E6FE5A" w14:textId="77777777" w:rsidR="00C23162" w:rsidRDefault="00000000" w:rsidP="00177886">
            <w:pPr>
              <w:jc w:val="center"/>
            </w:pPr>
            <w:r>
              <w:rPr>
                <w:color w:val="000000"/>
                <w:sz w:val="20"/>
                <w:szCs w:val="20"/>
              </w:rPr>
              <w:t xml:space="preserve">Hantavirus escalates to domestic community transmission triggering </w:t>
            </w:r>
            <w:r>
              <w:rPr>
                <w:color w:val="000000"/>
                <w:sz w:val="20"/>
                <w:szCs w:val="20"/>
              </w:rPr>
              <w:lastRenderedPageBreak/>
              <w:t>public health emergency expansion</w:t>
            </w:r>
          </w:p>
        </w:tc>
        <w:tc>
          <w:tcPr>
            <w:tcW w:w="28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72B8775E" w14:textId="77777777" w:rsidR="00C23162" w:rsidRDefault="00000000" w:rsidP="00177886">
            <w:pPr>
              <w:jc w:val="center"/>
            </w:pPr>
            <w:r>
              <w:rPr>
                <w:color w:val="000000"/>
                <w:sz w:val="20"/>
                <w:szCs w:val="20"/>
              </w:rPr>
              <w:lastRenderedPageBreak/>
              <w:t xml:space="preserve">CDC Level 2 or 1 designation; HHS public health emergency declaration; assembly or </w:t>
            </w:r>
            <w:r>
              <w:rPr>
                <w:color w:val="000000"/>
                <w:sz w:val="20"/>
                <w:szCs w:val="20"/>
              </w:rPr>
              <w:lastRenderedPageBreak/>
              <w:t>movement restrictions in any jurisdiction</w:t>
            </w:r>
          </w:p>
        </w:tc>
        <w:tc>
          <w:tcPr>
            <w:tcW w:w="16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9C84597" w14:textId="77777777" w:rsidR="00C23162" w:rsidRDefault="00000000" w:rsidP="00177886">
            <w:pPr>
              <w:jc w:val="center"/>
            </w:pPr>
            <w:r>
              <w:rPr>
                <w:color w:val="000000"/>
                <w:sz w:val="20"/>
                <w:szCs w:val="20"/>
              </w:rPr>
              <w:lastRenderedPageBreak/>
              <w:t>-3 months</w:t>
            </w:r>
          </w:p>
        </w:tc>
        <w:tc>
          <w:tcPr>
            <w:tcW w:w="256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322869A" w14:textId="77777777" w:rsidR="00C23162" w:rsidRDefault="00000000" w:rsidP="00177886">
            <w:pPr>
              <w:jc w:val="center"/>
            </w:pPr>
            <w:r>
              <w:rPr>
                <w:color w:val="000000"/>
                <w:sz w:val="20"/>
                <w:szCs w:val="20"/>
              </w:rPr>
              <w:t>Outbreak remains confined to cruise ship passengers; no domestic transmission documented</w:t>
            </w:r>
          </w:p>
        </w:tc>
      </w:tr>
      <w:tr w:rsidR="00C23162" w14:paraId="3A2E706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308512" w14:textId="77777777" w:rsidR="00C23162" w:rsidRDefault="00000000" w:rsidP="00177886">
            <w:pPr>
              <w:jc w:val="center"/>
            </w:pPr>
            <w:r>
              <w:rPr>
                <w:color w:val="000000"/>
                <w:sz w:val="20"/>
                <w:szCs w:val="20"/>
              </w:rPr>
              <w:t>Second major spectacle event concurrent with next Hormuz escalation or domestic emergency</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6DCF4A" w14:textId="77777777" w:rsidR="00C23162" w:rsidRDefault="00000000" w:rsidP="00177886">
            <w:pPr>
              <w:jc w:val="center"/>
            </w:pPr>
            <w:r>
              <w:rPr>
                <w:color w:val="000000"/>
                <w:sz w:val="20"/>
                <w:szCs w:val="20"/>
              </w:rPr>
              <w:t>UAP-equivalent disclosure, classified document release, or national mythology event within 72 hours of security or health emergency escalation</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B63C39" w14:textId="77777777" w:rsidR="00C23162" w:rsidRDefault="00000000" w:rsidP="00177886">
            <w:pPr>
              <w:jc w:val="center"/>
            </w:pPr>
            <w:r>
              <w:rPr>
                <w:color w:val="000000"/>
                <w:sz w:val="20"/>
                <w:szCs w:val="20"/>
              </w:rPr>
              <w:t>-3 months</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313797" w14:textId="77777777" w:rsidR="00C23162" w:rsidRDefault="00000000" w:rsidP="00177886">
            <w:pPr>
              <w:jc w:val="center"/>
            </w:pPr>
            <w:r>
              <w:rPr>
                <w:color w:val="000000"/>
                <w:sz w:val="20"/>
                <w:szCs w:val="20"/>
              </w:rPr>
              <w:t>No pattern of concurrent spectacle-emergency deployment observed in Cycle 4 window</w:t>
            </w:r>
          </w:p>
        </w:tc>
      </w:tr>
      <w:tr w:rsidR="00C23162" w14:paraId="756D146F"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2299E885" w14:textId="77777777" w:rsidR="00C23162" w:rsidRDefault="00000000" w:rsidP="00177886">
            <w:pPr>
              <w:jc w:val="center"/>
            </w:pPr>
            <w:r>
              <w:rPr>
                <w:color w:val="000000"/>
                <w:sz w:val="20"/>
                <w:szCs w:val="20"/>
              </w:rPr>
              <w:t>Stacked emergency declarations generating de facto executive authority expansion</w:t>
            </w:r>
          </w:p>
        </w:tc>
        <w:tc>
          <w:tcPr>
            <w:tcW w:w="28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057A0166" w14:textId="77777777" w:rsidR="00C23162" w:rsidRDefault="00000000" w:rsidP="00177886">
            <w:pPr>
              <w:jc w:val="center"/>
            </w:pPr>
            <w:r>
              <w:rPr>
                <w:color w:val="000000"/>
                <w:sz w:val="20"/>
                <w:szCs w:val="20"/>
              </w:rPr>
              <w:t>Documented concurrent active declarations across border, health, and energy domains; evidence of congressional oversight bypass in emergency implementation</w:t>
            </w:r>
          </w:p>
        </w:tc>
        <w:tc>
          <w:tcPr>
            <w:tcW w:w="160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49459AE" w14:textId="77777777" w:rsidR="00C23162" w:rsidRDefault="00000000" w:rsidP="00177886">
            <w:pPr>
              <w:jc w:val="center"/>
            </w:pPr>
            <w:r>
              <w:rPr>
                <w:color w:val="000000"/>
                <w:sz w:val="20"/>
                <w:szCs w:val="20"/>
              </w:rPr>
              <w:t>-6 months</w:t>
            </w:r>
          </w:p>
        </w:tc>
        <w:tc>
          <w:tcPr>
            <w:tcW w:w="2560" w:type="dxa"/>
            <w:tcBorders>
              <w:top w:val="single" w:sz="1" w:space="0" w:color="CCCCCC"/>
              <w:left w:val="single" w:sz="1" w:space="0" w:color="CCCCCC"/>
              <w:bottom w:val="single" w:sz="1" w:space="0" w:color="CCCCCC"/>
              <w:right w:val="single" w:sz="1" w:space="0" w:color="CCCCCC"/>
            </w:tcBorders>
            <w:shd w:val="clear" w:color="auto" w:fill="F8F9FA"/>
            <w:tcMar>
              <w:top w:w="80" w:type="dxa"/>
              <w:left w:w="120" w:type="dxa"/>
              <w:bottom w:w="80" w:type="dxa"/>
              <w:right w:w="120" w:type="dxa"/>
            </w:tcMar>
          </w:tcPr>
          <w:p w14:paraId="3A4147D2" w14:textId="77777777" w:rsidR="00C23162" w:rsidRDefault="00000000" w:rsidP="00177886">
            <w:pPr>
              <w:jc w:val="center"/>
            </w:pPr>
            <w:r>
              <w:rPr>
                <w:color w:val="000000"/>
                <w:sz w:val="20"/>
                <w:szCs w:val="20"/>
              </w:rPr>
              <w:t>Emergency declarations remain domain-specific without coordination across authority types</w:t>
            </w:r>
          </w:p>
        </w:tc>
      </w:tr>
    </w:tbl>
    <w:p w14:paraId="74B5DBA9" w14:textId="77777777" w:rsidR="00C23162" w:rsidRDefault="00C23162"/>
    <w:p w14:paraId="7FB8CD77" w14:textId="77777777" w:rsidR="00C23162" w:rsidRDefault="00000000">
      <w:pPr>
        <w:spacing w:before="120" w:after="120" w:line="276" w:lineRule="auto"/>
        <w:jc w:val="both"/>
      </w:pPr>
      <w:r>
        <w:t>The falsifiability of these predictions is the framework's primary defense against the conspiracy theory critique. If none of the above conditions are confirmed in the Cycle 4 window — specifically through the 2026 hurricane season and midterm election period — the MCA framework as applied to the current US governance trajectory is weakened and should be revised accordingly.</w:t>
      </w:r>
    </w:p>
    <w:p w14:paraId="6FAF3DCC" w14:textId="77777777" w:rsidR="00C23162" w:rsidRDefault="00000000">
      <w:pPr>
        <w:pStyle w:val="Heading1"/>
      </w:pPr>
      <w:r>
        <w:t>VI. Structural Unity: Paper 44 Extended</w:t>
      </w:r>
    </w:p>
    <w:p w14:paraId="30E2A6C8" w14:textId="77777777" w:rsidR="00C23162" w:rsidRDefault="00000000">
      <w:pPr>
        <w:spacing w:before="120" w:after="120" w:line="276" w:lineRule="auto"/>
        <w:jc w:val="both"/>
      </w:pPr>
      <w:r>
        <w:t>Paper 44's core finding was that five apparently independent domain failures share a single structural cause: the post-1945 symbolic order losing the capacity to generate compliance. The Cycle 3 confirmed signals extend this finding empirically. Two of Paper 44's five domains have now produced confirmed forward watch hits within 46 days of the forward watch issuance.</w:t>
      </w:r>
    </w:p>
    <w:p w14:paraId="02252140" w14:textId="77777777" w:rsidR="00C23162" w:rsidRDefault="00000000">
      <w:pPr>
        <w:spacing w:before="120" w:after="120" w:line="276" w:lineRule="auto"/>
        <w:jc w:val="both"/>
      </w:pPr>
      <w:r>
        <w:t>The theoretical extension this paper proposes — Manufactured Consent Architecture — adds the active acceleration mechanism that Paper 44's passive decay model did not fully capture. The DSSM prescription remains unchanged: legitimacy before infrastructure, temporal buffers, redundant channels. But Cycle 3 adds a prior diagnostic requirement: distinguishing whether institutional decay is passive (stress-generated) or active (MCA-generated) determines the intervention target. Passive decay requires reconstruction of shared symbolic architecture. Active MCA requires, in addition, reconstruction of the population's capacity to recognize the consent mechanism — what this paper terms symbolic literacy.</w:t>
      </w:r>
    </w:p>
    <w:p w14:paraId="65793883" w14:textId="77777777" w:rsidR="00C23162" w:rsidRDefault="00000000">
      <w:pPr>
        <w:spacing w:before="120" w:after="120" w:line="276" w:lineRule="auto"/>
        <w:jc w:val="both"/>
      </w:pPr>
      <w:r>
        <w:t>The paper holds open which reading is correct because the confirmed evidence does not resolve it. What the confirmed evidence establishes is that the structural conditions for either trajectory are present, that the Paper 44 forward watch conditions have begun to fire, and that the 18–</w:t>
      </w:r>
      <w:proofErr w:type="gramStart"/>
      <w:r>
        <w:t>36 month</w:t>
      </w:r>
      <w:proofErr w:type="gramEnd"/>
      <w:r>
        <w:t xml:space="preserve"> intervention window has been compressed by the two-signal threshold.</w:t>
      </w:r>
    </w:p>
    <w:p w14:paraId="35DA3309" w14:textId="77777777" w:rsidR="00177886" w:rsidRDefault="00177886">
      <w:pPr>
        <w:spacing w:before="120" w:after="120" w:line="276" w:lineRule="auto"/>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C23162" w14:paraId="3FF24F1D" w14:textId="77777777">
        <w:tblPrEx>
          <w:tblCellMar>
            <w:top w:w="0" w:type="dxa"/>
            <w:bottom w:w="0" w:type="dxa"/>
          </w:tblCellMar>
        </w:tblPrEx>
        <w:tc>
          <w:tcPr>
            <w:tcW w:w="9360" w:type="dxa"/>
            <w:tcBorders>
              <w:top w:val="single" w:sz="1" w:space="0" w:color="2E4057"/>
              <w:left w:val="single" w:sz="1" w:space="0" w:color="2E4057"/>
              <w:bottom w:val="single" w:sz="1" w:space="0" w:color="2E4057"/>
              <w:right w:val="single" w:sz="1" w:space="0" w:color="2E4057"/>
            </w:tcBorders>
            <w:shd w:val="clear" w:color="auto" w:fill="1A2A3A"/>
            <w:tcMar>
              <w:top w:w="80" w:type="dxa"/>
              <w:left w:w="160" w:type="dxa"/>
              <w:bottom w:w="80" w:type="dxa"/>
              <w:right w:w="160" w:type="dxa"/>
            </w:tcMar>
          </w:tcPr>
          <w:p w14:paraId="7679F67F" w14:textId="77777777" w:rsidR="00C23162" w:rsidRDefault="00000000">
            <w:r>
              <w:rPr>
                <w:b/>
                <w:bCs/>
                <w:color w:val="C9A84C"/>
                <w:sz w:val="20"/>
                <w:szCs w:val="20"/>
              </w:rPr>
              <w:t xml:space="preserve">OSIRIS — HISTORICAL </w:t>
            </w:r>
            <w:proofErr w:type="gramStart"/>
            <w:r>
              <w:rPr>
                <w:b/>
                <w:bCs/>
                <w:color w:val="C9A84C"/>
                <w:sz w:val="20"/>
                <w:szCs w:val="20"/>
              </w:rPr>
              <w:t>ANALOGUE  |</w:t>
            </w:r>
            <w:proofErr w:type="gramEnd"/>
            <w:r>
              <w:rPr>
                <w:b/>
                <w:bCs/>
                <w:color w:val="C9A84C"/>
                <w:sz w:val="20"/>
                <w:szCs w:val="20"/>
              </w:rPr>
              <w:t xml:space="preserve">  Late Bronze Age Collapse vs. Diocletian's Reconstruction</w:t>
            </w:r>
          </w:p>
        </w:tc>
      </w:tr>
      <w:tr w:rsidR="00C23162" w14:paraId="055CC7F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5F0E8"/>
            <w:tcMar>
              <w:top w:w="100" w:type="dxa"/>
              <w:left w:w="160" w:type="dxa"/>
              <w:bottom w:w="100" w:type="dxa"/>
              <w:right w:w="160" w:type="dxa"/>
            </w:tcMar>
          </w:tcPr>
          <w:p w14:paraId="4DD1D171" w14:textId="77777777" w:rsidR="00C23162" w:rsidRDefault="00000000">
            <w:pPr>
              <w:jc w:val="both"/>
            </w:pPr>
            <w:r>
              <w:rPr>
                <w:i/>
                <w:iCs/>
                <w:sz w:val="20"/>
                <w:szCs w:val="20"/>
              </w:rPr>
              <w:lastRenderedPageBreak/>
              <w:t>Paper 44 cited both analogues. Cycle 3 sharpens the contrast. The Bronze Age Collapse case illustrates passive substrate decay: no single actor engineered the collapse; the cumulative weight of simultaneous domain failures (climate, trade disruption, military pressure, institutional erosion) produced a cascade that no intervention reversed before the three-century fragmentation. The Diocletian case illustrates successful intervention: explicit recognition that legitimacy reconstruction had to precede infrastructure repair, implemented through deliberate provincial governance architecture before attempting economic or military reform. The distinction between these outcomes was not the severity of the initial stress. It was whether the diagnostic framework identified the substrate failure early enough for intervention to precede irreversibility. The 6–</w:t>
            </w:r>
            <w:proofErr w:type="gramStart"/>
            <w:r>
              <w:rPr>
                <w:i/>
                <w:iCs/>
                <w:sz w:val="20"/>
                <w:szCs w:val="20"/>
              </w:rPr>
              <w:t>24 month</w:t>
            </w:r>
            <w:proofErr w:type="gramEnd"/>
            <w:r>
              <w:rPr>
                <w:i/>
                <w:iCs/>
                <w:sz w:val="20"/>
                <w:szCs w:val="20"/>
              </w:rPr>
              <w:t xml:space="preserve"> revised window maps to the Diocletian intervention threshold — the period within which deliberate reconstruction remains structurally possible.</w:t>
            </w:r>
          </w:p>
        </w:tc>
      </w:tr>
    </w:tbl>
    <w:p w14:paraId="536F7E55" w14:textId="77777777" w:rsidR="00C23162" w:rsidRDefault="00C23162"/>
    <w:p w14:paraId="774E6089" w14:textId="77777777" w:rsidR="00C23162" w:rsidRDefault="00000000">
      <w:pPr>
        <w:pStyle w:val="Heading1"/>
      </w:pPr>
      <w:r>
        <w:t>VII. Failure Modes</w:t>
      </w:r>
    </w:p>
    <w:p w14:paraId="14DA69EC" w14:textId="77777777" w:rsidR="00C23162" w:rsidRDefault="00000000">
      <w:pPr>
        <w:spacing w:before="120" w:after="120" w:line="276" w:lineRule="auto"/>
        <w:jc w:val="both"/>
      </w:pPr>
      <w:r>
        <w:t>Three failure modes apply to this paper's analysis, registered explicitly.</w:t>
      </w:r>
    </w:p>
    <w:p w14:paraId="1A1E49D8" w14:textId="77777777" w:rsidR="00C23162" w:rsidRDefault="00000000">
      <w:pPr>
        <w:spacing w:before="120" w:after="120" w:line="276" w:lineRule="auto"/>
        <w:jc w:val="both"/>
      </w:pPr>
      <w:r>
        <w:t xml:space="preserve">First: the MCA framework may attribute to structure what is better explained by coincidence. The concurrent events of May 8, </w:t>
      </w:r>
      <w:proofErr w:type="gramStart"/>
      <w:r>
        <w:t>2026</w:t>
      </w:r>
      <w:proofErr w:type="gramEnd"/>
      <w:r>
        <w:t xml:space="preserve"> may have no common cause beyond temporal proximity. Bureaucratic schedules, public health timelines, and military operations do not coordinate for analytical convenience. The DSSM response: coincidence is always possible; the framework's value is in generating testable predictions that distinguish coincidence from pattern. Cycle 4 will produce the evidence.</w:t>
      </w:r>
    </w:p>
    <w:p w14:paraId="1703A569" w14:textId="77777777" w:rsidR="00C23162" w:rsidRDefault="00000000">
      <w:pPr>
        <w:spacing w:before="120" w:after="120" w:line="276" w:lineRule="auto"/>
        <w:jc w:val="both"/>
      </w:pPr>
      <w:r>
        <w:t>Second: the FEMA devolution trajectory may represent genuine efficiency reform rather than institutional hollowing. Shifting disaster response to states, if adequately resourced, is a defensible policy position supported by some emergency management experts. The DSSM response: the operational degradation documented — leadership vacuum, preparedness spending cuts, staff departures — is inconsistent with a well-resourced devolution. But the policy outcome depends on implementation, not intent, and implementation has not yet been tested by a major disaster.</w:t>
      </w:r>
    </w:p>
    <w:p w14:paraId="01ED5AA1" w14:textId="77777777" w:rsidR="00C23162" w:rsidRDefault="00000000">
      <w:pPr>
        <w:spacing w:before="120" w:after="120" w:line="276" w:lineRule="auto"/>
        <w:jc w:val="both"/>
      </w:pPr>
      <w:r>
        <w:t>Third: the paper's forward watch predictions may be falsified by the 2026 midterm cycle producing institutional resistance — congressional action, judicial intervention, state-level pushback — that constrains executive authority expansion. The DSSM response: this is the intervention scenario Paper 44 described as the Diocletian option. If it occurs, the framework predicts it will require explicit legitimacy reconstruction, not merely institutional resistance. The question is whether resistance generates reconstruction or simply delays the cascade.</w:t>
      </w:r>
    </w:p>
    <w:p w14:paraId="26393874" w14:textId="77777777" w:rsidR="00177886" w:rsidRDefault="00177886">
      <w:pPr>
        <w:pStyle w:val="Heading1"/>
      </w:pPr>
    </w:p>
    <w:p w14:paraId="7812D9EF" w14:textId="77777777" w:rsidR="00177886" w:rsidRDefault="00177886">
      <w:pPr>
        <w:pStyle w:val="Heading1"/>
      </w:pPr>
    </w:p>
    <w:p w14:paraId="5297AEE0" w14:textId="77777777" w:rsidR="00177886" w:rsidRDefault="00177886">
      <w:pPr>
        <w:pStyle w:val="Heading1"/>
      </w:pPr>
    </w:p>
    <w:p w14:paraId="09BA8FC9" w14:textId="063FA488" w:rsidR="00C23162" w:rsidRDefault="00000000">
      <w:pPr>
        <w:pStyle w:val="Heading1"/>
      </w:pPr>
      <w:r>
        <w:t>VIII. Conclusion: Confirmed, Inferred, Predicted</w:t>
      </w:r>
    </w:p>
    <w:p w14:paraId="552AB576" w14:textId="77777777" w:rsidR="00C23162" w:rsidRDefault="00000000">
      <w:pPr>
        <w:spacing w:before="120" w:after="120" w:line="276" w:lineRule="auto"/>
        <w:jc w:val="both"/>
      </w:pPr>
      <w:r>
        <w:lastRenderedPageBreak/>
        <w:t>This paper has maintained explicit evidentiary discipline across three tiers. What is confirmed: two Paper 44 forward watch conditions have fired within 46 days, reaching the two-signal threshold that Paper 44 defined as indicative of window compression. The hantavirus outbreak is a confirmed low-severity public health event, not yet an emergency power trigger. The UAP release is a confirmed concurrent spectacle event, consistent with but not proof of attention fragmentation architecture. The FEMA restructuring is a confirmed devolution initiative, not a confirmed power consolidation.</w:t>
      </w:r>
    </w:p>
    <w:p w14:paraId="62805D7A" w14:textId="77777777" w:rsidR="00C23162" w:rsidRDefault="00000000">
      <w:pPr>
        <w:spacing w:before="120" w:after="120" w:line="276" w:lineRule="auto"/>
        <w:jc w:val="both"/>
      </w:pPr>
      <w:r>
        <w:t>What is inferred: the Manufactured Consent Architecture framework is structurally consistent with the confirmed signals. It provides a parsimonious explanation for why four significant institutional events occurred in a 48-hour window. It generates testable predictions. It does not require intent or coordination to be operative.</w:t>
      </w:r>
    </w:p>
    <w:p w14:paraId="718EF845" w14:textId="77777777" w:rsidR="00C23162" w:rsidRDefault="00000000">
      <w:pPr>
        <w:spacing w:before="120" w:after="120" w:line="276" w:lineRule="auto"/>
        <w:jc w:val="both"/>
      </w:pPr>
      <w:r>
        <w:t>What is predicted: the FEMA devolution creates a disaster governance vacuum; the Insurrection Act remains a live threat; hantavirus escalation to domestic transmission would shift the public health emergency architecture; a pattern of concurrent spectacle-crisis events would confirm the MCA attention fragmentation mechanism. These are predictions for Cycle 4, not claims about current confirmed reality.</w:t>
      </w:r>
    </w:p>
    <w:p w14:paraId="14D75EF0" w14:textId="77777777" w:rsidR="00C23162" w:rsidRDefault="00000000">
      <w:pPr>
        <w:spacing w:before="120" w:after="120" w:line="276" w:lineRule="auto"/>
        <w:jc w:val="both"/>
      </w:pPr>
      <w:r>
        <w:t>The distinction matters because it is the difference between structural analysis and conspiracy theory. Structural analysis generates predictions. Conspiracy theory treats inferences as confirmations. This paper generates predictions. Cycle 4 will confirm, revise, or refute them. That is the framework doing its job.</w:t>
      </w:r>
    </w:p>
    <w:p w14:paraId="2561D802" w14:textId="77777777" w:rsidR="00C23162" w:rsidRDefault="00C23162"/>
    <w:p w14:paraId="35A88EC2" w14:textId="77777777" w:rsidR="00C23162" w:rsidRDefault="00C23162"/>
    <w:p w14:paraId="1E796DA3" w14:textId="77777777" w:rsidR="00C23162" w:rsidRDefault="00000000">
      <w:pPr>
        <w:pStyle w:val="Heading1"/>
      </w:pPr>
      <w:r>
        <w:t>Sustainable Development Goals</w:t>
      </w:r>
    </w:p>
    <w:p w14:paraId="336FD2CB" w14:textId="77777777" w:rsidR="00C23162" w:rsidRDefault="00000000">
      <w:pPr>
        <w:spacing w:before="120" w:after="120" w:line="276" w:lineRule="auto"/>
        <w:jc w:val="both"/>
      </w:pPr>
      <w:r>
        <w:t>SDG 16 (Peace, Justice and Strong Institutions): The analysis of institutional hollowing, emergency power trajectories, and the conditions under which democratic governance frameworks are bypassed directly addresses the institutional resilience conditions that SDG 16 targets. The DSSM intervention prescriptions are oriented toward institutional legitimacy reconstruction as the precondition for sustainable governance.</w:t>
      </w:r>
    </w:p>
    <w:p w14:paraId="63F681A6" w14:textId="77777777" w:rsidR="00C23162" w:rsidRDefault="00000000">
      <w:pPr>
        <w:spacing w:before="120" w:after="120" w:line="276" w:lineRule="auto"/>
        <w:jc w:val="both"/>
      </w:pPr>
      <w:r>
        <w:t>SDG 17 (Partnerships for the Goals): The paper's core argument — that post-1945 multilateral symbolic architecture is in cascade failure across five concurrent domains — addresses the coordination substrate required for global partnership. Window compression from 18–36 to 6–24 months represents a direct reduction in the time available for multilateral intervention before regional exit cascades become self-reinforcing.</w:t>
      </w:r>
    </w:p>
    <w:p w14:paraId="02D89739" w14:textId="77777777" w:rsidR="00C23162" w:rsidRDefault="00000000">
      <w:pPr>
        <w:spacing w:before="120" w:after="120" w:line="276" w:lineRule="auto"/>
        <w:jc w:val="both"/>
      </w:pPr>
      <w:r>
        <w:t xml:space="preserve">SDG 10 (Reduced Inequalities): The FEMA devolution analysis identifies asymmetric vulnerability: communities historically dependent on federal disaster assistance — disproportionately lower-income, rural, and disaster-prone — bear the primary cost of federal </w:t>
      </w:r>
      <w:r>
        <w:lastRenderedPageBreak/>
        <w:t>preparedness degradation. Parametric trigger proposals may systematically underserve communities with lower pre-disaster infrastructure investment.</w:t>
      </w:r>
    </w:p>
    <w:p w14:paraId="4A2E17FC" w14:textId="77777777" w:rsidR="00C23162" w:rsidRDefault="00C23162"/>
    <w:p w14:paraId="769103AE" w14:textId="77777777" w:rsidR="00177886" w:rsidRDefault="00177886">
      <w:pPr>
        <w:pStyle w:val="Heading1"/>
      </w:pPr>
    </w:p>
    <w:p w14:paraId="655AF3D1" w14:textId="0EE4B218" w:rsidR="00C23162" w:rsidRDefault="00000000">
      <w:pPr>
        <w:pStyle w:val="Heading1"/>
      </w:pPr>
      <w:r>
        <w:t>Disclosure</w:t>
      </w:r>
    </w:p>
    <w:p w14:paraId="6D487E87" w14:textId="77777777" w:rsidR="00C23162" w:rsidRDefault="00000000">
      <w:pPr>
        <w:spacing w:before="120" w:after="120" w:line="276" w:lineRule="auto"/>
        <w:jc w:val="both"/>
      </w:pPr>
      <w:r>
        <w:t>This paper was generated through AI-assisted synthesis using Claude Sonnet 4.6 (Anthropic) as the drafting and synthesis engine, operating on signal feeds produced by the NETJERU intelligence system. The NETJERU system is a 7-agent DSSM-compliant intelligence architecture developed by the author. All analytical frameworks, historical interpretations, and prescriptive conclusions derive from the Deep Symbolic Systems Model (DSSM) as developed by Anthony Vondoom. AI assistance is disclosed transparently in accordance with the author's practice across the DSSM paper series.</w:t>
      </w:r>
    </w:p>
    <w:p w14:paraId="112AE693" w14:textId="3A092FF4" w:rsidR="00C23162" w:rsidRDefault="00000000">
      <w:pPr>
        <w:spacing w:before="120" w:after="120" w:line="276" w:lineRule="auto"/>
        <w:jc w:val="both"/>
      </w:pPr>
      <w:r>
        <w:t xml:space="preserve">Paper 44 (When the Substrate Breaks, March 24, 2026) is cited as the predictive baseline for this paper. </w:t>
      </w:r>
      <w:hyperlink r:id="rId6" w:history="1">
        <w:r w:rsidRPr="00632E64">
          <w:rPr>
            <w:rStyle w:val="Hyperlink"/>
          </w:rPr>
          <w:t>DOI: 10.5281/zenodo.19207064</w:t>
        </w:r>
      </w:hyperlink>
      <w:r>
        <w:t>. The three-tier evidentiary framework (confirmed / structural inference / forward watch) was developed for this paper in direct response to the epistemic discipline required to distinguish DSSM structural analysis from speculative or conspiratorial commentary.</w:t>
      </w:r>
    </w:p>
    <w:p w14:paraId="35DC4DAD" w14:textId="77777777" w:rsidR="00C23162" w:rsidRDefault="00C23162"/>
    <w:p w14:paraId="5F9CA922" w14:textId="77777777" w:rsidR="00C23162" w:rsidRDefault="00000000">
      <w:pPr>
        <w:spacing w:before="80" w:after="80"/>
        <w:jc w:val="center"/>
      </w:pPr>
      <w:r>
        <w:rPr>
          <w:i/>
          <w:iCs/>
          <w:sz w:val="18"/>
          <w:szCs w:val="18"/>
        </w:rPr>
        <w:t xml:space="preserve">NETJERU </w:t>
      </w:r>
      <w:proofErr w:type="gramStart"/>
      <w:r>
        <w:rPr>
          <w:i/>
          <w:iCs/>
          <w:sz w:val="18"/>
          <w:szCs w:val="18"/>
        </w:rPr>
        <w:t>v1.0  ·</w:t>
      </w:r>
      <w:proofErr w:type="gramEnd"/>
      <w:r>
        <w:rPr>
          <w:i/>
          <w:iCs/>
          <w:sz w:val="18"/>
          <w:szCs w:val="18"/>
        </w:rPr>
        <w:t xml:space="preserve">  All Rights Reserved </w:t>
      </w:r>
      <w:proofErr w:type="gramStart"/>
      <w:r>
        <w:rPr>
          <w:i/>
          <w:iCs/>
          <w:sz w:val="18"/>
          <w:szCs w:val="18"/>
        </w:rPr>
        <w:t>2026  ·</w:t>
      </w:r>
      <w:proofErr w:type="gramEnd"/>
      <w:r>
        <w:rPr>
          <w:i/>
          <w:iCs/>
          <w:sz w:val="18"/>
          <w:szCs w:val="18"/>
        </w:rPr>
        <w:t xml:space="preserve">  Generated 2026-05-09</w:t>
      </w:r>
    </w:p>
    <w:p w14:paraId="7C57A19E" w14:textId="4B6844C1" w:rsidR="00632E64" w:rsidRDefault="00000000" w:rsidP="00632E64">
      <w:pPr>
        <w:spacing w:before="80" w:after="80"/>
        <w:jc w:val="center"/>
        <w:rPr>
          <w:i/>
          <w:iCs/>
          <w:sz w:val="18"/>
          <w:szCs w:val="18"/>
        </w:rPr>
      </w:pPr>
      <w:r>
        <w:rPr>
          <w:i/>
          <w:iCs/>
          <w:sz w:val="18"/>
          <w:szCs w:val="18"/>
        </w:rPr>
        <w:t xml:space="preserve">Anthony </w:t>
      </w:r>
      <w:proofErr w:type="gramStart"/>
      <w:r>
        <w:rPr>
          <w:i/>
          <w:iCs/>
          <w:sz w:val="18"/>
          <w:szCs w:val="18"/>
        </w:rPr>
        <w:t>Vondoom  |</w:t>
      </w:r>
      <w:proofErr w:type="gramEnd"/>
      <w:r>
        <w:rPr>
          <w:i/>
          <w:iCs/>
          <w:sz w:val="18"/>
          <w:szCs w:val="18"/>
        </w:rPr>
        <w:t xml:space="preserve">  ORCID: 0009-0003-4953-1427</w:t>
      </w:r>
    </w:p>
    <w:p w14:paraId="47BF2444" w14:textId="77777777" w:rsidR="00632E64" w:rsidRDefault="00632E64" w:rsidP="00632E64">
      <w:pPr>
        <w:spacing w:before="80" w:after="80"/>
        <w:jc w:val="center"/>
        <w:rPr>
          <w:i/>
          <w:iCs/>
          <w:sz w:val="18"/>
          <w:szCs w:val="18"/>
        </w:rPr>
      </w:pPr>
    </w:p>
    <w:p w14:paraId="2C980CB0" w14:textId="77777777" w:rsidR="00632E64" w:rsidRPr="00632E64" w:rsidRDefault="00632E64" w:rsidP="00632E64">
      <w:pPr>
        <w:spacing w:before="80" w:after="80"/>
        <w:rPr>
          <w:i/>
          <w:iCs/>
          <w:sz w:val="18"/>
          <w:szCs w:val="18"/>
        </w:rPr>
      </w:pPr>
    </w:p>
    <w:sectPr w:rsidR="00632E64" w:rsidRPr="00632E6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5447B"/>
    <w:multiLevelType w:val="hybridMultilevel"/>
    <w:tmpl w:val="B414DB6A"/>
    <w:lvl w:ilvl="0" w:tplc="16145E96">
      <w:start w:val="1"/>
      <w:numFmt w:val="bullet"/>
      <w:lvlText w:val="●"/>
      <w:lvlJc w:val="left"/>
      <w:pPr>
        <w:ind w:left="720" w:hanging="360"/>
      </w:pPr>
    </w:lvl>
    <w:lvl w:ilvl="1" w:tplc="0BAAF8B8">
      <w:start w:val="1"/>
      <w:numFmt w:val="bullet"/>
      <w:lvlText w:val="○"/>
      <w:lvlJc w:val="left"/>
      <w:pPr>
        <w:ind w:left="1440" w:hanging="360"/>
      </w:pPr>
    </w:lvl>
    <w:lvl w:ilvl="2" w:tplc="5EC4F2BE">
      <w:start w:val="1"/>
      <w:numFmt w:val="bullet"/>
      <w:lvlText w:val="■"/>
      <w:lvlJc w:val="left"/>
      <w:pPr>
        <w:ind w:left="2160" w:hanging="360"/>
      </w:pPr>
    </w:lvl>
    <w:lvl w:ilvl="3" w:tplc="FF9E17D4">
      <w:start w:val="1"/>
      <w:numFmt w:val="bullet"/>
      <w:lvlText w:val="●"/>
      <w:lvlJc w:val="left"/>
      <w:pPr>
        <w:ind w:left="2880" w:hanging="360"/>
      </w:pPr>
    </w:lvl>
    <w:lvl w:ilvl="4" w:tplc="9A16C9F4">
      <w:start w:val="1"/>
      <w:numFmt w:val="bullet"/>
      <w:lvlText w:val="○"/>
      <w:lvlJc w:val="left"/>
      <w:pPr>
        <w:ind w:left="3600" w:hanging="360"/>
      </w:pPr>
    </w:lvl>
    <w:lvl w:ilvl="5" w:tplc="1A28BC84">
      <w:start w:val="1"/>
      <w:numFmt w:val="bullet"/>
      <w:lvlText w:val="■"/>
      <w:lvlJc w:val="left"/>
      <w:pPr>
        <w:ind w:left="4320" w:hanging="360"/>
      </w:pPr>
    </w:lvl>
    <w:lvl w:ilvl="6" w:tplc="C16265B6">
      <w:start w:val="1"/>
      <w:numFmt w:val="bullet"/>
      <w:lvlText w:val="●"/>
      <w:lvlJc w:val="left"/>
      <w:pPr>
        <w:ind w:left="5040" w:hanging="360"/>
      </w:pPr>
    </w:lvl>
    <w:lvl w:ilvl="7" w:tplc="561E2EC6">
      <w:start w:val="1"/>
      <w:numFmt w:val="bullet"/>
      <w:lvlText w:val="●"/>
      <w:lvlJc w:val="left"/>
      <w:pPr>
        <w:ind w:left="5760" w:hanging="360"/>
      </w:pPr>
    </w:lvl>
    <w:lvl w:ilvl="8" w:tplc="B9384E1A">
      <w:start w:val="1"/>
      <w:numFmt w:val="bullet"/>
      <w:lvlText w:val="●"/>
      <w:lvlJc w:val="left"/>
      <w:pPr>
        <w:ind w:left="6480" w:hanging="360"/>
      </w:pPr>
    </w:lvl>
  </w:abstractNum>
  <w:num w:numId="1" w16cid:durableId="10099864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162"/>
    <w:rsid w:val="00177886"/>
    <w:rsid w:val="00325E1E"/>
    <w:rsid w:val="00632E64"/>
    <w:rsid w:val="009D49AD"/>
    <w:rsid w:val="00C23162"/>
    <w:rsid w:val="00D5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A4DFF9"/>
  <w15:docId w15:val="{84217201-A2DE-DF41-ABAB-D74DEA5A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sz w:val="28"/>
      <w:szCs w:val="28"/>
    </w:rPr>
  </w:style>
  <w:style w:type="paragraph" w:styleId="Heading2">
    <w:name w:val="heading 2"/>
    <w:uiPriority w:val="9"/>
    <w:unhideWhenUsed/>
    <w:qFormat/>
    <w:pPr>
      <w:spacing w:before="240" w:after="120"/>
      <w:outlineLvl w:val="1"/>
    </w:pPr>
    <w:rPr>
      <w:b/>
      <w:bCs/>
      <w:i/>
      <w:i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632E64"/>
    <w:rPr>
      <w:color w:val="605E5C"/>
      <w:shd w:val="clear" w:color="auto" w:fill="E1DFDD"/>
    </w:rPr>
  </w:style>
  <w:style w:type="character" w:styleId="FollowedHyperlink">
    <w:name w:val="FollowedHyperlink"/>
    <w:basedOn w:val="DefaultParagraphFont"/>
    <w:uiPriority w:val="99"/>
    <w:semiHidden/>
    <w:unhideWhenUsed/>
    <w:rsid w:val="00632E6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281/zenodo.19207064" TargetMode="External"/><Relationship Id="rId5" Type="http://schemas.openxmlformats.org/officeDocument/2006/relationships/hyperlink" Target="https://doi.org/10.5281/zenodo.1920706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3413</Words>
  <Characters>22188</Characters>
  <Application>Microsoft Office Word</Application>
  <DocSecurity>0</DocSecurity>
  <Lines>403</Lines>
  <Paragraphs>145</Paragraphs>
  <ScaleCrop>false</ScaleCrop>
  <Company/>
  <LinksUpToDate>false</LinksUpToDate>
  <CharactersWithSpaces>25456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anthony vondoom</cp:lastModifiedBy>
  <cp:revision>2</cp:revision>
  <dcterms:created xsi:type="dcterms:W3CDTF">2026-05-09T21:13:00Z</dcterms:created>
  <dcterms:modified xsi:type="dcterms:W3CDTF">2026-05-09T21:13:00Z</dcterms:modified>
</cp:coreProperties>
</file>