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EF4A5" w14:textId="77777777" w:rsidR="00956260" w:rsidRPr="00D06480" w:rsidRDefault="00956260"/>
    <w:p w14:paraId="6DDC5B72" w14:textId="77777777" w:rsidR="00956260" w:rsidRPr="00D06480" w:rsidRDefault="00956260"/>
    <w:p w14:paraId="39AD07D8" w14:textId="77777777" w:rsidR="00956260" w:rsidRPr="00D06480" w:rsidRDefault="00956260"/>
    <w:p w14:paraId="3E12C4CF" w14:textId="77777777" w:rsidR="00956260" w:rsidRPr="00D06480" w:rsidRDefault="00956260"/>
    <w:p w14:paraId="7114FCC8" w14:textId="77777777" w:rsidR="00956260" w:rsidRPr="00D06480" w:rsidRDefault="00000000">
      <w:pPr>
        <w:spacing w:after="80" w:line="360" w:lineRule="auto"/>
        <w:jc w:val="center"/>
      </w:pPr>
      <w:r>
        <w:rPr>
          <w:b/>
          <w:bCs/>
          <w:color w:val="000000"/>
          <w:sz w:val="36"/>
          <w:szCs w:val="36"/>
        </w:rPr>
        <w:t>CIVILIZATION IS REHEARSED</w:t>
      </w:r>
    </w:p>
    <w:p w14:paraId="4D327EB7" w14:textId="77777777" w:rsidR="00956260" w:rsidRPr="00D06480" w:rsidRDefault="00000000">
      <w:pPr>
        <w:spacing w:after="400" w:line="360" w:lineRule="auto"/>
        <w:jc w:val="center"/>
      </w:pPr>
      <w:r>
        <w:rPr>
          <w:b/>
          <w:bCs/>
          <w:color w:val="000000"/>
          <w:sz w:val="30"/>
          <w:szCs w:val="30"/>
        </w:rPr>
        <w:t>The Deep Symbolic Systems Model</w:t>
      </w:r>
    </w:p>
    <w:p w14:paraId="73C18378" w14:textId="77777777" w:rsidR="00956260" w:rsidRPr="00D06480" w:rsidRDefault="00000000">
      <w:r>
        <w:br w:type="page"/>
      </w:r>
    </w:p>
    <w:p w14:paraId="61DD9019" w14:textId="77777777" w:rsidR="00956260" w:rsidRPr="00D06480" w:rsidRDefault="00000000">
      <w:pPr>
        <w:pStyle w:val="Heading1"/>
      </w:pPr>
      <w:r>
        <w:lastRenderedPageBreak/>
        <w:t>Abstract</w:t>
      </w:r>
    </w:p>
    <w:p w14:paraId="0BEDF284" w14:textId="77777777" w:rsidR="00956260" w:rsidRPr="00D06480" w:rsidRDefault="00000000">
      <w:pPr>
        <w:spacing w:after="160" w:line="360" w:lineRule="auto"/>
        <w:jc w:val="both"/>
      </w:pPr>
      <w:r>
        <w:rPr>
          <w:color w:val="000000"/>
        </w:rPr>
        <w:t>The Deep Symbolic Systems Model (DSSM) proposes that human civilization advances not through episodic invention or moral choice, but through the recursive stabilization of embodied practices into durable symbolic systems — rituals that become symbols, symbols that become protocols, protocols that become institutions. This synthesis paper integrates thirty-nine published DSSM papers spanning 2025 to 2026, presenting a unified account of the model's theoretical architecture, methodological instruments, regional evidence base, applied extensions, and falsification conditions.</w:t>
      </w:r>
    </w:p>
    <w:p w14:paraId="427D66DA" w14:textId="77777777" w:rsidR="00956260" w:rsidRPr="00D06480" w:rsidRDefault="00000000">
      <w:pPr>
        <w:spacing w:after="160" w:line="360" w:lineRule="auto"/>
        <w:jc w:val="both"/>
      </w:pPr>
      <w:r>
        <w:rPr>
          <w:color w:val="000000"/>
        </w:rPr>
        <w:t>The paper proceeds in eight movements. It opens with the core theoretical inversion — that monumentality and writing are late-stage externalizations of pre-existing symbolic load, not its origins. It then grounds the framework in neuroscience, tracing the co-evolution of neural architecture and symbolic behavior from early hominins to anatomically modern humans. A comparative synthesis of five macro-regional pathways to symbolic stabilization — Egypt, Mesopotamia, East Asia, Mesoamerica, and the Indus Valley — demonstrates structural convergence despite divergent media and ecologies. Negative cases (Australia, Sub-Saharan Africa, Late Neolithic Europe) are analyzed as scope condition tests, confirming three distinct failure modes of the developmental sequence. The model's applied extensions — from technology as fossilized ritual, through empire as fossilized extraction, to the contemporary AI race as protocol competition — are evaluated against current evidence. The paper closes with a formal statement of falsification conditions and a structured research agenda.</w:t>
      </w:r>
    </w:p>
    <w:p w14:paraId="5FDF9C2D" w14:textId="77777777" w:rsidR="00956260" w:rsidRPr="00D06480" w:rsidRDefault="00000000">
      <w:pPr>
        <w:spacing w:after="240" w:line="360" w:lineRule="auto"/>
        <w:jc w:val="both"/>
      </w:pPr>
      <w:r>
        <w:rPr>
          <w:color w:val="000000"/>
        </w:rPr>
        <w:t>DSSM is presented as the first fully operationalized, falsifiable, two-dimensionally scored, and negative-case-validated cognitive-archaeological model of civilizational emergence.</w:t>
      </w:r>
    </w:p>
    <w:p w14:paraId="2077422A" w14:textId="77777777" w:rsidR="00956260" w:rsidRPr="00D06480" w:rsidRDefault="00000000">
      <w:pPr>
        <w:spacing w:after="240" w:line="360" w:lineRule="auto"/>
        <w:jc w:val="both"/>
      </w:pPr>
      <w:r>
        <w:rPr>
          <w:b/>
          <w:bCs/>
        </w:rPr>
        <w:t xml:space="preserve">Keywords: </w:t>
      </w:r>
      <w:r>
        <w:t>Deep Symbolic Systems Model, DSSM, symbolic stabilization, cognitive archaeology, Field Companion Protocol, fossilized ritual, protocol power, civilizational emergence, monumentality, writing as codification, negative cases, falsifiability, neural timescale bridge, community size threshold, applied DSSM</w:t>
      </w:r>
    </w:p>
    <w:p w14:paraId="1A321A9B" w14:textId="77777777" w:rsidR="00956260" w:rsidRPr="00D06480" w:rsidRDefault="00000000">
      <w:r>
        <w:br w:type="page"/>
      </w:r>
    </w:p>
    <w:p w14:paraId="0F335B84" w14:textId="77777777" w:rsidR="00956260" w:rsidRPr="00D06480" w:rsidRDefault="00000000">
      <w:pPr>
        <w:pStyle w:val="Heading1"/>
      </w:pPr>
      <w:r>
        <w:lastRenderedPageBreak/>
        <w:t>Table of Contents</w:t>
      </w:r>
    </w:p>
    <w:p w14:paraId="404A9B10" w14:textId="77777777" w:rsidR="00956260" w:rsidRPr="00D06480" w:rsidRDefault="00000000">
      <w:pPr>
        <w:spacing w:after="80" w:line="360" w:lineRule="auto"/>
        <w:jc w:val="both"/>
      </w:pPr>
      <w:r>
        <w:rPr>
          <w:color w:val="000000"/>
        </w:rPr>
        <w:t>1. Introduction: The Central Inversion</w:t>
      </w:r>
    </w:p>
    <w:p w14:paraId="092B92ED" w14:textId="77777777" w:rsidR="00956260" w:rsidRPr="00D06480" w:rsidRDefault="00000000">
      <w:pPr>
        <w:spacing w:after="80" w:line="360" w:lineRule="auto"/>
        <w:jc w:val="both"/>
      </w:pPr>
      <w:r>
        <w:rPr>
          <w:color w:val="000000"/>
        </w:rPr>
        <w:t>2. Neural and Cognitive Foundations</w:t>
      </w:r>
    </w:p>
    <w:p w14:paraId="67B046F7" w14:textId="77777777" w:rsidR="00956260" w:rsidRPr="00D06480" w:rsidRDefault="00000000">
      <w:pPr>
        <w:spacing w:after="80" w:line="360" w:lineRule="auto"/>
        <w:jc w:val="both"/>
      </w:pPr>
      <w:r>
        <w:rPr>
          <w:color w:val="000000"/>
        </w:rPr>
        <w:t>3. Theoretical Architecture of DSSM</w:t>
      </w:r>
    </w:p>
    <w:p w14:paraId="709F6CC3" w14:textId="77777777" w:rsidR="00956260" w:rsidRPr="00D06480" w:rsidRDefault="00000000">
      <w:pPr>
        <w:spacing w:after="80" w:line="360" w:lineRule="auto"/>
        <w:ind w:left="720"/>
        <w:jc w:val="both"/>
      </w:pPr>
      <w:r>
        <w:rPr>
          <w:color w:val="000000"/>
        </w:rPr>
        <w:t xml:space="preserve">   3.1  The Four Criteria</w:t>
      </w:r>
    </w:p>
    <w:p w14:paraId="2F1C586C" w14:textId="77777777" w:rsidR="00956260" w:rsidRPr="00D06480" w:rsidRDefault="00000000">
      <w:pPr>
        <w:spacing w:after="80" w:line="360" w:lineRule="auto"/>
        <w:ind w:left="720"/>
        <w:jc w:val="both"/>
      </w:pPr>
      <w:r>
        <w:rPr>
          <w:color w:val="000000"/>
        </w:rPr>
        <w:t xml:space="preserve">   3.2  The Four Stages</w:t>
      </w:r>
    </w:p>
    <w:p w14:paraId="6D78EA25" w14:textId="77777777" w:rsidR="00956260" w:rsidRPr="00D06480" w:rsidRDefault="00000000">
      <w:pPr>
        <w:spacing w:after="80" w:line="360" w:lineRule="auto"/>
        <w:ind w:left="720"/>
        <w:jc w:val="both"/>
      </w:pPr>
      <w:r>
        <w:rPr>
          <w:color w:val="000000"/>
        </w:rPr>
        <w:t xml:space="preserve">   3.3  The Field Companion Protocol (FCP)</w:t>
      </w:r>
    </w:p>
    <w:p w14:paraId="52BB6F26" w14:textId="77777777" w:rsidR="00956260" w:rsidRPr="00D06480" w:rsidRDefault="00000000">
      <w:pPr>
        <w:spacing w:after="80" w:line="360" w:lineRule="auto"/>
        <w:jc w:val="both"/>
      </w:pPr>
      <w:r>
        <w:rPr>
          <w:color w:val="000000"/>
        </w:rPr>
        <w:t>4. Macro-Regional Evidence</w:t>
      </w:r>
    </w:p>
    <w:p w14:paraId="7BA3D93F" w14:textId="77777777" w:rsidR="00956260" w:rsidRPr="00D06480" w:rsidRDefault="00000000">
      <w:pPr>
        <w:spacing w:after="80" w:line="360" w:lineRule="auto"/>
        <w:ind w:left="720"/>
        <w:jc w:val="both"/>
      </w:pPr>
      <w:r>
        <w:rPr>
          <w:color w:val="000000"/>
        </w:rPr>
        <w:t xml:space="preserve">   4.1  Egypt: The Nile Corridor Baseline</w:t>
      </w:r>
    </w:p>
    <w:p w14:paraId="57D23AEC" w14:textId="77777777" w:rsidR="00956260" w:rsidRPr="00D06480" w:rsidRDefault="00000000">
      <w:pPr>
        <w:spacing w:after="80" w:line="360" w:lineRule="auto"/>
        <w:ind w:left="720"/>
        <w:jc w:val="both"/>
      </w:pPr>
      <w:r>
        <w:rPr>
          <w:color w:val="000000"/>
        </w:rPr>
        <w:t xml:space="preserve">   4.2  Mesopotamia: Aggregation and Stress Testing</w:t>
      </w:r>
    </w:p>
    <w:p w14:paraId="372B654C" w14:textId="77777777" w:rsidR="00956260" w:rsidRPr="00D06480" w:rsidRDefault="00000000">
      <w:pPr>
        <w:spacing w:after="80" w:line="360" w:lineRule="auto"/>
        <w:ind w:left="720"/>
        <w:jc w:val="both"/>
      </w:pPr>
      <w:r>
        <w:rPr>
          <w:color w:val="000000"/>
        </w:rPr>
        <w:t xml:space="preserve">   4.3  East Asia: Portable Permanence</w:t>
      </w:r>
    </w:p>
    <w:p w14:paraId="16D9EE3A" w14:textId="77777777" w:rsidR="00956260" w:rsidRPr="00D06480" w:rsidRDefault="00000000">
      <w:pPr>
        <w:spacing w:after="80" w:line="360" w:lineRule="auto"/>
        <w:ind w:left="720"/>
        <w:jc w:val="both"/>
      </w:pPr>
      <w:r>
        <w:rPr>
          <w:color w:val="000000"/>
        </w:rPr>
        <w:t xml:space="preserve">   4.4  Mesoamerica: Ritual Networks Without Axial Rivers</w:t>
      </w:r>
    </w:p>
    <w:p w14:paraId="4194E3D6" w14:textId="77777777" w:rsidR="00956260" w:rsidRPr="00D06480" w:rsidRDefault="00000000">
      <w:pPr>
        <w:spacing w:after="80" w:line="360" w:lineRule="auto"/>
        <w:ind w:left="720"/>
        <w:jc w:val="both"/>
      </w:pPr>
      <w:r>
        <w:rPr>
          <w:color w:val="000000"/>
        </w:rPr>
        <w:t xml:space="preserve">   4.5  Indus Valley: Infrastructural Embedding</w:t>
      </w:r>
    </w:p>
    <w:p w14:paraId="07F56E80" w14:textId="77777777" w:rsidR="00956260" w:rsidRPr="00D06480" w:rsidRDefault="00000000">
      <w:pPr>
        <w:spacing w:after="80" w:line="360" w:lineRule="auto"/>
        <w:ind w:left="720"/>
        <w:jc w:val="both"/>
      </w:pPr>
      <w:r>
        <w:rPr>
          <w:color w:val="000000"/>
        </w:rPr>
        <w:t xml:space="preserve">   4.6  Sri Lanka: Symbolic Sufficiency as Control Case</w:t>
      </w:r>
    </w:p>
    <w:p w14:paraId="6D9CCB3C" w14:textId="77777777" w:rsidR="00956260" w:rsidRPr="00D06480" w:rsidRDefault="00000000">
      <w:pPr>
        <w:spacing w:after="80" w:line="360" w:lineRule="auto"/>
        <w:jc w:val="both"/>
      </w:pPr>
      <w:r>
        <w:rPr>
          <w:color w:val="000000"/>
        </w:rPr>
        <w:t>5. Site-Level Evidence and Special Cases</w:t>
      </w:r>
    </w:p>
    <w:p w14:paraId="332DB97B" w14:textId="77777777" w:rsidR="00956260" w:rsidRPr="00D06480" w:rsidRDefault="00000000">
      <w:pPr>
        <w:spacing w:after="80" w:line="360" w:lineRule="auto"/>
        <w:jc w:val="both"/>
      </w:pPr>
      <w:r>
        <w:rPr>
          <w:color w:val="000000"/>
        </w:rPr>
        <w:t>6. Writing as Contingent Codification</w:t>
      </w:r>
    </w:p>
    <w:p w14:paraId="7C3160BF" w14:textId="77777777" w:rsidR="00956260" w:rsidRPr="00D06480" w:rsidRDefault="00000000">
      <w:pPr>
        <w:spacing w:after="80" w:line="360" w:lineRule="auto"/>
        <w:jc w:val="both"/>
      </w:pPr>
      <w:r>
        <w:rPr>
          <w:color w:val="000000"/>
        </w:rPr>
        <w:t>7. Extended DSSM: Technology, Power, and Protocol</w:t>
      </w:r>
    </w:p>
    <w:p w14:paraId="0D598104" w14:textId="77777777" w:rsidR="00956260" w:rsidRPr="00D06480" w:rsidRDefault="00000000">
      <w:pPr>
        <w:spacing w:after="80" w:line="360" w:lineRule="auto"/>
        <w:jc w:val="both"/>
      </w:pPr>
      <w:r>
        <w:rPr>
          <w:color w:val="000000"/>
        </w:rPr>
        <w:t>8. Applied DSSM: The Contemporary World</w:t>
      </w:r>
    </w:p>
    <w:p w14:paraId="3DB73312" w14:textId="77777777" w:rsidR="00956260" w:rsidRPr="00D06480" w:rsidRDefault="00000000">
      <w:pPr>
        <w:spacing w:after="80" w:line="360" w:lineRule="auto"/>
        <w:jc w:val="both"/>
      </w:pPr>
      <w:r>
        <w:rPr>
          <w:color w:val="000000"/>
        </w:rPr>
        <w:t>9. Negative Cases and Falsification Conditions</w:t>
      </w:r>
    </w:p>
    <w:p w14:paraId="382F115B" w14:textId="77777777" w:rsidR="00956260" w:rsidRPr="00D06480" w:rsidRDefault="00000000">
      <w:pPr>
        <w:spacing w:after="80" w:line="360" w:lineRule="auto"/>
        <w:jc w:val="both"/>
      </w:pPr>
      <w:r>
        <w:rPr>
          <w:color w:val="000000"/>
        </w:rPr>
        <w:t>10. Limitations and Research Agenda</w:t>
      </w:r>
    </w:p>
    <w:p w14:paraId="00B9A568" w14:textId="77777777" w:rsidR="00956260" w:rsidRPr="00D06480" w:rsidRDefault="00000000">
      <w:pPr>
        <w:spacing w:after="80" w:line="360" w:lineRule="auto"/>
        <w:jc w:val="both"/>
      </w:pPr>
      <w:r>
        <w:rPr>
          <w:color w:val="000000"/>
        </w:rPr>
        <w:t>11. Conclusion</w:t>
      </w:r>
    </w:p>
    <w:p w14:paraId="6D0B35FC" w14:textId="77777777" w:rsidR="00956260" w:rsidRPr="00D06480" w:rsidRDefault="00000000">
      <w:pPr>
        <w:spacing w:after="80" w:line="360" w:lineRule="auto"/>
        <w:jc w:val="both"/>
      </w:pPr>
      <w:r>
        <w:rPr>
          <w:color w:val="000000"/>
        </w:rPr>
        <w:t>Code and Data Availability Statement</w:t>
      </w:r>
    </w:p>
    <w:p w14:paraId="6222EF05" w14:textId="77777777" w:rsidR="00956260" w:rsidRPr="00D06480" w:rsidRDefault="00000000">
      <w:pPr>
        <w:spacing w:after="80" w:line="360" w:lineRule="auto"/>
        <w:jc w:val="both"/>
      </w:pPr>
      <w:r>
        <w:rPr>
          <w:color w:val="000000"/>
        </w:rPr>
        <w:t>12. AI Disclosure</w:t>
      </w:r>
    </w:p>
    <w:p w14:paraId="71387C63" w14:textId="77777777" w:rsidR="00956260" w:rsidRPr="00D06480" w:rsidRDefault="00000000">
      <w:pPr>
        <w:spacing w:after="80" w:line="360" w:lineRule="auto"/>
        <w:jc w:val="both"/>
      </w:pPr>
      <w:r>
        <w:rPr>
          <w:color w:val="000000"/>
        </w:rPr>
        <w:t>13. Glossary</w:t>
      </w:r>
    </w:p>
    <w:p w14:paraId="1F08DF8C" w14:textId="77777777" w:rsidR="00956260" w:rsidRPr="00D06480" w:rsidRDefault="00000000">
      <w:pPr>
        <w:spacing w:after="80" w:line="360" w:lineRule="auto"/>
        <w:jc w:val="both"/>
      </w:pPr>
      <w:r>
        <w:rPr>
          <w:color w:val="000000"/>
        </w:rPr>
        <w:t>References</w:t>
      </w:r>
    </w:p>
    <w:p w14:paraId="3274C1D2" w14:textId="77777777" w:rsidR="00956260" w:rsidRPr="00D06480" w:rsidRDefault="00000000">
      <w:r>
        <w:br w:type="page"/>
      </w:r>
    </w:p>
    <w:p w14:paraId="443C6576" w14:textId="77777777" w:rsidR="00956260" w:rsidRPr="00D06480" w:rsidRDefault="00000000">
      <w:pPr>
        <w:pStyle w:val="Heading1"/>
      </w:pPr>
      <w:r>
        <w:lastRenderedPageBreak/>
        <w:t>1. Introduction: The Central Inversion</w:t>
      </w:r>
    </w:p>
    <w:p w14:paraId="5C0D4757" w14:textId="77777777" w:rsidR="00956260" w:rsidRPr="00D06480" w:rsidRDefault="00000000" w:rsidP="00D06480">
      <w:pPr>
        <w:spacing w:after="160" w:line="360" w:lineRule="auto"/>
        <w:ind w:firstLine="720"/>
        <w:jc w:val="both"/>
      </w:pPr>
      <w:r>
        <w:rPr>
          <w:color w:val="000000"/>
        </w:rPr>
        <w:t>For more than a century, archaeology and social theory have treated the canonical markers of civilization — monumental architecture, writing, surplus agriculture, and centralized administration — as the causes of cultural complexity. Within this framework, symbolic behavior is an output of institutional development, not its precondition. The Deep Symbolic Systems Model (DSSM) inverts this logic entirely.</w:t>
      </w:r>
    </w:p>
    <w:p w14:paraId="0476CEE4" w14:textId="77777777" w:rsidR="00956260" w:rsidRPr="00D06480" w:rsidRDefault="00000000">
      <w:pPr>
        <w:spacing w:after="160" w:line="360" w:lineRule="auto"/>
        <w:jc w:val="both"/>
      </w:pPr>
      <w:r>
        <w:rPr>
          <w:color w:val="000000"/>
        </w:rPr>
        <w:t>The DSSM proposes that symbolic systems stabilize long before writing, monumentality, or state formation appear (Author, 2025a). Monumental architecture is not the origin of symbolic complexity; it is its material compression. Writing does not generate meaning; it codifies meaning that was already stabilized through practice, ritual, and spatial repetition across generations. Institutions do not create symbolic authority; they inherit it from pre-existing systems of embodied constraint.</w:t>
      </w:r>
    </w:p>
    <w:p w14:paraId="5CEBC516" w14:textId="77777777" w:rsidR="00956260" w:rsidRPr="00D06480" w:rsidRDefault="00000000">
      <w:pPr>
        <w:spacing w:after="160" w:line="360" w:lineRule="auto"/>
        <w:jc w:val="both"/>
      </w:pPr>
      <w:r>
        <w:rPr>
          <w:color w:val="000000"/>
        </w:rPr>
        <w:t>This inversion is not merely interpretive. It generates testable predictions, specifies falsification conditions, and produces an explanatory framework capable of accounting simultaneously for regional diversity and cross-civilizational convergence. The central claim is both simple and radical: civilization is rehearsed, not invented.</w:t>
      </w:r>
    </w:p>
    <w:p w14:paraId="5BF4C90A" w14:textId="77777777" w:rsidR="00956260" w:rsidRPr="00D06480" w:rsidRDefault="00000000">
      <w:pPr>
        <w:spacing w:after="160" w:line="360" w:lineRule="auto"/>
        <w:jc w:val="both"/>
      </w:pPr>
      <w:r>
        <w:rPr>
          <w:color w:val="000000"/>
        </w:rPr>
        <w:t>The DSSM corpus — spanning thirty-nine papers published between December 2025 and March 2026 — develops this inversion across deep prehistory, comparative civilizational analysis, technological history, applied geopolitics, and cognitive neuroscience. The present paper synthesizes that corpus into a single unified account, drawing on all primary sources and preserving their falsification architecture.</w:t>
      </w:r>
    </w:p>
    <w:p w14:paraId="58D15BA0" w14:textId="77777777" w:rsidR="00956260" w:rsidRPr="00D06480" w:rsidRDefault="00000000">
      <w:pPr>
        <w:spacing w:after="160" w:line="360" w:lineRule="auto"/>
        <w:jc w:val="both"/>
      </w:pPr>
      <w:r>
        <w:rPr>
          <w:color w:val="000000"/>
        </w:rPr>
        <w:t>The argument proceeds from the neurological and evolutionary preconditions of symbolic cognition, through the mechanics of stabilization, across five macro-regional case studies and two PDF-format applied analyses, to the contemporary consequences of protocol power in the geopolitical present. Negative cases — regions where symbolic stabilization failed in specific, predictable ways — are treated not as anomalies but as the model's most important confirmations.</w:t>
      </w:r>
    </w:p>
    <w:p w14:paraId="72B4DE8A" w14:textId="77777777" w:rsidR="00956260" w:rsidRDefault="00956260">
      <w:pPr>
        <w:spacing w:before="200"/>
      </w:pPr>
    </w:p>
    <w:p w14:paraId="1FCA5709" w14:textId="77777777" w:rsidR="00D06480" w:rsidRDefault="00D06480">
      <w:pPr>
        <w:spacing w:before="200"/>
      </w:pPr>
    </w:p>
    <w:p w14:paraId="3079B456" w14:textId="77777777" w:rsidR="00D06480" w:rsidRPr="00D06480" w:rsidRDefault="00D06480">
      <w:pPr>
        <w:spacing w:before="200"/>
      </w:pPr>
    </w:p>
    <w:p w14:paraId="48080655" w14:textId="77777777" w:rsidR="00956260" w:rsidRPr="00D06480" w:rsidRDefault="00000000">
      <w:pPr>
        <w:shd w:val="clear" w:color="auto" w:fill="F0F4F8"/>
        <w:ind w:left="720" w:right="720"/>
      </w:pPr>
      <w:r>
        <w:rPr>
          <w:rFonts w:eastAsia="Courier New" w:cs="Courier New"/>
          <w:sz w:val="18"/>
          <w:szCs w:val="18"/>
        </w:rPr>
        <w:t xml:space="preserve">  DSSM CORE MECHANISM</w:t>
      </w:r>
    </w:p>
    <w:p w14:paraId="76E7C278" w14:textId="77777777" w:rsidR="00956260" w:rsidRPr="00D06480" w:rsidRDefault="00000000">
      <w:pPr>
        <w:shd w:val="clear" w:color="auto" w:fill="F0F4F8"/>
        <w:ind w:left="720" w:right="720"/>
      </w:pPr>
      <w:r>
        <w:rPr>
          <w:rFonts w:eastAsia="Courier New" w:cs="Courier New"/>
          <w:sz w:val="18"/>
          <w:szCs w:val="18"/>
        </w:rPr>
        <w:t xml:space="preserve">  </w:t>
      </w:r>
      <w:r>
        <w:rPr>
          <w:rFonts w:ascii="Arial" w:eastAsia="Courier New" w:hAnsi="Arial" w:cs="Arial"/>
          <w:sz w:val="18"/>
          <w:szCs w:val="18"/>
        </w:rPr>
        <w:t>─────────────────────────────────────────────────────────────</w:t>
      </w:r>
    </w:p>
    <w:p w14:paraId="341C5C65" w14:textId="77777777" w:rsidR="00956260" w:rsidRPr="00D06480" w:rsidRDefault="00000000">
      <w:pPr>
        <w:shd w:val="clear" w:color="auto" w:fill="F0F4F8"/>
        <w:ind w:left="720" w:right="720"/>
      </w:pPr>
      <w:r>
        <w:rPr>
          <w:rFonts w:eastAsia="Courier New" w:cs="Courier New"/>
          <w:sz w:val="18"/>
          <w:szCs w:val="18"/>
        </w:rPr>
        <w:lastRenderedPageBreak/>
        <w:t xml:space="preserve">  EMBODIED PRACTICE  </w:t>
      </w:r>
      <w:r>
        <w:rPr>
          <w:rFonts w:ascii="Arial" w:eastAsia="Courier New" w:hAnsi="Arial" w:cs="Arial"/>
          <w:sz w:val="18"/>
          <w:szCs w:val="18"/>
        </w:rPr>
        <w:t>──►</w:t>
      </w:r>
      <w:r>
        <w:rPr>
          <w:rFonts w:eastAsia="Courier New" w:cs="Courier New"/>
          <w:sz w:val="18"/>
          <w:szCs w:val="18"/>
        </w:rPr>
        <w:t xml:space="preserve">  RITUALIZED REPETITION</w:t>
      </w:r>
    </w:p>
    <w:p w14:paraId="3F1170A0"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w:t>
      </w:r>
      <w:r>
        <w:rPr>
          <w:rFonts w:ascii="MS Gothic" w:eastAsia="MS Gothic" w:hAnsi="MS Gothic" w:cs="MS Gothic" w:hint="eastAsia"/>
          <w:sz w:val="18"/>
          <w:szCs w:val="18"/>
        </w:rPr>
        <w:t>│</w:t>
      </w:r>
    </w:p>
    <w:p w14:paraId="1B1A6D1D"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(intergenerational      </w:t>
      </w:r>
      <w:r>
        <w:rPr>
          <w:rFonts w:ascii="MS Gothic" w:eastAsia="MS Gothic" w:hAnsi="MS Gothic" w:cs="MS Gothic" w:hint="eastAsia"/>
          <w:sz w:val="18"/>
          <w:szCs w:val="18"/>
        </w:rPr>
        <w:t>│</w:t>
      </w:r>
      <w:r>
        <w:rPr>
          <w:rFonts w:eastAsia="Courier New" w:cs="Courier New"/>
          <w:sz w:val="18"/>
          <w:szCs w:val="18"/>
        </w:rPr>
        <w:t xml:space="preserve">  (spatial constraint +</w:t>
      </w:r>
    </w:p>
    <w:p w14:paraId="5FD8B3D8"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repetition)            </w:t>
      </w:r>
      <w:r>
        <w:rPr>
          <w:rFonts w:ascii="MS Gothic" w:eastAsia="MS Gothic" w:hAnsi="MS Gothic" w:cs="MS Gothic" w:hint="eastAsia"/>
          <w:sz w:val="18"/>
          <w:szCs w:val="18"/>
        </w:rPr>
        <w:t>│</w:t>
      </w:r>
      <w:r>
        <w:rPr>
          <w:rFonts w:eastAsia="Courier New" w:cs="Courier New"/>
          <w:sz w:val="18"/>
          <w:szCs w:val="18"/>
        </w:rPr>
        <w:t xml:space="preserve">   cross-media redundancy)</w:t>
      </w:r>
    </w:p>
    <w:p w14:paraId="17785C28" w14:textId="77777777" w:rsidR="00956260" w:rsidRPr="00D06480" w:rsidRDefault="00000000">
      <w:pPr>
        <w:shd w:val="clear" w:color="auto" w:fill="F0F4F8"/>
        <w:ind w:left="720" w:right="720"/>
      </w:pPr>
      <w:r>
        <w:rPr>
          <w:rFonts w:eastAsia="Courier New" w:cs="Courier New"/>
          <w:sz w:val="18"/>
          <w:szCs w:val="18"/>
        </w:rPr>
        <w:t xml:space="preserve">       </w:t>
      </w:r>
      <w:r>
        <w:rPr>
          <w:rFonts w:ascii="Arial" w:eastAsia="Courier New" w:hAnsi="Arial" w:cs="Arial"/>
          <w:sz w:val="18"/>
          <w:szCs w:val="18"/>
        </w:rPr>
        <w:t>▼</w:t>
      </w:r>
      <w:r>
        <w:rPr>
          <w:rFonts w:eastAsia="Courier New" w:cs="Courier New"/>
          <w:sz w:val="18"/>
          <w:szCs w:val="18"/>
        </w:rPr>
        <w:t xml:space="preserve">                          </w:t>
      </w:r>
      <w:r>
        <w:rPr>
          <w:rFonts w:ascii="Arial" w:eastAsia="Courier New" w:hAnsi="Arial" w:cs="Arial"/>
          <w:sz w:val="18"/>
          <w:szCs w:val="18"/>
        </w:rPr>
        <w:t>▼</w:t>
      </w:r>
    </w:p>
    <w:p w14:paraId="7F743994" w14:textId="77777777" w:rsidR="00956260" w:rsidRPr="00D06480" w:rsidRDefault="00000000">
      <w:pPr>
        <w:shd w:val="clear" w:color="auto" w:fill="F0F4F8"/>
        <w:ind w:left="720" w:right="720"/>
      </w:pPr>
      <w:r>
        <w:rPr>
          <w:rFonts w:eastAsia="Courier New" w:cs="Courier New"/>
          <w:sz w:val="18"/>
          <w:szCs w:val="18"/>
        </w:rPr>
        <w:t xml:space="preserve">  SYMBOLIC LOAD  </w:t>
      </w:r>
      <w:r>
        <w:rPr>
          <w:rFonts w:ascii="Arial" w:eastAsia="Courier New" w:hAnsi="Arial" w:cs="Arial"/>
          <w:sz w:val="18"/>
          <w:szCs w:val="18"/>
        </w:rPr>
        <w:t>──────────────────────────────────────────────</w:t>
      </w:r>
    </w:p>
    <w:p w14:paraId="28D1D4CF"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w:t>
      </w:r>
    </w:p>
    <w:p w14:paraId="14DDCE36" w14:textId="77777777" w:rsidR="00956260" w:rsidRPr="00D06480" w:rsidRDefault="00000000">
      <w:pPr>
        <w:shd w:val="clear" w:color="auto" w:fill="F0F4F8"/>
        <w:ind w:left="720" w:right="720"/>
      </w:pPr>
      <w:r>
        <w:rPr>
          <w:rFonts w:eastAsia="Courier New" w:cs="Courier New"/>
          <w:sz w:val="18"/>
          <w:szCs w:val="18"/>
        </w:rPr>
        <w:t xml:space="preserve">       </w:t>
      </w:r>
      <w:r>
        <w:rPr>
          <w:rFonts w:ascii="Arial" w:eastAsia="Courier New" w:hAnsi="Arial" w:cs="Arial"/>
          <w:sz w:val="18"/>
          <w:szCs w:val="18"/>
        </w:rPr>
        <w:t>▼</w:t>
      </w:r>
      <w:r>
        <w:rPr>
          <w:rFonts w:eastAsia="Courier New" w:cs="Courier New"/>
          <w:sz w:val="18"/>
          <w:szCs w:val="18"/>
        </w:rPr>
        <w:t xml:space="preserve">  (community size &gt; ~500 / transmission fidelity crisis)</w:t>
      </w:r>
    </w:p>
    <w:p w14:paraId="1C3CAC42" w14:textId="77777777" w:rsidR="00956260" w:rsidRPr="00D06480" w:rsidRDefault="00000000">
      <w:pPr>
        <w:shd w:val="clear" w:color="auto" w:fill="F0F4F8"/>
        <w:ind w:left="720" w:right="720"/>
      </w:pPr>
      <w:r>
        <w:rPr>
          <w:rFonts w:eastAsia="Courier New" w:cs="Courier New"/>
          <w:sz w:val="18"/>
          <w:szCs w:val="18"/>
        </w:rPr>
        <w:t xml:space="preserve">  MATERIAL AMPLIFICATION  </w:t>
      </w:r>
      <w:r>
        <w:rPr>
          <w:rFonts w:ascii="Arial" w:eastAsia="Courier New" w:hAnsi="Arial" w:cs="Arial"/>
          <w:sz w:val="18"/>
          <w:szCs w:val="18"/>
        </w:rPr>
        <w:t>──►</w:t>
      </w:r>
      <w:r>
        <w:rPr>
          <w:rFonts w:eastAsia="Courier New" w:cs="Courier New"/>
          <w:sz w:val="18"/>
          <w:szCs w:val="18"/>
        </w:rPr>
        <w:t xml:space="preserve">  COGNITIVE OFFLOADING</w:t>
      </w:r>
    </w:p>
    <w:p w14:paraId="5EA9341F"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w:t>
      </w:r>
      <w:r>
        <w:rPr>
          <w:rFonts w:ascii="MS Gothic" w:eastAsia="MS Gothic" w:hAnsi="MS Gothic" w:cs="MS Gothic" w:hint="eastAsia"/>
          <w:sz w:val="18"/>
          <w:szCs w:val="18"/>
        </w:rPr>
        <w:t>│</w:t>
      </w:r>
    </w:p>
    <w:p w14:paraId="1C41626E" w14:textId="77777777" w:rsidR="00956260" w:rsidRPr="00D06480" w:rsidRDefault="00000000">
      <w:pPr>
        <w:shd w:val="clear" w:color="auto" w:fill="F0F4F8"/>
        <w:ind w:left="720" w:right="720"/>
      </w:pPr>
      <w:r>
        <w:rPr>
          <w:rFonts w:eastAsia="Courier New" w:cs="Courier New"/>
          <w:sz w:val="18"/>
          <w:szCs w:val="18"/>
        </w:rPr>
        <w:t xml:space="preserve">       </w:t>
      </w:r>
      <w:r>
        <w:rPr>
          <w:rFonts w:ascii="Arial" w:eastAsia="Courier New" w:hAnsi="Arial" w:cs="Arial"/>
          <w:sz w:val="18"/>
          <w:szCs w:val="18"/>
        </w:rPr>
        <w:t>▼</w:t>
      </w:r>
      <w:r>
        <w:rPr>
          <w:rFonts w:eastAsia="Courier New" w:cs="Courier New"/>
          <w:sz w:val="18"/>
          <w:szCs w:val="18"/>
        </w:rPr>
        <w:t xml:space="preserve">                          </w:t>
      </w:r>
      <w:r>
        <w:rPr>
          <w:rFonts w:ascii="Arial" w:eastAsia="Courier New" w:hAnsi="Arial" w:cs="Arial"/>
          <w:sz w:val="18"/>
          <w:szCs w:val="18"/>
        </w:rPr>
        <w:t>▼</w:t>
      </w:r>
    </w:p>
    <w:p w14:paraId="1369CF49" w14:textId="77777777" w:rsidR="00956260" w:rsidRPr="00D06480" w:rsidRDefault="00000000">
      <w:pPr>
        <w:shd w:val="clear" w:color="auto" w:fill="F0F4F8"/>
        <w:ind w:left="720" w:right="720"/>
      </w:pPr>
      <w:r>
        <w:rPr>
          <w:rFonts w:eastAsia="Courier New" w:cs="Courier New"/>
          <w:sz w:val="18"/>
          <w:szCs w:val="18"/>
        </w:rPr>
        <w:t xml:space="preserve">  MONUMENT / WRITING / INSTITUTION  (late-stage compression)</w:t>
      </w:r>
    </w:p>
    <w:p w14:paraId="5D41D545" w14:textId="77777777" w:rsidR="00956260" w:rsidRPr="00D06480" w:rsidRDefault="00000000">
      <w:pPr>
        <w:shd w:val="clear" w:color="auto" w:fill="F0F4F8"/>
        <w:ind w:left="720" w:right="720"/>
      </w:pPr>
      <w:r>
        <w:rPr>
          <w:rFonts w:eastAsia="Courier New" w:cs="Courier New"/>
          <w:sz w:val="18"/>
          <w:szCs w:val="18"/>
        </w:rPr>
        <w:t xml:space="preserve">  </w:t>
      </w:r>
      <w:r>
        <w:rPr>
          <w:rFonts w:ascii="Arial" w:eastAsia="Courier New" w:hAnsi="Arial" w:cs="Arial"/>
          <w:sz w:val="18"/>
          <w:szCs w:val="18"/>
        </w:rPr>
        <w:t>─────────────────────────────────────────────────────────────</w:t>
      </w:r>
    </w:p>
    <w:p w14:paraId="419FA949" w14:textId="77777777" w:rsidR="00956260" w:rsidRPr="00D06480" w:rsidRDefault="00000000">
      <w:pPr>
        <w:shd w:val="clear" w:color="auto" w:fill="F0F4F8"/>
        <w:ind w:left="720" w:right="720"/>
      </w:pPr>
      <w:r>
        <w:rPr>
          <w:rFonts w:eastAsia="Courier New" w:cs="Courier New"/>
          <w:sz w:val="18"/>
          <w:szCs w:val="18"/>
        </w:rPr>
        <w:t xml:space="preserve">  KEY: Monumentality &amp; Writing are OUTPUTS, not CAUSES</w:t>
      </w:r>
    </w:p>
    <w:p w14:paraId="252E1A9B" w14:textId="77777777" w:rsidR="00956260" w:rsidRPr="00D06480" w:rsidRDefault="00000000">
      <w:pPr>
        <w:spacing w:before="100" w:after="240"/>
        <w:jc w:val="center"/>
      </w:pPr>
      <w:r>
        <w:rPr>
          <w:b/>
          <w:bCs/>
          <w:i/>
          <w:iCs/>
          <w:sz w:val="20"/>
          <w:szCs w:val="20"/>
        </w:rPr>
        <w:t>Figure 1. The DSSM Core Mechanism: from embodied practice to institutional emergence.</w:t>
      </w:r>
    </w:p>
    <w:p w14:paraId="74BF71EA" w14:textId="77777777" w:rsidR="00956260" w:rsidRPr="00D06480" w:rsidRDefault="00000000">
      <w:r>
        <w:br w:type="page"/>
      </w:r>
    </w:p>
    <w:p w14:paraId="6F821464" w14:textId="77777777" w:rsidR="00956260" w:rsidRPr="00D06480" w:rsidRDefault="00000000">
      <w:pPr>
        <w:pStyle w:val="Heading1"/>
      </w:pPr>
      <w:r>
        <w:lastRenderedPageBreak/>
        <w:t>2. Neural and Cognitive Foundations</w:t>
      </w:r>
    </w:p>
    <w:p w14:paraId="6C55403A" w14:textId="77777777" w:rsidR="00956260" w:rsidRPr="00D06480" w:rsidRDefault="00000000">
      <w:pPr>
        <w:spacing w:after="160" w:line="360" w:lineRule="auto"/>
        <w:jc w:val="both"/>
      </w:pPr>
      <w:r>
        <w:rPr>
          <w:color w:val="000000"/>
        </w:rPr>
        <w:t>The DSSM rests on a specific claim about the relationship between neural architecture and symbolic behavior: cortical reorganization precedes, rather than follows, the appearance of complex symbolic practice . This is not a claim about a single cognitive threshold or 'revolution.' The fossil record from Sahelanthropus tchadensis (~7 Ma) through anatomically modern Homo sapiens reveals a mosaic trajectory — incremental neural reorganization coupled with incremental behavioral elaboration — rather than a sudden leap.</w:t>
      </w:r>
    </w:p>
    <w:p w14:paraId="1D8DF3AC" w14:textId="77777777" w:rsidR="00956260" w:rsidRPr="00D06480" w:rsidRDefault="00000000">
      <w:pPr>
        <w:spacing w:after="160" w:line="360" w:lineRule="auto"/>
        <w:jc w:val="both"/>
      </w:pPr>
      <w:r>
        <w:rPr>
          <w:color w:val="000000"/>
        </w:rPr>
        <w:t>Three phases structure this trajectory. In Phase 1 (Technological Cognition, 1.5 Ma–300 ka), Acheulean industries demonstrate multi-stage planning, standardized production templates, coordinated large-game butchery, and long-distance raw material transport. These require temporal sequencing, role differentiation, and distributed cognitive load — all precursors to symbolic consistency (Stout, Hecht &amp; Chaminade, 2018; Coolidge &amp; Wynn, 2005). Crucially, the Acheulean handaxe is not merely a tool; it is a socially transmitted production schema. The bilateral symmetry and standardized geometry of Acheulean tools imply shared mental templates transmitted through direct observation and corrective feedback — the earliest documented instance of what DSSM calls procedural symbolic familiarity: meaning embedded in skilled action rather than in material inscription. In Phase 2 (Anatomical Modernization, 300–50 ka), expanded parietal and temporal lobes, increased cortical globularity, and demographic bottlenecks from events such as the Toba eruption (~74 ka) select for portable, orally transmissible knowledge systems capable of surviving without external recordation (Klein, 2009; Mithen, 1996). In Phase 3 (Behavioral Stabilization, 50 ka onward), redundancy across sensory modalities — figurative art, personal ornamentation, spatially structured activity loci — strengthens shared symbolic grammars and creates persistent constraint systems far earlier than writing (McBrearty &amp; Brooks, 2000).</w:t>
      </w:r>
    </w:p>
    <w:p w14:paraId="69C9D809" w14:textId="77777777" w:rsidR="00956260" w:rsidRPr="00D06480" w:rsidRDefault="00000000">
      <w:pPr>
        <w:spacing w:after="160" w:line="360" w:lineRule="auto"/>
        <w:jc w:val="both"/>
      </w:pPr>
      <w:r>
        <w:rPr>
          <w:color w:val="000000"/>
        </w:rPr>
        <w:t xml:space="preserve">The DSSM builds explicitly on five established theoretical frameworks while contributing three novel integrations that none of those frameworks individually achieves . Material engagement theory (Malafouris, 2013) provides the ontological foundation: the relationship between material culture and cognition is constitutive rather than representational. Distributed cognition (Hutchins, 1995) establishes that cognitive processes are not confined to individual brains but extend across bodies, tools, and environments. Practice theory (Bourdieu, 1990) identifies repetitive social action as the generative mechanism of cultural reproduction. Modes of religiosity theory (Whitehouse, 2004) </w:t>
      </w:r>
      <w:r>
        <w:rPr>
          <w:color w:val="000000"/>
        </w:rPr>
        <w:lastRenderedPageBreak/>
        <w:t>documents the cognitive effects of high-frequency, low-arousal ritual practices. Niche construction theory (Laland et al., 2015) frames cultural practices as environmental modifications that feed back onto the selective pressures shaping cognitive evolution. The DSSM's novelty lies in integrating these five frameworks into a unified, falsifiable, and operationalized account of civilizational emergence — connecting them through a developmental sequence with testable temporal lags, a measurement instrument with statistical thresholds, and a treatment of negative cases that no prior framework attempted.</w:t>
      </w:r>
    </w:p>
    <w:p w14:paraId="7F71C734" w14:textId="77777777" w:rsidR="00956260" w:rsidRPr="00D06480" w:rsidRDefault="00000000">
      <w:pPr>
        <w:spacing w:after="160" w:line="360" w:lineRule="auto"/>
        <w:jc w:val="both"/>
      </w:pPr>
      <w:r>
        <w:rPr>
          <w:color w:val="000000"/>
        </w:rPr>
        <w:t>The DSSM's most technically ambitious contribution in this domain is the neural timescale bridge : the derivation of archaeologically detectable detection windows from laboratory-demonstrated neural consolidation timescales. Procedural memory consolidation in the basal ganglia and cerebellum requires approximately four to eight weeks for motor habit formation in individuals (Graybiel, 2008; Yin &amp; Knowlton, 2006), which translates — across five to twenty-five transmission generations — to an archaeological detection window of approximately 100 to 500 years for Stage 1 signatures. Hippocampal spatial encoding, operating on timescales of hours to days for episodic spatial map formation, produces a detection window of approximately 150 to 600 years for mnemonic architecture signatures. Long-term potentiation in cortical and hippocampal synapses produces a detection window of 200 to 800 years for Stage 2 ritualization. Prefrontal-motor integration, requiring months for complex cognitive habit formation, produces a window of 300 to 900 years for multi-agent ritual sequence entrenchment. Cultural transmission bias accumulation — requiring up to a generation for high-fidelity copying — produces a window of 500 to 1,500 years for population-level symbolic drift suppression, corresponding to Stage 3 (Henrich, 2015; Richerson et al., 2016). These are not post-hoc descriptions; they are advance predictions about when Stage-specific archaeological signatures should appear relative to the initiation of the underlying neural processes.</w:t>
      </w:r>
    </w:p>
    <w:p w14:paraId="4AF41259" w14:textId="77777777" w:rsidR="00956260" w:rsidRPr="00D06480" w:rsidRDefault="00000000">
      <w:pPr>
        <w:spacing w:after="160" w:line="360" w:lineRule="auto"/>
        <w:jc w:val="both"/>
      </w:pPr>
      <w:r>
        <w:rPr>
          <w:color w:val="000000"/>
        </w:rPr>
        <w:t xml:space="preserve">The Egyptian evidence provides the sharpest test. The Badarian-to-Naqada I transition spans approximately 500 years, consistent with the Stage 1 detection window. The Naqada I-to-II transition spans approximately 500 years, at the upper boundary of the Stage 2 window. The Naqada IIc-d transition, where CV crosses the Stage 3 threshold of 0.15, occurs approximately 150 to 200 years before the onset of maximum iconographic elaboration — consistent with the neural timescale bridge prediction that Stage 3 signatures should precede institutional elaboration by one to two </w:t>
      </w:r>
      <w:r>
        <w:rPr>
          <w:color w:val="000000"/>
        </w:rPr>
        <w:lastRenderedPageBreak/>
        <w:t>archaeological phases. No competing framework — environmental determinism, technological determinism, or cognitive revolution models — generates any of these quantitative predictions .</w:t>
      </w:r>
    </w:p>
    <w:p w14:paraId="1070AEEF" w14:textId="77777777" w:rsidR="00956260" w:rsidRPr="00D06480" w:rsidRDefault="00000000">
      <w:pPr>
        <w:spacing w:before="240" w:after="80"/>
        <w:jc w:val="center"/>
      </w:pPr>
      <w:r>
        <w:rPr>
          <w:b/>
          <w:bCs/>
          <w:sz w:val="20"/>
          <w:szCs w:val="20"/>
        </w:rPr>
        <w:t>Table 1. DSSM Neural Timescale Bridge: Laboratory Mechanisms and Archaeological Detection Windows</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600"/>
        <w:gridCol w:w="1700"/>
        <w:gridCol w:w="2160"/>
        <w:gridCol w:w="1100"/>
      </w:tblGrid>
      <w:tr w:rsidR="00956260" w:rsidRPr="00D06480" w14:paraId="08CC5F61" w14:textId="77777777" w:rsidTr="00D06480">
        <w:trPr>
          <w:tblHeader/>
          <w:jc w:val="center"/>
        </w:trPr>
        <w:tc>
          <w:tcPr>
            <w:tcW w:w="22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4DF3CF0E" w14:textId="77777777" w:rsidR="00956260" w:rsidRPr="00D06480" w:rsidRDefault="00000000">
            <w:pPr>
              <w:jc w:val="center"/>
            </w:pPr>
            <w:r>
              <w:rPr>
                <w:b/>
                <w:bCs/>
                <w:color w:val="FFFFFF"/>
                <w:sz w:val="20"/>
                <w:szCs w:val="20"/>
              </w:rPr>
              <w:t>Neural Mechanism</w:t>
            </w:r>
          </w:p>
        </w:tc>
        <w:tc>
          <w:tcPr>
            <w:tcW w:w="16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1D5B29D3" w14:textId="77777777" w:rsidR="00956260" w:rsidRPr="00D06480" w:rsidRDefault="00000000">
            <w:pPr>
              <w:jc w:val="center"/>
            </w:pPr>
            <w:r>
              <w:rPr>
                <w:b/>
                <w:bCs/>
                <w:color w:val="FFFFFF"/>
                <w:sz w:val="20"/>
                <w:szCs w:val="20"/>
              </w:rPr>
              <w:t>Brain System</w:t>
            </w:r>
          </w:p>
        </w:tc>
        <w:tc>
          <w:tcPr>
            <w:tcW w:w="17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4D60400B" w14:textId="77777777" w:rsidR="00956260" w:rsidRPr="00D06480" w:rsidRDefault="00000000">
            <w:pPr>
              <w:jc w:val="center"/>
            </w:pPr>
            <w:r>
              <w:rPr>
                <w:b/>
                <w:bCs/>
                <w:color w:val="FFFFFF"/>
                <w:sz w:val="20"/>
                <w:szCs w:val="20"/>
              </w:rPr>
              <w:t>Lab Timescale</w:t>
            </w:r>
          </w:p>
        </w:tc>
        <w:tc>
          <w:tcPr>
            <w:tcW w:w="216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0085CF46" w14:textId="77777777" w:rsidR="00956260" w:rsidRPr="00D06480" w:rsidRDefault="00000000">
            <w:pPr>
              <w:jc w:val="center"/>
            </w:pPr>
            <w:r>
              <w:rPr>
                <w:b/>
                <w:bCs/>
                <w:color w:val="FFFFFF"/>
                <w:sz w:val="20"/>
                <w:szCs w:val="20"/>
              </w:rPr>
              <w:t>Archaeological Detection Window</w:t>
            </w:r>
          </w:p>
        </w:tc>
        <w:tc>
          <w:tcPr>
            <w:tcW w:w="11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286D6BC6" w14:textId="77777777" w:rsidR="00956260" w:rsidRPr="00D06480" w:rsidRDefault="00000000">
            <w:pPr>
              <w:jc w:val="center"/>
            </w:pPr>
            <w:r>
              <w:rPr>
                <w:b/>
                <w:bCs/>
                <w:color w:val="FFFFFF"/>
                <w:sz w:val="20"/>
                <w:szCs w:val="20"/>
              </w:rPr>
              <w:t>DSSM Stage</w:t>
            </w:r>
          </w:p>
        </w:tc>
      </w:tr>
      <w:tr w:rsidR="00956260" w:rsidRPr="00D06480" w14:paraId="3B7D028A" w14:textId="77777777" w:rsidTr="00D06480">
        <w:trPr>
          <w:jc w:val="center"/>
        </w:trPr>
        <w:tc>
          <w:tcPr>
            <w:tcW w:w="2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2373C00E" w14:textId="77777777" w:rsidR="00956260" w:rsidRPr="00D06480" w:rsidRDefault="00000000">
            <w:r>
              <w:rPr>
                <w:sz w:val="20"/>
                <w:szCs w:val="20"/>
              </w:rPr>
              <w:t>Procedural memory consolidation</w:t>
            </w:r>
          </w:p>
        </w:tc>
        <w:tc>
          <w:tcPr>
            <w:tcW w:w="16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2A9B9092" w14:textId="77777777" w:rsidR="00956260" w:rsidRPr="00D06480" w:rsidRDefault="00000000">
            <w:r>
              <w:rPr>
                <w:sz w:val="20"/>
                <w:szCs w:val="20"/>
              </w:rPr>
              <w:t>Basal ganglia, cerebellum</w:t>
            </w:r>
          </w:p>
        </w:tc>
        <w:tc>
          <w:tcPr>
            <w:tcW w:w="17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2D060B11" w14:textId="77777777" w:rsidR="00956260" w:rsidRPr="00D06480" w:rsidRDefault="00000000">
            <w:r>
              <w:rPr>
                <w:sz w:val="20"/>
                <w:szCs w:val="20"/>
              </w:rPr>
              <w:t>~4–8 weeks (motor habit)</w:t>
            </w:r>
          </w:p>
        </w:tc>
        <w:tc>
          <w:tcPr>
            <w:tcW w:w="21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5BE35B16" w14:textId="77777777" w:rsidR="00956260" w:rsidRPr="00D06480" w:rsidRDefault="00000000">
            <w:r>
              <w:rPr>
                <w:sz w:val="20"/>
                <w:szCs w:val="20"/>
              </w:rPr>
              <w:t>100–500 years</w:t>
            </w:r>
          </w:p>
        </w:tc>
        <w:tc>
          <w:tcPr>
            <w:tcW w:w="11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3C2A3D43" w14:textId="77777777" w:rsidR="00956260" w:rsidRPr="00D06480" w:rsidRDefault="00000000">
            <w:r>
              <w:rPr>
                <w:sz w:val="20"/>
                <w:szCs w:val="20"/>
              </w:rPr>
              <w:t>Stage 1</w:t>
            </w:r>
          </w:p>
        </w:tc>
      </w:tr>
      <w:tr w:rsidR="00956260" w:rsidRPr="00D06480" w14:paraId="51221BCE" w14:textId="77777777" w:rsidTr="00D06480">
        <w:trPr>
          <w:jc w:val="center"/>
        </w:trPr>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5D741BF" w14:textId="77777777" w:rsidR="00956260" w:rsidRPr="00D06480" w:rsidRDefault="00000000">
            <w:r>
              <w:rPr>
                <w:sz w:val="20"/>
                <w:szCs w:val="20"/>
              </w:rPr>
              <w:t>Hippocampal spatial encoding</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021F84" w14:textId="77777777" w:rsidR="00956260" w:rsidRPr="00D06480" w:rsidRDefault="00000000">
            <w:r>
              <w:rPr>
                <w:sz w:val="20"/>
                <w:szCs w:val="20"/>
              </w:rPr>
              <w:t>Hippocampus, entorhinal cortex</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27FF0B4" w14:textId="77777777" w:rsidR="00956260" w:rsidRPr="00D06480" w:rsidRDefault="00000000">
            <w:r>
              <w:rPr>
                <w:sz w:val="20"/>
                <w:szCs w:val="20"/>
              </w:rPr>
              <w:t>Hours–days (spatial map)</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1421CDA" w14:textId="77777777" w:rsidR="00956260" w:rsidRPr="00D06480" w:rsidRDefault="00000000">
            <w:r>
              <w:rPr>
                <w:sz w:val="20"/>
                <w:szCs w:val="20"/>
              </w:rPr>
              <w:t>150–600 years</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059D3E0" w14:textId="77777777" w:rsidR="00956260" w:rsidRPr="00D06480" w:rsidRDefault="00000000">
            <w:r>
              <w:rPr>
                <w:sz w:val="20"/>
                <w:szCs w:val="20"/>
              </w:rPr>
              <w:t>Stage 1–2</w:t>
            </w:r>
          </w:p>
        </w:tc>
      </w:tr>
      <w:tr w:rsidR="00956260" w:rsidRPr="00D06480" w14:paraId="1BE69364" w14:textId="77777777" w:rsidTr="00D06480">
        <w:trPr>
          <w:jc w:val="center"/>
        </w:trPr>
        <w:tc>
          <w:tcPr>
            <w:tcW w:w="2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2491891A" w14:textId="77777777" w:rsidR="00956260" w:rsidRPr="00D06480" w:rsidRDefault="00000000">
            <w:r>
              <w:rPr>
                <w:sz w:val="20"/>
                <w:szCs w:val="20"/>
              </w:rPr>
              <w:t>Long-term potentiation (synaptic)</w:t>
            </w:r>
          </w:p>
        </w:tc>
        <w:tc>
          <w:tcPr>
            <w:tcW w:w="16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7E45670F" w14:textId="77777777" w:rsidR="00956260" w:rsidRPr="00D06480" w:rsidRDefault="00000000">
            <w:r>
              <w:rPr>
                <w:sz w:val="20"/>
                <w:szCs w:val="20"/>
              </w:rPr>
              <w:t>Cortical &amp; hippocampal synapses</w:t>
            </w:r>
          </w:p>
        </w:tc>
        <w:tc>
          <w:tcPr>
            <w:tcW w:w="17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478FA8A1" w14:textId="77777777" w:rsidR="00956260" w:rsidRPr="00D06480" w:rsidRDefault="00000000">
            <w:r>
              <w:rPr>
                <w:sz w:val="20"/>
                <w:szCs w:val="20"/>
              </w:rPr>
              <w:t>Minutes–days; weeks to consolidate</w:t>
            </w:r>
          </w:p>
        </w:tc>
        <w:tc>
          <w:tcPr>
            <w:tcW w:w="21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6D44FDD4" w14:textId="77777777" w:rsidR="00956260" w:rsidRPr="00D06480" w:rsidRDefault="00000000">
            <w:r>
              <w:rPr>
                <w:sz w:val="20"/>
                <w:szCs w:val="20"/>
              </w:rPr>
              <w:t>200–800 years</w:t>
            </w:r>
          </w:p>
        </w:tc>
        <w:tc>
          <w:tcPr>
            <w:tcW w:w="11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0ACAA9F3" w14:textId="77777777" w:rsidR="00956260" w:rsidRPr="00D06480" w:rsidRDefault="00000000">
            <w:r>
              <w:rPr>
                <w:sz w:val="20"/>
                <w:szCs w:val="20"/>
              </w:rPr>
              <w:t>Stage 2</w:t>
            </w:r>
          </w:p>
        </w:tc>
      </w:tr>
      <w:tr w:rsidR="00956260" w:rsidRPr="00D06480" w14:paraId="29228F96" w14:textId="77777777" w:rsidTr="00D06480">
        <w:trPr>
          <w:jc w:val="center"/>
        </w:trPr>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7B11B12" w14:textId="77777777" w:rsidR="00956260" w:rsidRPr="00D06480" w:rsidRDefault="00000000">
            <w:r>
              <w:rPr>
                <w:sz w:val="20"/>
                <w:szCs w:val="20"/>
              </w:rPr>
              <w:t>Prefrontal-motor integration</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688722" w14:textId="77777777" w:rsidR="00956260" w:rsidRPr="00D06480" w:rsidRDefault="00000000">
            <w:r>
              <w:rPr>
                <w:sz w:val="20"/>
                <w:szCs w:val="20"/>
              </w:rPr>
              <w:t>Prefrontal cortex, premotor areas</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151E76" w14:textId="77777777" w:rsidR="00956260" w:rsidRPr="00D06480" w:rsidRDefault="00000000">
            <w:r>
              <w:rPr>
                <w:sz w:val="20"/>
                <w:szCs w:val="20"/>
              </w:rPr>
              <w:t>Months (complex habit)</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63E590E" w14:textId="77777777" w:rsidR="00956260" w:rsidRPr="00D06480" w:rsidRDefault="00000000">
            <w:r>
              <w:rPr>
                <w:sz w:val="20"/>
                <w:szCs w:val="20"/>
              </w:rPr>
              <w:t>300–900 years</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0EB2CCE" w14:textId="77777777" w:rsidR="00956260" w:rsidRPr="00D06480" w:rsidRDefault="00000000">
            <w:r>
              <w:rPr>
                <w:sz w:val="20"/>
                <w:szCs w:val="20"/>
              </w:rPr>
              <w:t>Stage 2–3</w:t>
            </w:r>
          </w:p>
        </w:tc>
      </w:tr>
      <w:tr w:rsidR="00956260" w:rsidRPr="00D06480" w14:paraId="1FC4B0C3" w14:textId="77777777" w:rsidTr="00D06480">
        <w:trPr>
          <w:jc w:val="center"/>
        </w:trPr>
        <w:tc>
          <w:tcPr>
            <w:tcW w:w="2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2DEB428A" w14:textId="77777777" w:rsidR="00956260" w:rsidRPr="00D06480" w:rsidRDefault="00000000">
            <w:r>
              <w:rPr>
                <w:sz w:val="20"/>
                <w:szCs w:val="20"/>
              </w:rPr>
              <w:t>Cultural transmission bias</w:t>
            </w:r>
          </w:p>
        </w:tc>
        <w:tc>
          <w:tcPr>
            <w:tcW w:w="16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356461D4" w14:textId="77777777" w:rsidR="00956260" w:rsidRPr="00D06480" w:rsidRDefault="00000000">
            <w:r>
              <w:rPr>
                <w:sz w:val="20"/>
                <w:szCs w:val="20"/>
              </w:rPr>
              <w:t>Distributed social-cognitive network</w:t>
            </w:r>
          </w:p>
        </w:tc>
        <w:tc>
          <w:tcPr>
            <w:tcW w:w="17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6709D69C" w14:textId="77777777" w:rsidR="00956260" w:rsidRPr="00D06480" w:rsidRDefault="00000000">
            <w:r>
              <w:rPr>
                <w:sz w:val="20"/>
                <w:szCs w:val="20"/>
              </w:rPr>
              <w:t>~1 generation (high-fidelity)</w:t>
            </w:r>
          </w:p>
        </w:tc>
        <w:tc>
          <w:tcPr>
            <w:tcW w:w="21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7F7AFB48" w14:textId="77777777" w:rsidR="00956260" w:rsidRPr="00D06480" w:rsidRDefault="00000000">
            <w:r>
              <w:rPr>
                <w:sz w:val="20"/>
                <w:szCs w:val="20"/>
              </w:rPr>
              <w:t>500–1,500 years</w:t>
            </w:r>
          </w:p>
        </w:tc>
        <w:tc>
          <w:tcPr>
            <w:tcW w:w="11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2C06E67A" w14:textId="77777777" w:rsidR="00956260" w:rsidRPr="00D06480" w:rsidRDefault="00000000">
            <w:r>
              <w:rPr>
                <w:sz w:val="20"/>
                <w:szCs w:val="20"/>
              </w:rPr>
              <w:t>Stage 3</w:t>
            </w:r>
          </w:p>
        </w:tc>
      </w:tr>
    </w:tbl>
    <w:p w14:paraId="57BDE588" w14:textId="77777777" w:rsidR="00956260" w:rsidRPr="00D06480" w:rsidRDefault="00000000">
      <w:pPr>
        <w:spacing w:before="100" w:after="240"/>
        <w:jc w:val="center"/>
      </w:pPr>
      <w:r>
        <w:rPr>
          <w:b/>
          <w:bCs/>
          <w:i/>
          <w:iCs/>
          <w:sz w:val="20"/>
          <w:szCs w:val="20"/>
        </w:rPr>
        <w:t>Source: Author (2026b); Graybiel (2008); Yin &amp; Knowlton (2006); Burgess (2014); Henrich (2015); Richerson et al. (2016).</w:t>
      </w:r>
    </w:p>
    <w:p w14:paraId="2B1B7131" w14:textId="77777777" w:rsidR="00956260" w:rsidRPr="00D06480" w:rsidRDefault="00000000">
      <w:r>
        <w:br w:type="page"/>
      </w:r>
    </w:p>
    <w:p w14:paraId="56D23606" w14:textId="77777777" w:rsidR="00956260" w:rsidRPr="00D06480" w:rsidRDefault="00000000">
      <w:pPr>
        <w:pStyle w:val="Heading1"/>
      </w:pPr>
      <w:r>
        <w:lastRenderedPageBreak/>
        <w:t>3. Theoretical Architecture of DSSM</w:t>
      </w:r>
    </w:p>
    <w:p w14:paraId="596F5A1F" w14:textId="77777777" w:rsidR="00956260" w:rsidRPr="00D06480" w:rsidRDefault="00000000">
      <w:pPr>
        <w:pStyle w:val="Heading2"/>
      </w:pPr>
      <w:r>
        <w:t>3.1 The Four Criteria</w:t>
      </w:r>
    </w:p>
    <w:p w14:paraId="1FE13E37" w14:textId="77777777" w:rsidR="00956260" w:rsidRPr="00D06480" w:rsidRDefault="00000000" w:rsidP="00D06480">
      <w:pPr>
        <w:spacing w:after="160" w:line="360" w:lineRule="auto"/>
        <w:ind w:firstLine="720"/>
        <w:jc w:val="both"/>
      </w:pPr>
      <w:r>
        <w:rPr>
          <w:color w:val="000000"/>
        </w:rPr>
        <w:t>Symbolic stabilization, in DSSM terms, is not a binary state but a structural condition diagnosed through four criteria that must all be satisfied. A symbolic system achieves stabilization when it demonstrates: (1) intergenerational repetition independent of specific agents — the system persists across at least three generations without depending on any individual's knowledge; (2) spatial constraint — symbols impose structure on behavior, settlement layout, or ritual practice through recurrent orientation, enclosure, or axiality; (3) cross-media redundancy — the same symbolic logic appears across at least two distinct material domains, ensuring that the system survives the loss of any single medium; and (4) persistence under stress — the system maintains coherence through demographic, ecological, or political disruption .</w:t>
      </w:r>
    </w:p>
    <w:p w14:paraId="1F1C8D7D" w14:textId="77777777" w:rsidR="00956260" w:rsidRPr="00D06480" w:rsidRDefault="00000000">
      <w:pPr>
        <w:spacing w:after="160" w:line="360" w:lineRule="auto"/>
        <w:jc w:val="both"/>
      </w:pPr>
      <w:r>
        <w:rPr>
          <w:color w:val="000000"/>
        </w:rPr>
        <w:t>These criteria were operationalized quantitatively in the global synthesis paper  through the formal DSSM decision matrix, where each criterion is diagnosed against a specific threshold: archaeological continuity of at least 500 years for intergenerational repetition; recurrent orientation or enclosure for spatial constraint; expression across at least two material and ritual media for redundancy; and documented continuity across a qualified disruption event for stress persistence.</w:t>
      </w:r>
    </w:p>
    <w:p w14:paraId="256CAF28" w14:textId="77777777" w:rsidR="00956260" w:rsidRPr="00D06480" w:rsidRDefault="00000000">
      <w:pPr>
        <w:pStyle w:val="Heading2"/>
      </w:pPr>
      <w:r>
        <w:t>3.2 The Four Stages</w:t>
      </w:r>
    </w:p>
    <w:p w14:paraId="55885497" w14:textId="77777777" w:rsidR="00956260" w:rsidRPr="00D06480" w:rsidRDefault="00000000" w:rsidP="00D06480">
      <w:pPr>
        <w:spacing w:after="160" w:line="360" w:lineRule="auto"/>
        <w:ind w:firstLine="720"/>
        <w:jc w:val="both"/>
      </w:pPr>
      <w:r>
        <w:rPr>
          <w:color w:val="000000"/>
        </w:rPr>
        <w:t>The DSSM developmental sequence — its most technically demanding contribution — specifies that Stages 1 through 4 must occur in order, with temporal lags predictable in advance from neural consolidation timescales . Stage 1 (Embodied Symbolic Familiarity) involves the consolidation of procedural motor sequences into shared community practice. Stage 2 (Ritualized Repetition) involves the social sanctioning and constraint of those sequences into stylized, learnable, culturally transmissible patterns — what the cognitive science of ritual identifies as the doctrinal mode of high-frequency, low-arousal rituals (Whitehouse, 2004). Stage 3 (Material Amplification and Externalization) is the threshold mechanism: when community size consistently exceeds approximately 500 individuals, face-to-face transmission becomes structurally insufficient to maintain symbolic fidelity, generating adaptive pressure to externalize symbolic content into durable, portable, standardized objects (Henrich, 2015; Richerson et al., 2016). Stage 4 (Cognitive Offloading and Institutional Emergence) transfers memory, coordination, and authority from individual cognition into institutional structures — the mechanism of state formation.</w:t>
      </w:r>
    </w:p>
    <w:p w14:paraId="6A22147F" w14:textId="77777777" w:rsidR="00956260" w:rsidRPr="00D06480" w:rsidRDefault="00000000">
      <w:pPr>
        <w:spacing w:after="160" w:line="360" w:lineRule="auto"/>
        <w:jc w:val="both"/>
      </w:pPr>
      <w:r>
        <w:rPr>
          <w:color w:val="000000"/>
        </w:rPr>
        <w:lastRenderedPageBreak/>
        <w:t>Stage 3 is the discriminating threshold. Regions with strong Stage 1 and 2 development that fail to cross Stage 3 — whether through fragmentation, deliberate maintenance of small community sizes, or insufficient connectivity — do not produce institutional emergence. This is DSSM's most powerful predictive claim, and its treatment of negative cases (Section 9) is built entirely on this specification.</w:t>
      </w:r>
    </w:p>
    <w:p w14:paraId="38793EB4" w14:textId="77777777" w:rsidR="00956260" w:rsidRPr="00D06480" w:rsidRDefault="00956260">
      <w:pPr>
        <w:spacing w:before="200"/>
      </w:pPr>
    </w:p>
    <w:p w14:paraId="1E674ED1" w14:textId="77777777" w:rsidR="00956260" w:rsidRPr="00D06480" w:rsidRDefault="00000000">
      <w:pPr>
        <w:shd w:val="clear" w:color="auto" w:fill="F0F4F8"/>
        <w:ind w:left="720" w:right="720"/>
      </w:pPr>
      <w:r>
        <w:rPr>
          <w:rFonts w:eastAsia="Courier New" w:cs="Courier New"/>
          <w:sz w:val="18"/>
          <w:szCs w:val="18"/>
        </w:rPr>
        <w:t xml:space="preserve">  THE FOUR DSSM STAGES</w:t>
      </w:r>
    </w:p>
    <w:p w14:paraId="7C477014"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ascii="Arial" w:eastAsia="Courier New" w:hAnsi="Arial" w:cs="Arial"/>
          <w:sz w:val="18"/>
          <w:szCs w:val="18"/>
        </w:rPr>
        <w:t>─────────────────────────────────────────────────────────</w:t>
      </w:r>
      <w:r>
        <w:rPr>
          <w:rFonts w:ascii="MS Gothic" w:eastAsia="MS Gothic" w:hAnsi="MS Gothic" w:cs="MS Gothic" w:hint="eastAsia"/>
          <w:sz w:val="18"/>
          <w:szCs w:val="18"/>
        </w:rPr>
        <w:t>┐</w:t>
      </w:r>
    </w:p>
    <w:p w14:paraId="5BA3AC65"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STAGE 1 </w:t>
      </w:r>
      <w:r>
        <w:rPr>
          <w:rFonts w:ascii="MS Gothic" w:eastAsia="MS Gothic" w:hAnsi="MS Gothic" w:cs="MS Gothic" w:hint="eastAsia"/>
          <w:sz w:val="18"/>
          <w:szCs w:val="18"/>
        </w:rPr>
        <w:t>│</w:t>
      </w:r>
      <w:r>
        <w:rPr>
          <w:rFonts w:eastAsia="Courier New" w:cs="Courier New"/>
          <w:sz w:val="18"/>
          <w:szCs w:val="18"/>
        </w:rPr>
        <w:t xml:space="preserve"> Embodied Symbolic Familiarity                 </w:t>
      </w:r>
      <w:r>
        <w:rPr>
          <w:rFonts w:ascii="MS Gothic" w:eastAsia="MS Gothic" w:hAnsi="MS Gothic" w:cs="MS Gothic" w:hint="eastAsia"/>
          <w:sz w:val="18"/>
          <w:szCs w:val="18"/>
        </w:rPr>
        <w:t>│</w:t>
      </w:r>
    </w:p>
    <w:p w14:paraId="31198592"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Neural: Basal ganglia / cerebellum            </w:t>
      </w:r>
      <w:r>
        <w:rPr>
          <w:rFonts w:ascii="MS Gothic" w:eastAsia="MS Gothic" w:hAnsi="MS Gothic" w:cs="MS Gothic" w:hint="eastAsia"/>
          <w:sz w:val="18"/>
          <w:szCs w:val="18"/>
        </w:rPr>
        <w:t>│</w:t>
      </w:r>
    </w:p>
    <w:p w14:paraId="3B25F493"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Window: 100–500 years                         </w:t>
      </w:r>
      <w:r>
        <w:rPr>
          <w:rFonts w:ascii="MS Gothic" w:eastAsia="MS Gothic" w:hAnsi="MS Gothic" w:cs="MS Gothic" w:hint="eastAsia"/>
          <w:sz w:val="18"/>
          <w:szCs w:val="18"/>
        </w:rPr>
        <w:t>│</w:t>
      </w:r>
    </w:p>
    <w:p w14:paraId="3A2490A2"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Signal: Repeated spatial layouts, tool CV     </w:t>
      </w:r>
      <w:r>
        <w:rPr>
          <w:rFonts w:ascii="MS Gothic" w:eastAsia="MS Gothic" w:hAnsi="MS Gothic" w:cs="MS Gothic" w:hint="eastAsia"/>
          <w:sz w:val="18"/>
          <w:szCs w:val="18"/>
        </w:rPr>
        <w:t>│</w:t>
      </w:r>
    </w:p>
    <w:p w14:paraId="27CD598A"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ascii="Arial" w:eastAsia="Courier New" w:hAnsi="Arial" w:cs="Arial"/>
          <w:sz w:val="18"/>
          <w:szCs w:val="18"/>
        </w:rPr>
        <w:t>─────────────────────────────────────────────────────────</w:t>
      </w:r>
      <w:r>
        <w:rPr>
          <w:rFonts w:ascii="MS Gothic" w:eastAsia="MS Gothic" w:hAnsi="MS Gothic" w:cs="MS Gothic" w:hint="eastAsia"/>
          <w:sz w:val="18"/>
          <w:szCs w:val="18"/>
        </w:rPr>
        <w:t>┤</w:t>
      </w:r>
    </w:p>
    <w:p w14:paraId="0BF0CFF0"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STAGE 2 </w:t>
      </w:r>
      <w:r>
        <w:rPr>
          <w:rFonts w:ascii="MS Gothic" w:eastAsia="MS Gothic" w:hAnsi="MS Gothic" w:cs="MS Gothic" w:hint="eastAsia"/>
          <w:sz w:val="18"/>
          <w:szCs w:val="18"/>
        </w:rPr>
        <w:t>│</w:t>
      </w:r>
      <w:r>
        <w:rPr>
          <w:rFonts w:eastAsia="Courier New" w:cs="Courier New"/>
          <w:sz w:val="18"/>
          <w:szCs w:val="18"/>
        </w:rPr>
        <w:t xml:space="preserve"> Ritualized Repetition &amp; Stabilization         </w:t>
      </w:r>
      <w:r>
        <w:rPr>
          <w:rFonts w:ascii="MS Gothic" w:eastAsia="MS Gothic" w:hAnsi="MS Gothic" w:cs="MS Gothic" w:hint="eastAsia"/>
          <w:sz w:val="18"/>
          <w:szCs w:val="18"/>
        </w:rPr>
        <w:t>│</w:t>
      </w:r>
    </w:p>
    <w:p w14:paraId="3065E4A2"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Neural: Long-term potentiation                </w:t>
      </w:r>
      <w:r>
        <w:rPr>
          <w:rFonts w:ascii="MS Gothic" w:eastAsia="MS Gothic" w:hAnsi="MS Gothic" w:cs="MS Gothic" w:hint="eastAsia"/>
          <w:sz w:val="18"/>
          <w:szCs w:val="18"/>
        </w:rPr>
        <w:t>│</w:t>
      </w:r>
    </w:p>
    <w:p w14:paraId="5000E867"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Window: 200–800 years                         </w:t>
      </w:r>
      <w:r>
        <w:rPr>
          <w:rFonts w:ascii="MS Gothic" w:eastAsia="MS Gothic" w:hAnsi="MS Gothic" w:cs="MS Gothic" w:hint="eastAsia"/>
          <w:sz w:val="18"/>
          <w:szCs w:val="18"/>
        </w:rPr>
        <w:t>│</w:t>
      </w:r>
    </w:p>
    <w:p w14:paraId="4DE0912E"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Signal: Decreasing artifact CV (&lt;0.25)        </w:t>
      </w:r>
      <w:r>
        <w:rPr>
          <w:rFonts w:ascii="MS Gothic" w:eastAsia="MS Gothic" w:hAnsi="MS Gothic" w:cs="MS Gothic" w:hint="eastAsia"/>
          <w:sz w:val="18"/>
          <w:szCs w:val="18"/>
        </w:rPr>
        <w:t>│</w:t>
      </w:r>
    </w:p>
    <w:p w14:paraId="3B2E82C7"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ascii="Arial" w:eastAsia="Courier New" w:hAnsi="Arial" w:cs="Arial"/>
          <w:sz w:val="18"/>
          <w:szCs w:val="18"/>
        </w:rPr>
        <w:t>─────────────────────────────────────────────────────────</w:t>
      </w:r>
      <w:r>
        <w:rPr>
          <w:rFonts w:ascii="MS Gothic" w:eastAsia="MS Gothic" w:hAnsi="MS Gothic" w:cs="MS Gothic" w:hint="eastAsia"/>
          <w:sz w:val="18"/>
          <w:szCs w:val="18"/>
        </w:rPr>
        <w:t>┤</w:t>
      </w:r>
    </w:p>
    <w:p w14:paraId="025BE9CF"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STAGE 3 </w:t>
      </w:r>
      <w:r>
        <w:rPr>
          <w:rFonts w:ascii="MS Gothic" w:eastAsia="MS Gothic" w:hAnsi="MS Gothic" w:cs="MS Gothic" w:hint="eastAsia"/>
          <w:sz w:val="18"/>
          <w:szCs w:val="18"/>
        </w:rPr>
        <w:t>│</w:t>
      </w:r>
      <w:r>
        <w:rPr>
          <w:rFonts w:eastAsia="Courier New" w:cs="Courier New"/>
          <w:sz w:val="18"/>
          <w:szCs w:val="18"/>
        </w:rPr>
        <w:t xml:space="preserve"> Material Amplification &amp; Externalization      </w:t>
      </w:r>
      <w:r>
        <w:rPr>
          <w:rFonts w:ascii="MS Gothic" w:eastAsia="MS Gothic" w:hAnsi="MS Gothic" w:cs="MS Gothic" w:hint="eastAsia"/>
          <w:sz w:val="18"/>
          <w:szCs w:val="18"/>
        </w:rPr>
        <w:t>│</w:t>
      </w:r>
    </w:p>
    <w:p w14:paraId="1B2551B0"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Threshold: Community size &gt; ~500 persons      </w:t>
      </w:r>
      <w:r>
        <w:rPr>
          <w:rFonts w:ascii="MS Gothic" w:eastAsia="MS Gothic" w:hAnsi="MS Gothic" w:cs="MS Gothic" w:hint="eastAsia"/>
          <w:sz w:val="18"/>
          <w:szCs w:val="18"/>
        </w:rPr>
        <w:t>│</w:t>
      </w:r>
    </w:p>
    <w:p w14:paraId="01BB9C38"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Window: 300–1,000 years                       </w:t>
      </w:r>
      <w:r>
        <w:rPr>
          <w:rFonts w:ascii="MS Gothic" w:eastAsia="MS Gothic" w:hAnsi="MS Gothic" w:cs="MS Gothic" w:hint="eastAsia"/>
          <w:sz w:val="18"/>
          <w:szCs w:val="18"/>
        </w:rPr>
        <w:t>│</w:t>
      </w:r>
    </w:p>
    <w:p w14:paraId="1564BB35"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Signal: Portable anchors, CV &lt; 0.15           </w:t>
      </w:r>
      <w:r>
        <w:rPr>
          <w:rFonts w:ascii="MS Gothic" w:eastAsia="MS Gothic" w:hAnsi="MS Gothic" w:cs="MS Gothic" w:hint="eastAsia"/>
          <w:sz w:val="18"/>
          <w:szCs w:val="18"/>
        </w:rPr>
        <w:t>│</w:t>
      </w:r>
    </w:p>
    <w:p w14:paraId="546E8FD6"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ascii="Arial" w:eastAsia="Courier New" w:hAnsi="Arial" w:cs="Arial"/>
          <w:sz w:val="18"/>
          <w:szCs w:val="18"/>
        </w:rPr>
        <w:t>─────────────────────────────────────────────────────────</w:t>
      </w:r>
      <w:r>
        <w:rPr>
          <w:rFonts w:ascii="MS Gothic" w:eastAsia="MS Gothic" w:hAnsi="MS Gothic" w:cs="MS Gothic" w:hint="eastAsia"/>
          <w:sz w:val="18"/>
          <w:szCs w:val="18"/>
        </w:rPr>
        <w:t>┤</w:t>
      </w:r>
    </w:p>
    <w:p w14:paraId="3090DC56"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STAGE 4 </w:t>
      </w:r>
      <w:r>
        <w:rPr>
          <w:rFonts w:ascii="MS Gothic" w:eastAsia="MS Gothic" w:hAnsi="MS Gothic" w:cs="MS Gothic" w:hint="eastAsia"/>
          <w:sz w:val="18"/>
          <w:szCs w:val="18"/>
        </w:rPr>
        <w:t>│</w:t>
      </w:r>
      <w:r>
        <w:rPr>
          <w:rFonts w:eastAsia="Courier New" w:cs="Courier New"/>
          <w:sz w:val="18"/>
          <w:szCs w:val="18"/>
        </w:rPr>
        <w:t xml:space="preserve"> Cognitive Offloading &amp; Institutional Emergence</w:t>
      </w:r>
      <w:r>
        <w:rPr>
          <w:rFonts w:ascii="MS Gothic" w:eastAsia="MS Gothic" w:hAnsi="MS Gothic" w:cs="MS Gothic" w:hint="eastAsia"/>
          <w:sz w:val="18"/>
          <w:szCs w:val="18"/>
        </w:rPr>
        <w:t>│</w:t>
      </w:r>
    </w:p>
    <w:p w14:paraId="40618FAE"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Neural: Shared intentionality networks        </w:t>
      </w:r>
      <w:r>
        <w:rPr>
          <w:rFonts w:ascii="MS Gothic" w:eastAsia="MS Gothic" w:hAnsi="MS Gothic" w:cs="MS Gothic" w:hint="eastAsia"/>
          <w:sz w:val="18"/>
          <w:szCs w:val="18"/>
        </w:rPr>
        <w:t>│</w:t>
      </w:r>
    </w:p>
    <w:p w14:paraId="79D1E824"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Signal: Writing, monuments, state apparatus   </w:t>
      </w:r>
      <w:r>
        <w:rPr>
          <w:rFonts w:ascii="MS Gothic" w:eastAsia="MS Gothic" w:hAnsi="MS Gothic" w:cs="MS Gothic" w:hint="eastAsia"/>
          <w:sz w:val="18"/>
          <w:szCs w:val="18"/>
        </w:rPr>
        <w:t>│</w:t>
      </w:r>
    </w:p>
    <w:p w14:paraId="04C3966E"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ascii="Arial" w:eastAsia="Courier New" w:hAnsi="Arial" w:cs="Arial"/>
          <w:sz w:val="18"/>
          <w:szCs w:val="18"/>
        </w:rPr>
        <w:t>─────────────────────────────────────────────────────────</w:t>
      </w:r>
      <w:r>
        <w:rPr>
          <w:rFonts w:ascii="MS Gothic" w:eastAsia="MS Gothic" w:hAnsi="MS Gothic" w:cs="MS Gothic" w:hint="eastAsia"/>
          <w:sz w:val="18"/>
          <w:szCs w:val="18"/>
        </w:rPr>
        <w:t>┘</w:t>
      </w:r>
    </w:p>
    <w:p w14:paraId="5E6EBC45" w14:textId="77777777" w:rsidR="00956260" w:rsidRPr="00D06480" w:rsidRDefault="00000000">
      <w:pPr>
        <w:shd w:val="clear" w:color="auto" w:fill="F0F4F8"/>
        <w:ind w:left="720" w:right="720"/>
      </w:pPr>
      <w:r>
        <w:rPr>
          <w:rFonts w:eastAsia="Courier New" w:cs="Courier New"/>
          <w:sz w:val="18"/>
          <w:szCs w:val="18"/>
        </w:rPr>
        <w:t xml:space="preserve">  NOTE: Stages must occur IN ORDER. Stage 3 is the</w:t>
      </w:r>
    </w:p>
    <w:p w14:paraId="593999C0" w14:textId="77777777" w:rsidR="00956260" w:rsidRPr="00D06480" w:rsidRDefault="00000000">
      <w:pPr>
        <w:shd w:val="clear" w:color="auto" w:fill="F0F4F8"/>
        <w:ind w:left="720" w:right="720"/>
      </w:pPr>
      <w:r>
        <w:rPr>
          <w:rFonts w:eastAsia="Courier New" w:cs="Courier New"/>
          <w:sz w:val="18"/>
          <w:szCs w:val="18"/>
        </w:rPr>
        <w:t xml:space="preserve">  discriminating threshold for institutional emergence.</w:t>
      </w:r>
    </w:p>
    <w:p w14:paraId="11CC502A" w14:textId="77777777" w:rsidR="00956260" w:rsidRPr="00D06480" w:rsidRDefault="00000000">
      <w:pPr>
        <w:spacing w:before="100" w:after="240"/>
        <w:jc w:val="center"/>
      </w:pPr>
      <w:r>
        <w:rPr>
          <w:b/>
          <w:bCs/>
          <w:i/>
          <w:iCs/>
          <w:sz w:val="20"/>
          <w:szCs w:val="20"/>
        </w:rPr>
        <w:t>Figure 2. The DSSM Four-Stage Developmental Sequence with neural mechanisms and archaeological signals.</w:t>
      </w:r>
    </w:p>
    <w:p w14:paraId="662C26EF" w14:textId="77777777" w:rsidR="00D06480" w:rsidRDefault="00D06480">
      <w:pPr>
        <w:pStyle w:val="Heading2"/>
      </w:pPr>
    </w:p>
    <w:p w14:paraId="46DE8A32" w14:textId="77777777" w:rsidR="00956260" w:rsidRPr="00D06480" w:rsidRDefault="00000000">
      <w:pPr>
        <w:pStyle w:val="Heading2"/>
      </w:pPr>
      <w:r>
        <w:t>3.3 The Field Companion Protocol (FCP)</w:t>
      </w:r>
    </w:p>
    <w:p w14:paraId="6268852A" w14:textId="77777777" w:rsidR="00956260" w:rsidRPr="00D06480" w:rsidRDefault="00000000" w:rsidP="00D06480">
      <w:pPr>
        <w:spacing w:after="160" w:line="360" w:lineRule="auto"/>
        <w:ind w:firstLine="720"/>
        <w:jc w:val="both"/>
      </w:pPr>
      <w:r>
        <w:rPr>
          <w:color w:val="000000"/>
        </w:rPr>
        <w:t>The FCP  is the DSSM's operational measurement instrument. Six observables are scored on a 0-to-2 scale: Mnemonic Architectures (repeated spatial layouts); Symbolic Stabilization (decreasing artifact coefficient of variation across strata); Externalized Cognition (durable marking systems and standardized inscriptions); Symbolic Regulation (constraints on production or deposition overriding functional optimum); Distributed Symbolic Authority (recurrent practices across geographically dispersed sites); and Portable Symbolic Anchors (objects functioning as inter-community symbolic carriers). DSSM saturation requires a total score of at least 7/8 with no criterion scored 0.</w:t>
      </w:r>
    </w:p>
    <w:p w14:paraId="5EC996C4" w14:textId="77777777" w:rsidR="00956260" w:rsidRDefault="00000000">
      <w:pPr>
        <w:spacing w:after="160" w:line="360" w:lineRule="auto"/>
        <w:jc w:val="both"/>
        <w:rPr>
          <w:color w:val="000000"/>
        </w:rPr>
      </w:pPr>
      <w:r>
        <w:rPr>
          <w:color w:val="000000"/>
        </w:rPr>
        <w:t xml:space="preserve">The Egypt V2 paper  introduced a decisive methodological refinement: the two-dimensional (2D) scoring system. Each observable is scored independently on Evidence Strength (E) and Symbolic </w:t>
      </w:r>
      <w:r>
        <w:rPr>
          <w:color w:val="000000"/>
        </w:rPr>
        <w:lastRenderedPageBreak/>
        <w:t>Specificity (S), with a minimum-rule combination (final score = min(E, S)). This prevents evidence robustness from compensating for symbolic ambiguity. A period with abundant but functionally explicable patterns can score high on E but low on S, producing a min(E, S) total that honestly reflects interpretive uncertainty. Egyptian period scores range from 4.5/12 (Badarian) to 12/12 (Old Kingdom) — genuine evidential variance, not circular confirmation.</w:t>
      </w:r>
    </w:p>
    <w:p w14:paraId="76A9B65D" w14:textId="77777777" w:rsidR="00D06480" w:rsidRPr="00D06480" w:rsidRDefault="00D06480">
      <w:pPr>
        <w:spacing w:after="160" w:line="360" w:lineRule="auto"/>
        <w:jc w:val="both"/>
      </w:pPr>
    </w:p>
    <w:p w14:paraId="67C613D4" w14:textId="77777777" w:rsidR="00956260" w:rsidRPr="00D06480" w:rsidRDefault="00000000">
      <w:pPr>
        <w:spacing w:before="240" w:after="80"/>
        <w:jc w:val="center"/>
      </w:pPr>
      <w:r>
        <w:rPr>
          <w:b/>
          <w:bCs/>
          <w:sz w:val="20"/>
          <w:szCs w:val="20"/>
        </w:rPr>
        <w:t>Table 2. The 2D Field Companion Protocol: Six Observables with Scoring Criteria</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2200"/>
        <w:gridCol w:w="2200"/>
        <w:gridCol w:w="2760"/>
      </w:tblGrid>
      <w:tr w:rsidR="00956260" w:rsidRPr="00D06480" w14:paraId="36BC053A" w14:textId="77777777">
        <w:trPr>
          <w:tblHeader/>
        </w:trPr>
        <w:tc>
          <w:tcPr>
            <w:tcW w:w="16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34F3AA92" w14:textId="77777777" w:rsidR="00956260" w:rsidRPr="00D06480" w:rsidRDefault="00000000">
            <w:pPr>
              <w:jc w:val="center"/>
            </w:pPr>
            <w:r>
              <w:rPr>
                <w:b/>
                <w:bCs/>
                <w:color w:val="FFFFFF"/>
                <w:sz w:val="20"/>
                <w:szCs w:val="20"/>
              </w:rPr>
              <w:t>Observable</w:t>
            </w:r>
          </w:p>
        </w:tc>
        <w:tc>
          <w:tcPr>
            <w:tcW w:w="22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02E374DD" w14:textId="77777777" w:rsidR="00956260" w:rsidRPr="00D06480" w:rsidRDefault="00000000">
            <w:pPr>
              <w:jc w:val="center"/>
            </w:pPr>
            <w:r>
              <w:rPr>
                <w:b/>
                <w:bCs/>
                <w:color w:val="FFFFFF"/>
                <w:sz w:val="20"/>
                <w:szCs w:val="20"/>
              </w:rPr>
              <w:t>Field Translation</w:t>
            </w:r>
          </w:p>
        </w:tc>
        <w:tc>
          <w:tcPr>
            <w:tcW w:w="22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6B07033F" w14:textId="77777777" w:rsidR="00956260" w:rsidRPr="00D06480" w:rsidRDefault="00000000">
            <w:pPr>
              <w:jc w:val="center"/>
            </w:pPr>
            <w:r>
              <w:rPr>
                <w:b/>
                <w:bCs/>
                <w:color w:val="FFFFFF"/>
                <w:sz w:val="20"/>
                <w:szCs w:val="20"/>
              </w:rPr>
              <w:t>Evidence Strength (E) Threshold</w:t>
            </w:r>
          </w:p>
        </w:tc>
        <w:tc>
          <w:tcPr>
            <w:tcW w:w="276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0714743D" w14:textId="77777777" w:rsidR="00956260" w:rsidRPr="00D06480" w:rsidRDefault="00000000">
            <w:pPr>
              <w:jc w:val="center"/>
            </w:pPr>
            <w:r>
              <w:rPr>
                <w:b/>
                <w:bCs/>
                <w:color w:val="FFFFFF"/>
                <w:sz w:val="20"/>
                <w:szCs w:val="20"/>
              </w:rPr>
              <w:t>Symbolic Specificity (S) Threshold</w:t>
            </w:r>
          </w:p>
        </w:tc>
      </w:tr>
      <w:tr w:rsidR="00956260" w:rsidRPr="00D06480" w14:paraId="351B1302" w14:textId="77777777">
        <w:tc>
          <w:tcPr>
            <w:tcW w:w="16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66215D55" w14:textId="77777777" w:rsidR="00956260" w:rsidRPr="00D06480" w:rsidRDefault="00000000">
            <w:r>
              <w:rPr>
                <w:sz w:val="20"/>
                <w:szCs w:val="20"/>
              </w:rPr>
              <w:t>Mnemonic Architectures</w:t>
            </w:r>
          </w:p>
        </w:tc>
        <w:tc>
          <w:tcPr>
            <w:tcW w:w="2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290668DC" w14:textId="77777777" w:rsidR="00956260" w:rsidRPr="00D06480" w:rsidRDefault="00000000">
            <w:r>
              <w:rPr>
                <w:sz w:val="20"/>
                <w:szCs w:val="20"/>
              </w:rPr>
              <w:t>Repeated spatial layouts; standardized tool morphologies</w:t>
            </w:r>
          </w:p>
        </w:tc>
        <w:tc>
          <w:tcPr>
            <w:tcW w:w="2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75F197BC" w14:textId="77777777" w:rsidR="00956260" w:rsidRPr="00D06480" w:rsidRDefault="00000000">
            <w:r>
              <w:rPr>
                <w:sz w:val="20"/>
                <w:szCs w:val="20"/>
              </w:rPr>
              <w:t>2 = consistent pattern across 3+ independent contexts</w:t>
            </w:r>
          </w:p>
        </w:tc>
        <w:tc>
          <w:tcPr>
            <w:tcW w:w="27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50570301" w14:textId="77777777" w:rsidR="00956260" w:rsidRPr="00D06480" w:rsidRDefault="00000000">
            <w:r>
              <w:rPr>
                <w:sz w:val="20"/>
                <w:szCs w:val="20"/>
              </w:rPr>
              <w:t>2 = systematic non-functional spatial constraint</w:t>
            </w:r>
          </w:p>
        </w:tc>
      </w:tr>
      <w:tr w:rsidR="00956260" w:rsidRPr="00D06480" w14:paraId="0F73FD63" w14:textId="77777777">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AB4FECD" w14:textId="77777777" w:rsidR="00956260" w:rsidRPr="00D06480" w:rsidRDefault="00000000">
            <w:r>
              <w:rPr>
                <w:sz w:val="20"/>
                <w:szCs w:val="20"/>
              </w:rPr>
              <w:t>Symbolic Stabilization</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C9FFED3" w14:textId="77777777" w:rsidR="00956260" w:rsidRPr="00D06480" w:rsidRDefault="00000000">
            <w:r>
              <w:rPr>
                <w:sz w:val="20"/>
                <w:szCs w:val="20"/>
              </w:rPr>
              <w:t>Decreasing artifact CV across strata</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FFC442" w14:textId="77777777" w:rsidR="00956260" w:rsidRPr="00D06480" w:rsidRDefault="00000000">
            <w:r>
              <w:rPr>
                <w:sz w:val="20"/>
                <w:szCs w:val="20"/>
              </w:rPr>
              <w:t>2 = CV &lt; 0.15 maintained across 3+ strata</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190F7D" w14:textId="77777777" w:rsidR="00956260" w:rsidRPr="00D06480" w:rsidRDefault="00000000">
            <w:r>
              <w:rPr>
                <w:sz w:val="20"/>
                <w:szCs w:val="20"/>
              </w:rPr>
              <w:t>2 = CV pattern requires symbolic transmission account</w:t>
            </w:r>
          </w:p>
        </w:tc>
      </w:tr>
      <w:tr w:rsidR="00956260" w:rsidRPr="00D06480" w14:paraId="3B6AB2D2" w14:textId="77777777">
        <w:tc>
          <w:tcPr>
            <w:tcW w:w="16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6FCC83AC" w14:textId="77777777" w:rsidR="00956260" w:rsidRPr="00D06480" w:rsidRDefault="00000000">
            <w:r>
              <w:rPr>
                <w:sz w:val="20"/>
                <w:szCs w:val="20"/>
              </w:rPr>
              <w:t>Externalized Cognition</w:t>
            </w:r>
          </w:p>
        </w:tc>
        <w:tc>
          <w:tcPr>
            <w:tcW w:w="2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13E44CFB" w14:textId="77777777" w:rsidR="00956260" w:rsidRPr="00D06480" w:rsidRDefault="00000000">
            <w:r>
              <w:rPr>
                <w:sz w:val="20"/>
                <w:szCs w:val="20"/>
              </w:rPr>
              <w:t>Durable marks, standardized inscriptions, persistent motifs</w:t>
            </w:r>
          </w:p>
        </w:tc>
        <w:tc>
          <w:tcPr>
            <w:tcW w:w="2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3869F773" w14:textId="77777777" w:rsidR="00956260" w:rsidRPr="00D06480" w:rsidRDefault="00000000">
            <w:r>
              <w:rPr>
                <w:sz w:val="20"/>
                <w:szCs w:val="20"/>
              </w:rPr>
              <w:t>2 = systematic, recurring, cross-media, inter-site</w:t>
            </w:r>
          </w:p>
        </w:tc>
        <w:tc>
          <w:tcPr>
            <w:tcW w:w="27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5446CE71" w14:textId="77777777" w:rsidR="00956260" w:rsidRPr="00D06480" w:rsidRDefault="00000000">
            <w:r>
              <w:rPr>
                <w:sz w:val="20"/>
                <w:szCs w:val="20"/>
              </w:rPr>
              <w:t>2 = clear symbolic function, non-local distribution</w:t>
            </w:r>
          </w:p>
        </w:tc>
      </w:tr>
      <w:tr w:rsidR="00956260" w:rsidRPr="00D06480" w14:paraId="48FA0332" w14:textId="77777777">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75B001A" w14:textId="77777777" w:rsidR="00956260" w:rsidRPr="00D06480" w:rsidRDefault="00000000">
            <w:r>
              <w:rPr>
                <w:sz w:val="20"/>
                <w:szCs w:val="20"/>
              </w:rPr>
              <w:t>Symbolic Regulation</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91FA8CE" w14:textId="77777777" w:rsidR="00956260" w:rsidRPr="00D06480" w:rsidRDefault="00000000">
            <w:r>
              <w:rPr>
                <w:sz w:val="20"/>
                <w:szCs w:val="20"/>
              </w:rPr>
              <w:t>Constraints overriding functional optimisation</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E9BCBFD" w14:textId="77777777" w:rsidR="00956260" w:rsidRPr="00D06480" w:rsidRDefault="00000000">
            <w:r>
              <w:rPr>
                <w:sz w:val="20"/>
                <w:szCs w:val="20"/>
              </w:rPr>
              <w:t>2 = systematic non-functional patterning (p &lt; 0.01)</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9ED8AFE" w14:textId="77777777" w:rsidR="00956260" w:rsidRPr="00D06480" w:rsidRDefault="00000000">
            <w:r>
              <w:rPr>
                <w:sz w:val="20"/>
                <w:szCs w:val="20"/>
              </w:rPr>
              <w:t>2 = consistent symbolic override of function</w:t>
            </w:r>
          </w:p>
        </w:tc>
      </w:tr>
      <w:tr w:rsidR="00956260" w:rsidRPr="00D06480" w14:paraId="7EEB5DFB" w14:textId="77777777">
        <w:tc>
          <w:tcPr>
            <w:tcW w:w="16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3A597599" w14:textId="77777777" w:rsidR="00956260" w:rsidRPr="00D06480" w:rsidRDefault="00000000">
            <w:r>
              <w:rPr>
                <w:sz w:val="20"/>
                <w:szCs w:val="20"/>
              </w:rPr>
              <w:t>Distributed Symbolic Authority</w:t>
            </w:r>
          </w:p>
        </w:tc>
        <w:tc>
          <w:tcPr>
            <w:tcW w:w="2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15013FA8" w14:textId="77777777" w:rsidR="00956260" w:rsidRPr="00D06480" w:rsidRDefault="00000000">
            <w:r>
              <w:rPr>
                <w:sz w:val="20"/>
                <w:szCs w:val="20"/>
              </w:rPr>
              <w:t>Recurrent practices across dispersed sites</w:t>
            </w:r>
          </w:p>
        </w:tc>
        <w:tc>
          <w:tcPr>
            <w:tcW w:w="2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6BF3D809" w14:textId="77777777" w:rsidR="00956260" w:rsidRPr="00D06480" w:rsidRDefault="00000000">
            <w:r>
              <w:rPr>
                <w:sz w:val="20"/>
                <w:szCs w:val="20"/>
              </w:rPr>
              <w:t>2 = 3+ sites within &gt;50 km radius</w:t>
            </w:r>
          </w:p>
        </w:tc>
        <w:tc>
          <w:tcPr>
            <w:tcW w:w="27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04B3C078" w14:textId="77777777" w:rsidR="00956260" w:rsidRPr="00D06480" w:rsidRDefault="00000000">
            <w:r>
              <w:rPr>
                <w:sz w:val="20"/>
                <w:szCs w:val="20"/>
              </w:rPr>
              <w:t>2 = inter-site similarity requires shared symbolic convention</w:t>
            </w:r>
          </w:p>
        </w:tc>
      </w:tr>
      <w:tr w:rsidR="00956260" w:rsidRPr="00D06480" w14:paraId="580B6A00" w14:textId="77777777">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68174B3" w14:textId="77777777" w:rsidR="00956260" w:rsidRPr="00D06480" w:rsidRDefault="00000000">
            <w:r>
              <w:rPr>
                <w:sz w:val="20"/>
                <w:szCs w:val="20"/>
              </w:rPr>
              <w:t>Portable Symbolic Anchors</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66BCEF" w14:textId="77777777" w:rsidR="00956260" w:rsidRPr="00D06480" w:rsidRDefault="00000000">
            <w:r>
              <w:rPr>
                <w:sz w:val="20"/>
                <w:szCs w:val="20"/>
              </w:rPr>
              <w:t>Objects as inter-community symbolic carriers</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36B08B9" w14:textId="77777777" w:rsidR="00956260" w:rsidRPr="00D06480" w:rsidRDefault="00000000">
            <w:r>
              <w:rPr>
                <w:sz w:val="20"/>
                <w:szCs w:val="20"/>
              </w:rPr>
              <w:t>2 = standardized, &gt;30% non-local, wide distribution</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C3A6A43" w14:textId="77777777" w:rsidR="00956260" w:rsidRPr="00D06480" w:rsidRDefault="00000000">
            <w:r>
              <w:rPr>
                <w:sz w:val="20"/>
                <w:szCs w:val="20"/>
              </w:rPr>
              <w:t>2 = objects function as inter-community symbolic media</w:t>
            </w:r>
          </w:p>
        </w:tc>
      </w:tr>
    </w:tbl>
    <w:p w14:paraId="48EE5DC9" w14:textId="77777777" w:rsidR="00956260" w:rsidRPr="00D06480" w:rsidRDefault="00000000">
      <w:pPr>
        <w:spacing w:before="100" w:after="240"/>
        <w:jc w:val="center"/>
      </w:pPr>
      <w:r>
        <w:rPr>
          <w:b/>
          <w:bCs/>
          <w:i/>
          <w:iCs/>
          <w:sz w:val="20"/>
          <w:szCs w:val="20"/>
        </w:rPr>
        <w:t>Final score per observable = min(E, S). DSSM saturation requires total ≥ 7/8 with no criterion scored 0. Source: Author (2026b; 2026d).</w:t>
      </w:r>
    </w:p>
    <w:p w14:paraId="7B90D569" w14:textId="77777777" w:rsidR="00956260" w:rsidRPr="00D06480" w:rsidRDefault="00000000">
      <w:r>
        <w:br w:type="page"/>
      </w:r>
    </w:p>
    <w:p w14:paraId="7E5824D6" w14:textId="77777777" w:rsidR="00956260" w:rsidRPr="00D06480" w:rsidRDefault="00000000">
      <w:pPr>
        <w:pStyle w:val="Heading1"/>
      </w:pPr>
      <w:r>
        <w:lastRenderedPageBreak/>
        <w:t>4. Macro-Regional Evidence</w:t>
      </w:r>
    </w:p>
    <w:p w14:paraId="168A2426" w14:textId="77777777" w:rsidR="00956260" w:rsidRPr="00D06480" w:rsidRDefault="00000000">
      <w:pPr>
        <w:pStyle w:val="Heading2"/>
      </w:pPr>
      <w:r>
        <w:t>4.1 Egypt: The Nile Corridor Baseline</w:t>
      </w:r>
    </w:p>
    <w:p w14:paraId="4C9989C4" w14:textId="77777777" w:rsidR="00956260" w:rsidRPr="00D06480" w:rsidRDefault="00000000" w:rsidP="00D06480">
      <w:pPr>
        <w:spacing w:after="160" w:line="360" w:lineRule="auto"/>
        <w:ind w:firstLine="720"/>
        <w:jc w:val="both"/>
      </w:pPr>
      <w:r>
        <w:rPr>
          <w:color w:val="000000"/>
        </w:rPr>
        <w:t>Egypt is the diagnostic benchmark precisely because its preservation is exceptional . The Nile corridor combines ecological seasonality, predictable aggregation rhythms, and archaeological visibility, making symbolic stabilization empirically observable across deep time. The Qurta petroglyphs (c. 19,000–15,000 BCE), together with panels at el-Hosh and Wadi Abu Subeira, demonstrate repeated symbolic investment in river-adjacent rock faces — deliberate, labor-intensive, ecologically anchored mnemonic anchors establishing Stage 1 at landscape scale (Huyge, 2011; Storemyr, 2012). Ochre use introduces cross-media redundancy: symbolic meaning is not confined to fixed landscape anchors but is continuously reactivated through bodily practice and re-synchronized at Epipaleolithic aggregation sites such as Wadi Kubbaniya (Wendorf &amp; Schild, 1974).</w:t>
      </w:r>
    </w:p>
    <w:p w14:paraId="3946F461" w14:textId="77777777" w:rsidR="00956260" w:rsidRPr="00D06480" w:rsidRDefault="00000000">
      <w:pPr>
        <w:spacing w:after="160" w:line="360" w:lineRule="auto"/>
        <w:jc w:val="both"/>
      </w:pPr>
      <w:r>
        <w:rPr>
          <w:color w:val="000000"/>
        </w:rPr>
        <w:t>Predynastic mortuary systems — particularly Badarian and Naqada cemeteries — demonstrate Stage 2 consolidation: consistent burial orientation, standardized grave goods, and ancestor-focused cosmology maintained entirely through oral and ritual means across climatic disruption. The abrupt scaling of monumentality in Naqada III and the Early Dynastic period is not anomalous; it is the material compression of a symbolic load accumulated over tens of millennia. Egypt's three-millennium structural stability — axial orientation, mortuary cosmology, and divine kingship persisting through the First Intermediate Period, the Second Intermediate Period, and into Ptolemaic rule — is precisely what DSSM predicts for a system stabilized at Stage 3 and above: inertia independent of the political regimes that subsequently utilize it (Kemp, 2006; Trigger, 2003).</w:t>
      </w:r>
    </w:p>
    <w:p w14:paraId="7219EE59" w14:textId="77777777" w:rsidR="00956260" w:rsidRPr="00D06480" w:rsidRDefault="00000000">
      <w:pPr>
        <w:pStyle w:val="Heading2"/>
      </w:pPr>
      <w:r>
        <w:t>4.2 Mesopotamia: Aggregation and Stress Testing</w:t>
      </w:r>
    </w:p>
    <w:p w14:paraId="67D9C69D" w14:textId="77777777" w:rsidR="00956260" w:rsidRPr="00D06480" w:rsidRDefault="00000000" w:rsidP="00D06480">
      <w:pPr>
        <w:spacing w:after="160" w:line="360" w:lineRule="auto"/>
        <w:ind w:firstLine="720"/>
        <w:jc w:val="both"/>
      </w:pPr>
      <w:r>
        <w:rPr>
          <w:color w:val="000000"/>
        </w:rPr>
        <w:t>Mesopotamia provides the ecological contrast case. Where the Nile's inundation creates predictable aggregation rhythms, the Tigris-Euphrates corridor is characterized by climatic volatility and hydrological unpredictability. Yet symbolic systems stabilize on comparable timescales, demonstrating that stabilization is not environmentally determined but requires redundancy across ritual, architecture, and material culture to persist . The Ubaid sequence (c. 5,500–4,000 BCE) demonstrates spatial regularization, standardized ceramics, and communal feasting prior to proto-cuneiform emergence — FCP Stage 1 and 2 evidence well before administrative writing. The DSSM saturation date for Mesopotamia is estimated at approximately 8,000 BCE .</w:t>
      </w:r>
    </w:p>
    <w:p w14:paraId="28A55FA9" w14:textId="77777777" w:rsidR="00956260" w:rsidRPr="00D06480" w:rsidRDefault="00000000">
      <w:pPr>
        <w:pStyle w:val="Heading2"/>
      </w:pPr>
      <w:r>
        <w:lastRenderedPageBreak/>
        <w:t>4.3 East Asia: Portable Permanence</w:t>
      </w:r>
    </w:p>
    <w:p w14:paraId="6B539C13" w14:textId="77777777" w:rsidR="00956260" w:rsidRPr="00D06480" w:rsidRDefault="00000000" w:rsidP="00D06480">
      <w:pPr>
        <w:spacing w:after="160" w:line="360" w:lineRule="auto"/>
        <w:ind w:firstLine="720"/>
        <w:jc w:val="both"/>
      </w:pPr>
      <w:r>
        <w:rPr>
          <w:color w:val="000000"/>
        </w:rPr>
        <w:t>East Asia is the most analytically valuable comparator because it demonstrates a prolonged absence of large-scale stone monumentality despite clear symbolic complexity . The Jiahu site (c. 7,000–5,700 BCE) marks the first clear instance of full symbolic stabilization in East Asia: turtle shell markings, standardized burial orientations, and bone flutes introduce redundancy across visual, spatial, and auditory media. The Yangshao horizon (c. 5,000–3,000 BCE) expands stabilization across a vast territory through distributed ceramic grammars without centralized monumentality. The Hongshan culture (c. 3,300–2,300 BCE) demonstrates that DSSM saturation does not require large-scale architecture: jade bi, cong, and figurines concentrate symbolic authority into durable portable objects, achieving full stabilization through an alternative medium. Monumental externalization at Erlitou appears only after millennia of symbolic buildup — late-stage compression, not origin (Liu &amp; Chen, 2021).</w:t>
      </w:r>
    </w:p>
    <w:p w14:paraId="01978243" w14:textId="77777777" w:rsidR="00956260" w:rsidRPr="00D06480" w:rsidRDefault="00000000">
      <w:pPr>
        <w:pStyle w:val="Heading2"/>
      </w:pPr>
      <w:r>
        <w:t>4.4 Mesoamerica: Ritual Networks Without Axial Rivers</w:t>
      </w:r>
    </w:p>
    <w:p w14:paraId="2C6CF379" w14:textId="77777777" w:rsidR="00956260" w:rsidRPr="00D06480" w:rsidRDefault="00000000" w:rsidP="00D06480">
      <w:pPr>
        <w:spacing w:after="160" w:line="360" w:lineRule="auto"/>
        <w:ind w:firstLine="720"/>
        <w:jc w:val="both"/>
      </w:pPr>
      <w:r>
        <w:rPr>
          <w:color w:val="000000"/>
        </w:rPr>
        <w:t>Mesoamerica is the structural stress test for the model's geographic assumptions: no unifying river corridor, extreme ecological fragmentation, and prolonged delays between symbolic stabilization and monumentality . Stabilization is achieved through ritual exchange networks, seasonal aggregation cycles, and shared symbolic grammars across ecologically fragmented regions. Early Formative societies (c. 4,000–2,500 BCE) exhibit fixed village plans, formalized burials, repeated figurine types, and long-distance exchange of jade and obsidian — satisfying all four DSSM criteria. The Olmec portable ritual object system (c. 1,800–1,400 BCE) is structurally analogous to Hongshan jade: symbolic authority concentrated in portable objects preceding monumental platforms. Epi-Olmec and Maya writing systems, appearing from c. 900 BCE onward, formalize symbolic systems already deeply stabilized (Marcus, 1992).</w:t>
      </w:r>
    </w:p>
    <w:p w14:paraId="6AC52619" w14:textId="77777777" w:rsidR="00956260" w:rsidRPr="00D06480" w:rsidRDefault="00000000">
      <w:pPr>
        <w:pStyle w:val="Heading2"/>
      </w:pPr>
      <w:r>
        <w:t>4.5 Indus Valley: Infrastructural Embedding</w:t>
      </w:r>
    </w:p>
    <w:p w14:paraId="28537AD1" w14:textId="77777777" w:rsidR="00956260" w:rsidRPr="00D06480" w:rsidRDefault="00000000" w:rsidP="00D06480">
      <w:pPr>
        <w:spacing w:after="160" w:line="360" w:lineRule="auto"/>
        <w:ind w:firstLine="720"/>
        <w:jc w:val="both"/>
      </w:pPr>
      <w:r>
        <w:rPr>
          <w:color w:val="000000"/>
        </w:rPr>
        <w:t xml:space="preserve">The Indus Valley presents DSSM's fourth stabilization pathway: symbolic systems embedded in infrastructure, standardization, and quotidian practice rather than in monuments or elite iconography . Mehrgarh (c. 7,000–3,300 BCE) provides the earliest fully compliant South Asian system — intergenerational repetition through burial customs and domestic architecture, spatial constraint through settlement planning, cross-media redundancy across subsistence, craft, and mortuary domains (Jarrige, 2012). Mature Harappan cities (c. 2,600–1,900 BCE) demonstrate the </w:t>
      </w:r>
      <w:r>
        <w:rPr>
          <w:color w:val="000000"/>
        </w:rPr>
        <w:lastRenderedPageBreak/>
        <w:t>highest form of symbolic saturation: orthogonal planning, standardized bricks and weights, sophisticated drainage, and seal iconography integrating ritual practices into everyday spatial logic. Crucially, this is achieved without theocratic monarchy or overt temple hierarchy — symbolic authority distributed across civic infrastructure rather than centralized in elite display (Kenoyer, 2017; Possehl, 2002).</w:t>
      </w:r>
    </w:p>
    <w:p w14:paraId="259B6B09" w14:textId="77777777" w:rsidR="00956260" w:rsidRPr="00D06480" w:rsidRDefault="00000000">
      <w:pPr>
        <w:pStyle w:val="Heading2"/>
      </w:pPr>
      <w:r>
        <w:t>4.6 Sri Lanka: Symbolic Sufficiency as Control Case</w:t>
      </w:r>
    </w:p>
    <w:p w14:paraId="5665FA35" w14:textId="77777777" w:rsidR="00956260" w:rsidRDefault="00000000" w:rsidP="00D06480">
      <w:pPr>
        <w:spacing w:after="160" w:line="360" w:lineRule="auto"/>
        <w:ind w:firstLine="720"/>
        <w:jc w:val="both"/>
        <w:rPr>
          <w:color w:val="000000"/>
        </w:rPr>
      </w:pPr>
      <w:r>
        <w:rPr>
          <w:color w:val="000000"/>
        </w:rPr>
        <w:t>Sri Lanka is the model's control case — the region that most clearly demonstrates what symbolic systems look like when monumentality never becomes necessary . Despite one of the longest continuous records of anatomically modern human occupation in South Asia (beginning at least 48,000 BP at Fa Hien Cave), the island develops no sustained trajectory toward large ritual architecture prior to historic Buddhist traditions. DSSM frames this not as arrested development but as symbolic sufficiency: at the community sizes and ecological conditions maintained by Sri Lankan forager-mnemonic populations, face-to-face embodied and ritualized transmission was fully sufficient to maintain symbolic fidelity. Full DSSM saturation is estimated at approximately 28,000–18,000 BP — earlier than Egypt, Mesopotamia, East Asia, or Mesoamerica — without a single monument.</w:t>
      </w:r>
    </w:p>
    <w:p w14:paraId="213C971A" w14:textId="77777777" w:rsidR="00D06480" w:rsidRDefault="00D06480" w:rsidP="00D06480">
      <w:pPr>
        <w:spacing w:after="160" w:line="360" w:lineRule="auto"/>
        <w:ind w:firstLine="720"/>
        <w:jc w:val="both"/>
        <w:rPr>
          <w:color w:val="000000"/>
        </w:rPr>
      </w:pPr>
    </w:p>
    <w:p w14:paraId="2C7D7DBD" w14:textId="77777777" w:rsidR="00D06480" w:rsidRDefault="00D06480" w:rsidP="00D06480">
      <w:pPr>
        <w:spacing w:after="160" w:line="360" w:lineRule="auto"/>
        <w:ind w:firstLine="720"/>
        <w:jc w:val="both"/>
        <w:rPr>
          <w:color w:val="000000"/>
        </w:rPr>
      </w:pPr>
    </w:p>
    <w:p w14:paraId="654D8576" w14:textId="77777777" w:rsidR="00D06480" w:rsidRDefault="00D06480" w:rsidP="00D06480">
      <w:pPr>
        <w:spacing w:after="160" w:line="360" w:lineRule="auto"/>
        <w:ind w:firstLine="720"/>
        <w:jc w:val="both"/>
        <w:rPr>
          <w:color w:val="000000"/>
        </w:rPr>
      </w:pPr>
    </w:p>
    <w:p w14:paraId="6A05FCD8" w14:textId="77777777" w:rsidR="00D06480" w:rsidRDefault="00D06480" w:rsidP="00D06480">
      <w:pPr>
        <w:spacing w:after="160" w:line="360" w:lineRule="auto"/>
        <w:ind w:firstLine="720"/>
        <w:jc w:val="both"/>
        <w:rPr>
          <w:color w:val="000000"/>
        </w:rPr>
      </w:pPr>
    </w:p>
    <w:p w14:paraId="02C1E9C7" w14:textId="77777777" w:rsidR="00D06480" w:rsidRDefault="00D06480" w:rsidP="00D06480">
      <w:pPr>
        <w:spacing w:after="160" w:line="360" w:lineRule="auto"/>
        <w:ind w:firstLine="720"/>
        <w:jc w:val="both"/>
        <w:rPr>
          <w:color w:val="000000"/>
        </w:rPr>
      </w:pPr>
    </w:p>
    <w:p w14:paraId="64321BB5" w14:textId="77777777" w:rsidR="00D06480" w:rsidRDefault="00D06480" w:rsidP="00D06480">
      <w:pPr>
        <w:spacing w:after="160" w:line="360" w:lineRule="auto"/>
        <w:ind w:firstLine="720"/>
        <w:jc w:val="both"/>
        <w:rPr>
          <w:color w:val="000000"/>
        </w:rPr>
      </w:pPr>
    </w:p>
    <w:p w14:paraId="715DD33B" w14:textId="77777777" w:rsidR="00D06480" w:rsidRDefault="00D06480" w:rsidP="00D06480">
      <w:pPr>
        <w:spacing w:after="160" w:line="360" w:lineRule="auto"/>
        <w:ind w:firstLine="720"/>
        <w:jc w:val="both"/>
        <w:rPr>
          <w:color w:val="000000"/>
        </w:rPr>
      </w:pPr>
    </w:p>
    <w:p w14:paraId="377D8588" w14:textId="77777777" w:rsidR="00D06480" w:rsidRDefault="00D06480" w:rsidP="00D06480">
      <w:pPr>
        <w:spacing w:after="160" w:line="360" w:lineRule="auto"/>
        <w:ind w:firstLine="720"/>
        <w:jc w:val="both"/>
        <w:rPr>
          <w:color w:val="000000"/>
        </w:rPr>
      </w:pPr>
    </w:p>
    <w:p w14:paraId="65787910" w14:textId="77777777" w:rsidR="00D06480" w:rsidRPr="00D06480" w:rsidRDefault="00D06480" w:rsidP="00D06480">
      <w:pPr>
        <w:spacing w:after="160" w:line="360" w:lineRule="auto"/>
        <w:ind w:firstLine="720"/>
        <w:jc w:val="both"/>
      </w:pPr>
    </w:p>
    <w:p w14:paraId="59C93FAA" w14:textId="77777777" w:rsidR="00956260" w:rsidRPr="00D06480" w:rsidRDefault="00000000">
      <w:pPr>
        <w:spacing w:before="240" w:after="80"/>
        <w:jc w:val="center"/>
      </w:pPr>
      <w:r>
        <w:rPr>
          <w:b/>
          <w:bCs/>
          <w:sz w:val="20"/>
          <w:szCs w:val="20"/>
        </w:rPr>
        <w:t>Table 3. Comparative DSSM Synthesis Across Six Macro-Regions</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82"/>
        <w:gridCol w:w="1850"/>
        <w:gridCol w:w="1415"/>
        <w:gridCol w:w="1563"/>
        <w:gridCol w:w="1056"/>
        <w:gridCol w:w="1494"/>
      </w:tblGrid>
      <w:tr w:rsidR="00956260" w:rsidRPr="00D06480" w14:paraId="7B3153CD" w14:textId="77777777">
        <w:trPr>
          <w:tblHeader/>
        </w:trPr>
        <w:tc>
          <w:tcPr>
            <w:tcW w:w="14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189C4955" w14:textId="77777777" w:rsidR="00956260" w:rsidRPr="00D06480" w:rsidRDefault="00000000">
            <w:pPr>
              <w:jc w:val="center"/>
            </w:pPr>
            <w:r>
              <w:rPr>
                <w:b/>
                <w:bCs/>
                <w:color w:val="FFFFFF"/>
                <w:sz w:val="20"/>
                <w:szCs w:val="20"/>
              </w:rPr>
              <w:lastRenderedPageBreak/>
              <w:t>Region</w:t>
            </w:r>
          </w:p>
        </w:tc>
        <w:tc>
          <w:tcPr>
            <w:tcW w:w="20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3EB5FCEC" w14:textId="77777777" w:rsidR="00956260" w:rsidRPr="00D06480" w:rsidRDefault="00000000">
            <w:pPr>
              <w:jc w:val="center"/>
            </w:pPr>
            <w:r>
              <w:rPr>
                <w:b/>
                <w:bCs/>
                <w:color w:val="FFFFFF"/>
                <w:sz w:val="20"/>
                <w:szCs w:val="20"/>
              </w:rPr>
              <w:t>Stabilization Pathway</w:t>
            </w:r>
          </w:p>
        </w:tc>
        <w:tc>
          <w:tcPr>
            <w:tcW w:w="15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66B4C8AB" w14:textId="77777777" w:rsidR="00956260" w:rsidRPr="00D06480" w:rsidRDefault="00000000">
            <w:pPr>
              <w:jc w:val="center"/>
            </w:pPr>
            <w:r>
              <w:rPr>
                <w:b/>
                <w:bCs/>
                <w:color w:val="FFFFFF"/>
                <w:sz w:val="20"/>
                <w:szCs w:val="20"/>
              </w:rPr>
              <w:t>DSSM Saturation (est.)</w:t>
            </w:r>
          </w:p>
        </w:tc>
        <w:tc>
          <w:tcPr>
            <w:tcW w:w="12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40832748" w14:textId="77777777" w:rsidR="00956260" w:rsidRPr="00D06480" w:rsidRDefault="00000000">
            <w:pPr>
              <w:jc w:val="center"/>
            </w:pPr>
            <w:r>
              <w:rPr>
                <w:b/>
                <w:bCs/>
                <w:color w:val="FFFFFF"/>
                <w:sz w:val="20"/>
                <w:szCs w:val="20"/>
              </w:rPr>
              <w:t>Monumentality</w:t>
            </w:r>
          </w:p>
        </w:tc>
        <w:tc>
          <w:tcPr>
            <w:tcW w:w="11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0286C2DC" w14:textId="77777777" w:rsidR="00956260" w:rsidRPr="00D06480" w:rsidRDefault="00000000">
            <w:pPr>
              <w:jc w:val="center"/>
            </w:pPr>
            <w:r>
              <w:rPr>
                <w:b/>
                <w:bCs/>
                <w:color w:val="FFFFFF"/>
                <w:sz w:val="20"/>
                <w:szCs w:val="20"/>
              </w:rPr>
              <w:t>Writing</w:t>
            </w:r>
          </w:p>
        </w:tc>
        <w:tc>
          <w:tcPr>
            <w:tcW w:w="156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06EE3343" w14:textId="77777777" w:rsidR="00956260" w:rsidRPr="00D06480" w:rsidRDefault="00000000">
            <w:pPr>
              <w:jc w:val="center"/>
            </w:pPr>
            <w:r>
              <w:rPr>
                <w:b/>
                <w:bCs/>
                <w:color w:val="FFFFFF"/>
                <w:sz w:val="20"/>
                <w:szCs w:val="20"/>
              </w:rPr>
              <w:t>Key Media</w:t>
            </w:r>
          </w:p>
        </w:tc>
      </w:tr>
      <w:tr w:rsidR="00956260" w:rsidRPr="00D06480" w14:paraId="46B62B63" w14:textId="77777777">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2E68D4BA" w14:textId="77777777" w:rsidR="00956260" w:rsidRPr="00D06480" w:rsidRDefault="00000000">
            <w:r>
              <w:rPr>
                <w:sz w:val="20"/>
                <w:szCs w:val="20"/>
              </w:rPr>
              <w:t>Egypt (Nile)</w:t>
            </w:r>
          </w:p>
        </w:tc>
        <w:tc>
          <w:tcPr>
            <w:tcW w:w="20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06B5B878" w14:textId="77777777" w:rsidR="00956260" w:rsidRPr="00D06480" w:rsidRDefault="00000000">
            <w:r>
              <w:rPr>
                <w:sz w:val="20"/>
                <w:szCs w:val="20"/>
              </w:rPr>
              <w:t>Axial-River / Stone Anchor</w:t>
            </w:r>
          </w:p>
        </w:tc>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04727F5B" w14:textId="77777777" w:rsidR="00956260" w:rsidRPr="00D06480" w:rsidRDefault="00000000">
            <w:r>
              <w:rPr>
                <w:sz w:val="20"/>
                <w:szCs w:val="20"/>
              </w:rPr>
              <w:t>~12,500 BCE</w:t>
            </w:r>
          </w:p>
        </w:tc>
        <w:tc>
          <w:tcPr>
            <w:tcW w:w="1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378C7C88" w14:textId="77777777" w:rsidR="00956260" w:rsidRPr="00D06480" w:rsidRDefault="00000000">
            <w:r>
              <w:rPr>
                <w:sz w:val="20"/>
                <w:szCs w:val="20"/>
              </w:rPr>
              <w:t>~3,200 BCE</w:t>
            </w:r>
          </w:p>
        </w:tc>
        <w:tc>
          <w:tcPr>
            <w:tcW w:w="11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23924945" w14:textId="77777777" w:rsidR="00956260" w:rsidRPr="00D06480" w:rsidRDefault="00000000">
            <w:r>
              <w:rPr>
                <w:sz w:val="20"/>
                <w:szCs w:val="20"/>
              </w:rPr>
              <w:t>~3,200 BCE</w:t>
            </w:r>
          </w:p>
        </w:tc>
        <w:tc>
          <w:tcPr>
            <w:tcW w:w="15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3E11AA11" w14:textId="77777777" w:rsidR="00956260" w:rsidRPr="00D06480" w:rsidRDefault="00000000">
            <w:r>
              <w:rPr>
                <w:sz w:val="20"/>
                <w:szCs w:val="20"/>
              </w:rPr>
              <w:t>Architecture, burials, ochre</w:t>
            </w:r>
          </w:p>
        </w:tc>
      </w:tr>
      <w:tr w:rsidR="00956260" w:rsidRPr="00D06480" w14:paraId="34FC1746"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5AB4D4E" w14:textId="77777777" w:rsidR="00956260" w:rsidRPr="00D06480" w:rsidRDefault="00000000">
            <w:r>
              <w:rPr>
                <w:sz w:val="20"/>
                <w:szCs w:val="20"/>
              </w:rPr>
              <w:t>Mesopotamia</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7C18919" w14:textId="77777777" w:rsidR="00956260" w:rsidRPr="00D06480" w:rsidRDefault="00000000">
            <w:r>
              <w:rPr>
                <w:sz w:val="20"/>
                <w:szCs w:val="20"/>
              </w:rPr>
              <w:t>Axial-River / Settlement Repetition</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6B53CCD" w14:textId="77777777" w:rsidR="00956260" w:rsidRPr="00D06480" w:rsidRDefault="00000000">
            <w:r>
              <w:rPr>
                <w:sz w:val="20"/>
                <w:szCs w:val="20"/>
              </w:rPr>
              <w:t>~8,000 BCE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1EA7192" w14:textId="77777777" w:rsidR="00956260" w:rsidRPr="00D06480" w:rsidRDefault="00000000">
            <w:r>
              <w:rPr>
                <w:sz w:val="20"/>
                <w:szCs w:val="20"/>
              </w:rPr>
              <w:t>~3,100 BCE</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A13B380" w14:textId="77777777" w:rsidR="00956260" w:rsidRPr="00D06480" w:rsidRDefault="00000000">
            <w:r>
              <w:rPr>
                <w:sz w:val="20"/>
                <w:szCs w:val="20"/>
              </w:rPr>
              <w:t>~3,100 BCE</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D9F797" w14:textId="77777777" w:rsidR="00956260" w:rsidRPr="00D06480" w:rsidRDefault="00000000">
            <w:r>
              <w:rPr>
                <w:sz w:val="20"/>
                <w:szCs w:val="20"/>
              </w:rPr>
              <w:t>Architecture, ritual craft</w:t>
            </w:r>
          </w:p>
        </w:tc>
      </w:tr>
      <w:tr w:rsidR="00956260" w:rsidRPr="00D06480" w14:paraId="5756443A" w14:textId="77777777">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4615B3D8" w14:textId="77777777" w:rsidR="00956260" w:rsidRPr="00D06480" w:rsidRDefault="00000000">
            <w:r>
              <w:rPr>
                <w:sz w:val="20"/>
                <w:szCs w:val="20"/>
              </w:rPr>
              <w:t>Indus Valley</w:t>
            </w:r>
          </w:p>
        </w:tc>
        <w:tc>
          <w:tcPr>
            <w:tcW w:w="20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49A13006" w14:textId="77777777" w:rsidR="00956260" w:rsidRPr="00D06480" w:rsidRDefault="00000000">
            <w:r>
              <w:rPr>
                <w:sz w:val="20"/>
                <w:szCs w:val="20"/>
              </w:rPr>
              <w:t>Infrastructural Embedding</w:t>
            </w:r>
          </w:p>
        </w:tc>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47BC25C1" w14:textId="77777777" w:rsidR="00956260" w:rsidRPr="00D06480" w:rsidRDefault="00000000">
            <w:r>
              <w:rPr>
                <w:sz w:val="20"/>
                <w:szCs w:val="20"/>
              </w:rPr>
              <w:t>~5,500 BCE</w:t>
            </w:r>
          </w:p>
        </w:tc>
        <w:tc>
          <w:tcPr>
            <w:tcW w:w="1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18013335" w14:textId="77777777" w:rsidR="00956260" w:rsidRPr="00D06480" w:rsidRDefault="00000000">
            <w:r>
              <w:rPr>
                <w:sz w:val="20"/>
                <w:szCs w:val="20"/>
              </w:rPr>
              <w:t>~2,600 BCE</w:t>
            </w:r>
          </w:p>
        </w:tc>
        <w:tc>
          <w:tcPr>
            <w:tcW w:w="11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011646C8" w14:textId="77777777" w:rsidR="00956260" w:rsidRPr="00D06480" w:rsidRDefault="00000000">
            <w:r>
              <w:rPr>
                <w:sz w:val="20"/>
                <w:szCs w:val="20"/>
              </w:rPr>
              <w:t>~2,600 BCE</w:t>
            </w:r>
          </w:p>
        </w:tc>
        <w:tc>
          <w:tcPr>
            <w:tcW w:w="15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4EA627EB" w14:textId="77777777" w:rsidR="00956260" w:rsidRPr="00D06480" w:rsidRDefault="00000000">
            <w:r>
              <w:rPr>
                <w:sz w:val="20"/>
                <w:szCs w:val="20"/>
              </w:rPr>
              <w:t>Standardized weights, seals</w:t>
            </w:r>
          </w:p>
        </w:tc>
      </w:tr>
      <w:tr w:rsidR="00956260" w:rsidRPr="00D06480" w14:paraId="508BE63D"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38452EB" w14:textId="77777777" w:rsidR="00956260" w:rsidRPr="00D06480" w:rsidRDefault="00000000">
            <w:r>
              <w:rPr>
                <w:sz w:val="20"/>
                <w:szCs w:val="20"/>
              </w:rPr>
              <w:t>East Asia</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66DBFCA" w14:textId="77777777" w:rsidR="00956260" w:rsidRPr="00D06480" w:rsidRDefault="00000000">
            <w:r>
              <w:rPr>
                <w:sz w:val="20"/>
                <w:szCs w:val="20"/>
              </w:rPr>
              <w:t>Portable / Craft-Based</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B63679F" w14:textId="77777777" w:rsidR="00956260" w:rsidRPr="00D06480" w:rsidRDefault="00000000">
            <w:r>
              <w:rPr>
                <w:sz w:val="20"/>
                <w:szCs w:val="20"/>
              </w:rPr>
              <w:t>~6,000 BCE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F8B244B" w14:textId="77777777" w:rsidR="00956260" w:rsidRPr="00D06480" w:rsidRDefault="00000000">
            <w:r>
              <w:rPr>
                <w:sz w:val="20"/>
                <w:szCs w:val="20"/>
              </w:rPr>
              <w:t>~2,000 BCE</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7FC0971" w14:textId="77777777" w:rsidR="00956260" w:rsidRPr="00D06480" w:rsidRDefault="00000000">
            <w:r>
              <w:rPr>
                <w:sz w:val="20"/>
                <w:szCs w:val="20"/>
              </w:rPr>
              <w:t>~1,500 BCE</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0316BB" w14:textId="77777777" w:rsidR="00956260" w:rsidRPr="00D06480" w:rsidRDefault="00000000">
            <w:r>
              <w:rPr>
                <w:sz w:val="20"/>
                <w:szCs w:val="20"/>
              </w:rPr>
              <w:t>Jade, ceramics, bone flutes</w:t>
            </w:r>
          </w:p>
        </w:tc>
      </w:tr>
      <w:tr w:rsidR="00956260" w:rsidRPr="00D06480" w14:paraId="59C4CCF5" w14:textId="77777777">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220C97FD" w14:textId="77777777" w:rsidR="00956260" w:rsidRPr="00D06480" w:rsidRDefault="00000000">
            <w:r>
              <w:rPr>
                <w:sz w:val="20"/>
                <w:szCs w:val="20"/>
              </w:rPr>
              <w:t>Mesoamerica</w:t>
            </w:r>
          </w:p>
        </w:tc>
        <w:tc>
          <w:tcPr>
            <w:tcW w:w="20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582F98FB" w14:textId="77777777" w:rsidR="00956260" w:rsidRPr="00D06480" w:rsidRDefault="00000000">
            <w:r>
              <w:rPr>
                <w:sz w:val="20"/>
                <w:szCs w:val="20"/>
              </w:rPr>
              <w:t>Distributed / Network</w:t>
            </w:r>
          </w:p>
        </w:tc>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350CA762" w14:textId="77777777" w:rsidR="00956260" w:rsidRPr="00D06480" w:rsidRDefault="00000000">
            <w:r>
              <w:rPr>
                <w:sz w:val="20"/>
                <w:szCs w:val="20"/>
              </w:rPr>
              <w:t>~4,000 BCE</w:t>
            </w:r>
          </w:p>
        </w:tc>
        <w:tc>
          <w:tcPr>
            <w:tcW w:w="1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417E180B" w14:textId="77777777" w:rsidR="00956260" w:rsidRPr="00D06480" w:rsidRDefault="00000000">
            <w:r>
              <w:rPr>
                <w:sz w:val="20"/>
                <w:szCs w:val="20"/>
              </w:rPr>
              <w:t>~1,400 BCE</w:t>
            </w:r>
          </w:p>
        </w:tc>
        <w:tc>
          <w:tcPr>
            <w:tcW w:w="11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1D6D35BD" w14:textId="77777777" w:rsidR="00956260" w:rsidRPr="00D06480" w:rsidRDefault="00000000">
            <w:r>
              <w:rPr>
                <w:sz w:val="20"/>
                <w:szCs w:val="20"/>
              </w:rPr>
              <w:t>~900 BCE</w:t>
            </w:r>
          </w:p>
        </w:tc>
        <w:tc>
          <w:tcPr>
            <w:tcW w:w="15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01B3620A" w14:textId="77777777" w:rsidR="00956260" w:rsidRPr="00D06480" w:rsidRDefault="00000000">
            <w:r>
              <w:rPr>
                <w:sz w:val="20"/>
                <w:szCs w:val="20"/>
              </w:rPr>
              <w:t>Figurines, portable ritual objects</w:t>
            </w:r>
          </w:p>
        </w:tc>
      </w:tr>
      <w:tr w:rsidR="00956260" w:rsidRPr="00D06480" w14:paraId="38E38722"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DF7BD1A" w14:textId="77777777" w:rsidR="00956260" w:rsidRPr="00D06480" w:rsidRDefault="00000000">
            <w:r>
              <w:rPr>
                <w:sz w:val="20"/>
                <w:szCs w:val="20"/>
              </w:rPr>
              <w:t>Sri Lanka</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1E8714" w14:textId="77777777" w:rsidR="00956260" w:rsidRPr="00D06480" w:rsidRDefault="00000000">
            <w:r>
              <w:rPr>
                <w:sz w:val="20"/>
                <w:szCs w:val="20"/>
              </w:rPr>
              <w:t>Forager-Mnemonic</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230F50A" w14:textId="77777777" w:rsidR="00956260" w:rsidRPr="00D06480" w:rsidRDefault="00000000">
            <w:r>
              <w:rPr>
                <w:sz w:val="20"/>
                <w:szCs w:val="20"/>
              </w:rPr>
              <w:t>~28,000–18,000 BP</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B355441" w14:textId="77777777" w:rsidR="00956260" w:rsidRPr="00D06480" w:rsidRDefault="00000000">
            <w:r>
              <w:rPr>
                <w:sz w:val="20"/>
                <w:szCs w:val="20"/>
              </w:rPr>
              <w:t>Historic only</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7EE105C" w14:textId="77777777" w:rsidR="00956260" w:rsidRPr="00D06480" w:rsidRDefault="00000000">
            <w:r>
              <w:rPr>
                <w:sz w:val="20"/>
                <w:szCs w:val="20"/>
              </w:rPr>
              <w:t>Historic only</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2F695F4" w14:textId="77777777" w:rsidR="00956260" w:rsidRPr="00D06480" w:rsidRDefault="00000000">
            <w:r>
              <w:rPr>
                <w:sz w:val="20"/>
                <w:szCs w:val="20"/>
              </w:rPr>
              <w:t>Caves, microliths, ochre</w:t>
            </w:r>
          </w:p>
        </w:tc>
      </w:tr>
    </w:tbl>
    <w:p w14:paraId="0BC406DC" w14:textId="77777777" w:rsidR="00956260" w:rsidRPr="00D06480" w:rsidRDefault="00000000">
      <w:pPr>
        <w:spacing w:before="100" w:after="240"/>
        <w:jc w:val="center"/>
      </w:pPr>
      <w:r>
        <w:rPr>
          <w:b/>
          <w:bCs/>
          <w:i/>
          <w:iCs/>
          <w:sz w:val="20"/>
          <w:szCs w:val="20"/>
        </w:rPr>
        <w:t>Table 3. All saturation dates are DSSM estimates. Writing dates represent earliest securely dated evidence. Source: Author (2026c; 2026j; 2026k; 2026ag).</w:t>
      </w:r>
    </w:p>
    <w:p w14:paraId="7A47E1C9" w14:textId="77777777" w:rsidR="00956260" w:rsidRPr="00D06480" w:rsidRDefault="00000000">
      <w:r>
        <w:br w:type="page"/>
      </w:r>
    </w:p>
    <w:p w14:paraId="32ADE13E" w14:textId="77777777" w:rsidR="00956260" w:rsidRPr="00D06480" w:rsidRDefault="00000000">
      <w:pPr>
        <w:pStyle w:val="Heading1"/>
      </w:pPr>
      <w:r>
        <w:lastRenderedPageBreak/>
        <w:t>5. Site-Level Evidence and Special Cases</w:t>
      </w:r>
    </w:p>
    <w:p w14:paraId="53A6DFB7" w14:textId="77777777" w:rsidR="00956260" w:rsidRPr="00D06480" w:rsidRDefault="00000000" w:rsidP="00D06480">
      <w:pPr>
        <w:spacing w:after="160" w:line="360" w:lineRule="auto"/>
        <w:ind w:firstLine="720"/>
        <w:jc w:val="both"/>
      </w:pPr>
      <w:r>
        <w:rPr>
          <w:color w:val="000000"/>
        </w:rPr>
        <w:t>Beyond macro-regional analysis, the DSSM corpus includes detailed site-level applications using the Field Companion Protocol, producing a comparative scoring database across sites spanning more than 170,000 years . These site reports serve two functions: they validate the FCP as an operational instrument capable of producing consistent, reproducible scores across vastly different archaeological contexts, and they provide the chronological anchor points against which the model's developmental sequence is tested.</w:t>
      </w:r>
    </w:p>
    <w:p w14:paraId="43E1414D" w14:textId="77777777" w:rsidR="00956260" w:rsidRPr="00D06480" w:rsidRDefault="00000000">
      <w:pPr>
        <w:spacing w:after="160" w:line="360" w:lineRule="auto"/>
        <w:jc w:val="both"/>
      </w:pPr>
      <w:r>
        <w:rPr>
          <w:color w:val="000000"/>
        </w:rPr>
        <w:t>Bruniquel Cave, France (~176,000 BP), contains two annular structures composed of approximately 400 broken stalagmites located 336 meters inside the cave in total darkness. The structures demonstrate deliberate geometry, standardized fragment lengths averaging 0.5 to 1.2 meters with low coefficient of variation, and fire-altered surfaces without associated domestic debris. The absence of food remains, lithic tools, or habitation features rules out functional explanations: the structures served a non-subsistence purpose. The depth of the location — requiring artificial lighting, fire mastery, and navigational planning — establishes that the construction was deliberate and cognitively demanding. FCP scores: Mnemonic Architectures 2/2, Symbolic Stabilization 2/2, Externalized Cognition 1/2, Symbolic Regulation 2/2, Distributed Symbolic Authority 1/2, Portable Symbolic Anchors 0/2. Total: 8/12. This is high symbolic sophistication for a Middle Pleistocene site, confirming that structured symbolic behavior predates anatomically modern humans. Neanderthals demonstrated planning, spatial memory, and hierarchical task execution — bounded, however, by the absence of portable symbolic media capable of carrying meaning outside the immediate co-presence context .</w:t>
      </w:r>
    </w:p>
    <w:p w14:paraId="33930E4D" w14:textId="77777777" w:rsidR="00956260" w:rsidRPr="00D06480" w:rsidRDefault="00000000">
      <w:pPr>
        <w:spacing w:after="160" w:line="360" w:lineRule="auto"/>
        <w:jc w:val="both"/>
      </w:pPr>
      <w:r>
        <w:rPr>
          <w:color w:val="000000"/>
        </w:rPr>
        <w:t>Omo Kibish, Ethiopia (~200,000 BP), provides the earliest Homo sapiens baseline. Fossil remains including the Omo 1 specimen, pigment traces (red ochre), and stratified habitation deposits score 2/12 on the FCP — incipient symbolic behavior, non-standardized and non-redundant. This establishes the cognitive capacity for symbolic thought before structural stabilization, and provides the zero-point against which subsequent developments are measured. The contrast with Blombos Cave 100,000 years later is the model's sharpest confirmation: the same species, occupying the same continent, with an intervening period of incremental neural and behavioral development, progresses from a 2/12 to a 12/12 FCP score .</w:t>
      </w:r>
    </w:p>
    <w:p w14:paraId="2B9865F5" w14:textId="77777777" w:rsidR="00956260" w:rsidRPr="00D06480" w:rsidRDefault="00000000">
      <w:pPr>
        <w:spacing w:after="160" w:line="360" w:lineRule="auto"/>
        <w:jc w:val="both"/>
      </w:pPr>
      <w:r>
        <w:rPr>
          <w:color w:val="000000"/>
        </w:rPr>
        <w:lastRenderedPageBreak/>
        <w:t>Blombos Cave, South Africa (~100,000–70,000 BP), is the first fully DSSM-saturated symbolic system. Engraved ochre slabs with geometric cross-hatched patterns demonstrate standardized motif production across multiple stratigraphic layers, requiring intergenerational transmission of specific engraving conventions — not just the capacity for engraving but the transmission of specific symbolic forms. Perforated shell beads with morphometric standardization (Nassarius kraussianus shells, consistent perforation diameter) represent portable symbolic anchors functioning as inter-community identity markers. Structured hearths and curated artifact clusters provide spatial constraint evidence. The full FCP score of 12/12 — the maximum possible — is not awarded on the basis of any single artifact category but on the convergence of all six observable dimensions simultaneously. This convergence is what DSSM means by structural stabilization: meaning distributed across media so that no single loss disrupts the system (Author, 2026n; Henshilwood et al., 2018).</w:t>
      </w:r>
    </w:p>
    <w:p w14:paraId="108C3482" w14:textId="77777777" w:rsidR="00956260" w:rsidRPr="00D06480" w:rsidRDefault="00000000">
      <w:pPr>
        <w:spacing w:after="160" w:line="360" w:lineRule="auto"/>
        <w:jc w:val="both"/>
      </w:pPr>
      <w:r>
        <w:rPr>
          <w:color w:val="000000"/>
        </w:rPr>
        <w:t>The Sulawesi cave art assemblage (≥67,800 BP) in Wallacea represents the earliest securely dated representational marking system in Island Southeast Asia . Negative hand stencils in Liang Metanduno, Gua Mbokita, and Gua Anawai are dated by uranium-series methods to minimum ages of 67,800 years — minimum ages, meaning actual production could predate these measurements by unknown intervals as calcite layers form over preexisting marks. Layered pigment phases separated by large temporal intervals — one panel at Liang Metanduno showing a 35,000-year gap between pigment layers — demonstrate mnemonic anchoring at the deepest time depth currently documented for fixed symbolic locations. The structural DSSM reading is clear: these caves were not used once by a creative individual; they were returned to, layer by layer, across tens of thousands of years. That pattern is spatial constraint and intergenerational repetition simultaneously — two of the four DSSM criteria met without any monument, any writing, or any centralized authority.</w:t>
      </w:r>
    </w:p>
    <w:p w14:paraId="6DC72428" w14:textId="77777777" w:rsidR="00956260" w:rsidRPr="00D06480" w:rsidRDefault="00000000">
      <w:pPr>
        <w:spacing w:after="160" w:line="360" w:lineRule="auto"/>
        <w:jc w:val="both"/>
      </w:pPr>
      <w:r>
        <w:rPr>
          <w:color w:val="000000"/>
        </w:rPr>
        <w:t xml:space="preserve">The NEG II Woman-Goose figurine (c. 12,000 BP, Nahal Ein Gev II, northern Israel) is the earliest known naturalistic depiction of a woman in Southwest Asian prehistory and the earliest figurine depicting human-animal interaction in the region (Author, 2026q; Davin et al., 2025). Measuring 37 millimeters in height and modeled from locally sourced clay, the figurine was fired at approximately 400°C as confirmed by FTIR analysis. Red pigment traces remain on both the human and avian figures. Microscopic analysis preserved a partial fingerprint with ridge density suggesting a young adult or adult female artisan — a rare window into the demographic specifics of prehistoric craft production. The figurine was recovered from a semicircular stone structure containing burial deposits, </w:t>
      </w:r>
      <w:r>
        <w:rPr>
          <w:color w:val="000000"/>
        </w:rPr>
        <w:lastRenderedPageBreak/>
        <w:t>emphasizing its social and symbolic context. Within DSSM, the figurine demonstrates externalized cognition at its most specific: a relational worldview — a human-goose narrative, potentially mythological — encoded in durable material form at a site positioned at the transition between mobile foraging and sedentary Natufian life.</w:t>
      </w:r>
    </w:p>
    <w:p w14:paraId="0BC316EF" w14:textId="77777777" w:rsidR="00956260" w:rsidRDefault="00000000">
      <w:pPr>
        <w:spacing w:after="160" w:line="360" w:lineRule="auto"/>
        <w:jc w:val="both"/>
        <w:rPr>
          <w:color w:val="000000"/>
        </w:rPr>
      </w:pPr>
      <w:r>
        <w:rPr>
          <w:color w:val="000000"/>
        </w:rPr>
        <w:t>The Halafian pottery corpus (c. 6,200–5,500 BCE) contributes a different kind of evidence: early arithmetic and abstract spatial cognition materialized in ceramic decoration (Author, 2026r). Analysis of 786 vegetal motifs across 29 Halafian sites reveals flower arrangements with radial configurations of 4, 8, 16, 32, and 64 petals, checkerboard patterns with embedded floral motifs, and concentric arrangements — a geometric progression suggesting deliberate numerical encoding. The cross-site coefficient of variation for flower motif structure is low, consistent with DSSM Stage 2 saturation across the northern Mesopotamian network. These are not mere decorative choices; they are materially externalized counting systems, spatial planning tools, and temporal organization devices — cognitive infrastructure embedded in daily-use ceramic objects and thus distributed across the full community rather than confined to elite or ritual contexts.</w:t>
      </w:r>
    </w:p>
    <w:p w14:paraId="565380CD" w14:textId="77777777" w:rsidR="00D06480" w:rsidRDefault="00D06480">
      <w:pPr>
        <w:spacing w:after="160" w:line="360" w:lineRule="auto"/>
        <w:jc w:val="both"/>
        <w:rPr>
          <w:color w:val="000000"/>
        </w:rPr>
      </w:pPr>
    </w:p>
    <w:p w14:paraId="5C81183B" w14:textId="77777777" w:rsidR="00D06480" w:rsidRDefault="00D06480">
      <w:pPr>
        <w:spacing w:after="160" w:line="360" w:lineRule="auto"/>
        <w:jc w:val="both"/>
        <w:rPr>
          <w:color w:val="000000"/>
        </w:rPr>
      </w:pPr>
    </w:p>
    <w:p w14:paraId="5F8B6E84" w14:textId="77777777" w:rsidR="00D06480" w:rsidRDefault="00D06480">
      <w:pPr>
        <w:spacing w:after="160" w:line="360" w:lineRule="auto"/>
        <w:jc w:val="both"/>
        <w:rPr>
          <w:color w:val="000000"/>
        </w:rPr>
      </w:pPr>
    </w:p>
    <w:p w14:paraId="031BAB0E" w14:textId="77777777" w:rsidR="00D06480" w:rsidRDefault="00D06480">
      <w:pPr>
        <w:spacing w:after="160" w:line="360" w:lineRule="auto"/>
        <w:jc w:val="both"/>
        <w:rPr>
          <w:color w:val="000000"/>
        </w:rPr>
      </w:pPr>
    </w:p>
    <w:p w14:paraId="577DD72E" w14:textId="77777777" w:rsidR="00D06480" w:rsidRDefault="00D06480">
      <w:pPr>
        <w:spacing w:after="160" w:line="360" w:lineRule="auto"/>
        <w:jc w:val="both"/>
        <w:rPr>
          <w:color w:val="000000"/>
        </w:rPr>
      </w:pPr>
    </w:p>
    <w:p w14:paraId="11B4E82B" w14:textId="77777777" w:rsidR="00D06480" w:rsidRDefault="00D06480">
      <w:pPr>
        <w:spacing w:after="160" w:line="360" w:lineRule="auto"/>
        <w:jc w:val="both"/>
        <w:rPr>
          <w:color w:val="000000"/>
        </w:rPr>
      </w:pPr>
    </w:p>
    <w:p w14:paraId="643B65AD" w14:textId="77777777" w:rsidR="00D06480" w:rsidRDefault="00D06480">
      <w:pPr>
        <w:spacing w:after="160" w:line="360" w:lineRule="auto"/>
        <w:jc w:val="both"/>
        <w:rPr>
          <w:color w:val="000000"/>
        </w:rPr>
      </w:pPr>
    </w:p>
    <w:p w14:paraId="55B8968E" w14:textId="77777777" w:rsidR="00D06480" w:rsidRDefault="00D06480">
      <w:pPr>
        <w:spacing w:after="160" w:line="360" w:lineRule="auto"/>
        <w:jc w:val="both"/>
        <w:rPr>
          <w:color w:val="000000"/>
        </w:rPr>
      </w:pPr>
    </w:p>
    <w:p w14:paraId="2574B754" w14:textId="77777777" w:rsidR="00D06480" w:rsidRDefault="00D06480">
      <w:pPr>
        <w:spacing w:after="160" w:line="360" w:lineRule="auto"/>
        <w:jc w:val="both"/>
        <w:rPr>
          <w:color w:val="000000"/>
        </w:rPr>
      </w:pPr>
    </w:p>
    <w:p w14:paraId="09A9E105" w14:textId="77777777" w:rsidR="00D06480" w:rsidRPr="00D06480" w:rsidRDefault="00D06480">
      <w:pPr>
        <w:spacing w:after="160" w:line="360" w:lineRule="auto"/>
        <w:jc w:val="both"/>
      </w:pPr>
    </w:p>
    <w:p w14:paraId="552A2594" w14:textId="77777777" w:rsidR="00956260" w:rsidRPr="00D06480" w:rsidRDefault="00000000">
      <w:pPr>
        <w:spacing w:before="240" w:after="80"/>
        <w:jc w:val="center"/>
      </w:pPr>
      <w:r>
        <w:rPr>
          <w:b/>
          <w:bCs/>
          <w:sz w:val="20"/>
          <w:szCs w:val="20"/>
        </w:rPr>
        <w:t>Table 4. Comparative FCP Scores Across Key Sites (2D Min-Rule System)</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1400"/>
        <w:gridCol w:w="1500"/>
        <w:gridCol w:w="1300"/>
        <w:gridCol w:w="1700"/>
        <w:gridCol w:w="2360"/>
      </w:tblGrid>
      <w:tr w:rsidR="00956260" w:rsidRPr="00D06480" w14:paraId="160BB08F" w14:textId="77777777">
        <w:trPr>
          <w:tblHeader/>
        </w:trPr>
        <w:tc>
          <w:tcPr>
            <w:tcW w:w="15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4CF07169" w14:textId="77777777" w:rsidR="00956260" w:rsidRPr="00D06480" w:rsidRDefault="00000000">
            <w:pPr>
              <w:jc w:val="center"/>
            </w:pPr>
            <w:r>
              <w:rPr>
                <w:b/>
                <w:bCs/>
                <w:color w:val="FFFFFF"/>
                <w:sz w:val="20"/>
                <w:szCs w:val="20"/>
              </w:rPr>
              <w:lastRenderedPageBreak/>
              <w:t>Site</w:t>
            </w:r>
          </w:p>
        </w:tc>
        <w:tc>
          <w:tcPr>
            <w:tcW w:w="14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3F3BB065" w14:textId="77777777" w:rsidR="00956260" w:rsidRPr="00D06480" w:rsidRDefault="00000000">
            <w:pPr>
              <w:jc w:val="center"/>
            </w:pPr>
            <w:r>
              <w:rPr>
                <w:b/>
                <w:bCs/>
                <w:color w:val="FFFFFF"/>
                <w:sz w:val="20"/>
                <w:szCs w:val="20"/>
              </w:rPr>
              <w:t>Date</w:t>
            </w:r>
          </w:p>
        </w:tc>
        <w:tc>
          <w:tcPr>
            <w:tcW w:w="15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6FEAF811" w14:textId="77777777" w:rsidR="00956260" w:rsidRPr="00D06480" w:rsidRDefault="00000000">
            <w:pPr>
              <w:jc w:val="center"/>
            </w:pPr>
            <w:r>
              <w:rPr>
                <w:b/>
                <w:bCs/>
                <w:color w:val="FFFFFF"/>
                <w:sz w:val="20"/>
                <w:szCs w:val="20"/>
              </w:rPr>
              <w:t>Culture</w:t>
            </w:r>
          </w:p>
        </w:tc>
        <w:tc>
          <w:tcPr>
            <w:tcW w:w="13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243B9B2A" w14:textId="77777777" w:rsidR="00956260" w:rsidRPr="00D06480" w:rsidRDefault="00000000">
            <w:pPr>
              <w:jc w:val="center"/>
            </w:pPr>
            <w:r>
              <w:rPr>
                <w:b/>
                <w:bCs/>
                <w:color w:val="FFFFFF"/>
                <w:sz w:val="20"/>
                <w:szCs w:val="20"/>
              </w:rPr>
              <w:t>FCP Score /12</w:t>
            </w:r>
          </w:p>
        </w:tc>
        <w:tc>
          <w:tcPr>
            <w:tcW w:w="17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1DBC5ED2" w14:textId="77777777" w:rsidR="00956260" w:rsidRPr="00D06480" w:rsidRDefault="00000000">
            <w:pPr>
              <w:jc w:val="center"/>
            </w:pPr>
            <w:r>
              <w:rPr>
                <w:b/>
                <w:bCs/>
                <w:color w:val="FFFFFF"/>
                <w:sz w:val="20"/>
                <w:szCs w:val="20"/>
              </w:rPr>
              <w:t>Stage Reached</w:t>
            </w:r>
          </w:p>
        </w:tc>
        <w:tc>
          <w:tcPr>
            <w:tcW w:w="236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5E8E597B" w14:textId="77777777" w:rsidR="00956260" w:rsidRPr="00D06480" w:rsidRDefault="00000000">
            <w:pPr>
              <w:jc w:val="center"/>
            </w:pPr>
            <w:r>
              <w:rPr>
                <w:b/>
                <w:bCs/>
                <w:color w:val="FFFFFF"/>
                <w:sz w:val="20"/>
                <w:szCs w:val="20"/>
              </w:rPr>
              <w:t>Key Deficit</w:t>
            </w:r>
          </w:p>
        </w:tc>
      </w:tr>
      <w:tr w:rsidR="00956260" w:rsidRPr="00D06480" w14:paraId="710E05DD" w14:textId="77777777">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59810E80" w14:textId="77777777" w:rsidR="00956260" w:rsidRPr="00D06480" w:rsidRDefault="00000000">
            <w:r>
              <w:rPr>
                <w:sz w:val="20"/>
                <w:szCs w:val="20"/>
              </w:rPr>
              <w:t>Omo Kibish</w:t>
            </w:r>
          </w:p>
        </w:tc>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47163950" w14:textId="77777777" w:rsidR="00956260" w:rsidRPr="00D06480" w:rsidRDefault="00000000">
            <w:r>
              <w:rPr>
                <w:sz w:val="20"/>
                <w:szCs w:val="20"/>
              </w:rPr>
              <w:t>~200,000 BP</w:t>
            </w:r>
          </w:p>
        </w:tc>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3AA192B8" w14:textId="77777777" w:rsidR="00956260" w:rsidRPr="00D06480" w:rsidRDefault="00000000">
            <w:r>
              <w:rPr>
                <w:sz w:val="20"/>
                <w:szCs w:val="20"/>
              </w:rPr>
              <w:t>Early Homo sapiens</w:t>
            </w:r>
          </w:p>
        </w:tc>
        <w:tc>
          <w:tcPr>
            <w:tcW w:w="13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638682D2" w14:textId="77777777" w:rsidR="00956260" w:rsidRPr="00D06480" w:rsidRDefault="00000000">
            <w:r>
              <w:rPr>
                <w:sz w:val="20"/>
                <w:szCs w:val="20"/>
              </w:rPr>
              <w:t>2/12</w:t>
            </w:r>
          </w:p>
        </w:tc>
        <w:tc>
          <w:tcPr>
            <w:tcW w:w="17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3A55944C" w14:textId="77777777" w:rsidR="00956260" w:rsidRPr="00D06480" w:rsidRDefault="00000000">
            <w:r>
              <w:rPr>
                <w:sz w:val="20"/>
                <w:szCs w:val="20"/>
              </w:rPr>
              <w:t>Stage 1 (incipient)</w:t>
            </w:r>
          </w:p>
        </w:tc>
        <w:tc>
          <w:tcPr>
            <w:tcW w:w="23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0026F191" w14:textId="77777777" w:rsidR="00956260" w:rsidRPr="00D06480" w:rsidRDefault="00000000">
            <w:r>
              <w:rPr>
                <w:sz w:val="20"/>
                <w:szCs w:val="20"/>
              </w:rPr>
              <w:t>No portable anchors; no redundancy</w:t>
            </w:r>
          </w:p>
        </w:tc>
      </w:tr>
      <w:tr w:rsidR="00956260" w:rsidRPr="00D06480" w14:paraId="352453BD" w14:textId="77777777">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203E659" w14:textId="77777777" w:rsidR="00956260" w:rsidRPr="00D06480" w:rsidRDefault="00000000">
            <w:r>
              <w:rPr>
                <w:sz w:val="20"/>
                <w:szCs w:val="20"/>
              </w:rPr>
              <w:t>Bruniquel Cave</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AA8BE2C" w14:textId="77777777" w:rsidR="00956260" w:rsidRPr="00D06480" w:rsidRDefault="00000000">
            <w:r>
              <w:rPr>
                <w:sz w:val="20"/>
                <w:szCs w:val="20"/>
              </w:rPr>
              <w:t>~176,000 BP</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6946FA8" w14:textId="77777777" w:rsidR="00956260" w:rsidRPr="00D06480" w:rsidRDefault="00000000">
            <w:r>
              <w:rPr>
                <w:sz w:val="20"/>
                <w:szCs w:val="20"/>
              </w:rPr>
              <w:t>Neanderthal</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78C596C" w14:textId="77777777" w:rsidR="00956260" w:rsidRPr="00D06480" w:rsidRDefault="00000000">
            <w:r>
              <w:rPr>
                <w:sz w:val="20"/>
                <w:szCs w:val="20"/>
              </w:rPr>
              <w:t>8/12</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E4F5275" w14:textId="77777777" w:rsidR="00956260" w:rsidRPr="00D06480" w:rsidRDefault="00000000">
            <w:r>
              <w:rPr>
                <w:sz w:val="20"/>
                <w:szCs w:val="20"/>
              </w:rPr>
              <w:t>Stage 2 (partial)</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1B449E" w14:textId="77777777" w:rsidR="00956260" w:rsidRPr="00D06480" w:rsidRDefault="00000000">
            <w:r>
              <w:rPr>
                <w:sz w:val="20"/>
                <w:szCs w:val="20"/>
              </w:rPr>
              <w:t>No portable anchors (score 0/2)</w:t>
            </w:r>
          </w:p>
        </w:tc>
      </w:tr>
      <w:tr w:rsidR="00956260" w:rsidRPr="00D06480" w14:paraId="28B6BE44" w14:textId="77777777">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4DAD5A8B" w14:textId="77777777" w:rsidR="00956260" w:rsidRPr="00D06480" w:rsidRDefault="00000000">
            <w:r>
              <w:rPr>
                <w:sz w:val="20"/>
                <w:szCs w:val="20"/>
              </w:rPr>
              <w:t>Blombos Cave</w:t>
            </w:r>
          </w:p>
        </w:tc>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0E775B05" w14:textId="77777777" w:rsidR="00956260" w:rsidRPr="00D06480" w:rsidRDefault="00000000">
            <w:r>
              <w:rPr>
                <w:sz w:val="20"/>
                <w:szCs w:val="20"/>
              </w:rPr>
              <w:t>~100,000–70,000 BP</w:t>
            </w:r>
          </w:p>
        </w:tc>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13EB7E19" w14:textId="77777777" w:rsidR="00956260" w:rsidRPr="00D06480" w:rsidRDefault="00000000">
            <w:r>
              <w:rPr>
                <w:sz w:val="20"/>
                <w:szCs w:val="20"/>
              </w:rPr>
              <w:t>Homo sapiens</w:t>
            </w:r>
          </w:p>
        </w:tc>
        <w:tc>
          <w:tcPr>
            <w:tcW w:w="13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4C515029" w14:textId="77777777" w:rsidR="00956260" w:rsidRPr="00D06480" w:rsidRDefault="00000000">
            <w:r>
              <w:rPr>
                <w:sz w:val="20"/>
                <w:szCs w:val="20"/>
              </w:rPr>
              <w:t>12/12</w:t>
            </w:r>
          </w:p>
        </w:tc>
        <w:tc>
          <w:tcPr>
            <w:tcW w:w="17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667D0EE2" w14:textId="77777777" w:rsidR="00956260" w:rsidRPr="00D06480" w:rsidRDefault="00000000">
            <w:r>
              <w:rPr>
                <w:sz w:val="20"/>
                <w:szCs w:val="20"/>
              </w:rPr>
              <w:t>Stage 3 (saturated)</w:t>
            </w:r>
          </w:p>
        </w:tc>
        <w:tc>
          <w:tcPr>
            <w:tcW w:w="23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66B0D3B5" w14:textId="77777777" w:rsidR="00956260" w:rsidRPr="00D06480" w:rsidRDefault="00000000">
            <w:r>
              <w:rPr>
                <w:sz w:val="20"/>
                <w:szCs w:val="20"/>
              </w:rPr>
              <w:t>None — full saturation</w:t>
            </w:r>
          </w:p>
        </w:tc>
      </w:tr>
      <w:tr w:rsidR="00956260" w:rsidRPr="00D06480" w14:paraId="01892A6F" w14:textId="77777777">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5AE05AE" w14:textId="77777777" w:rsidR="00956260" w:rsidRPr="00D06480" w:rsidRDefault="00000000">
            <w:r>
              <w:rPr>
                <w:sz w:val="20"/>
                <w:szCs w:val="20"/>
              </w:rPr>
              <w:t>Sulawesi Karst</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01CA8ED" w14:textId="77777777" w:rsidR="00956260" w:rsidRPr="00D06480" w:rsidRDefault="00000000">
            <w:r>
              <w:rPr>
                <w:sz w:val="20"/>
                <w:szCs w:val="20"/>
              </w:rPr>
              <w:t>≥67,800 BP</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6892EDD" w14:textId="77777777" w:rsidR="00956260" w:rsidRPr="00D06480" w:rsidRDefault="00000000">
            <w:r>
              <w:rPr>
                <w:sz w:val="20"/>
                <w:szCs w:val="20"/>
              </w:rPr>
              <w:t>Early Homo sapiens</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7D7B8EB" w14:textId="77777777" w:rsidR="00956260" w:rsidRPr="00D06480" w:rsidRDefault="00000000">
            <w:r>
              <w:rPr>
                <w:sz w:val="20"/>
                <w:szCs w:val="20"/>
              </w:rPr>
              <w:t>Partial (est.)</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9DDCF0F" w14:textId="77777777" w:rsidR="00956260" w:rsidRPr="00D06480" w:rsidRDefault="00000000">
            <w:r>
              <w:rPr>
                <w:sz w:val="20"/>
                <w:szCs w:val="20"/>
              </w:rPr>
              <w:t>Stage 1–2</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D5D5B6C" w14:textId="77777777" w:rsidR="00956260" w:rsidRPr="00D06480" w:rsidRDefault="00000000">
            <w:r>
              <w:rPr>
                <w:sz w:val="20"/>
                <w:szCs w:val="20"/>
              </w:rPr>
              <w:t>Distributed authority uncertain</w:t>
            </w:r>
          </w:p>
        </w:tc>
      </w:tr>
      <w:tr w:rsidR="00956260" w:rsidRPr="00D06480" w14:paraId="63B1DA36" w14:textId="77777777">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062DA2E5" w14:textId="77777777" w:rsidR="00956260" w:rsidRPr="00D06480" w:rsidRDefault="00000000">
            <w:r>
              <w:rPr>
                <w:sz w:val="20"/>
                <w:szCs w:val="20"/>
              </w:rPr>
              <w:t>NEG II (Natufian)</w:t>
            </w:r>
          </w:p>
        </w:tc>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1FCED202" w14:textId="77777777" w:rsidR="00956260" w:rsidRPr="00D06480" w:rsidRDefault="00000000">
            <w:r>
              <w:rPr>
                <w:sz w:val="20"/>
                <w:szCs w:val="20"/>
              </w:rPr>
              <w:t>~12,000 BP</w:t>
            </w:r>
          </w:p>
        </w:tc>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5C5B5926" w14:textId="77777777" w:rsidR="00956260" w:rsidRPr="00D06480" w:rsidRDefault="00000000">
            <w:r>
              <w:rPr>
                <w:sz w:val="20"/>
                <w:szCs w:val="20"/>
              </w:rPr>
              <w:t>Homo sapiens</w:t>
            </w:r>
          </w:p>
        </w:tc>
        <w:tc>
          <w:tcPr>
            <w:tcW w:w="13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3777F4C3" w14:textId="77777777" w:rsidR="00956260" w:rsidRPr="00D06480" w:rsidRDefault="00000000">
            <w:r>
              <w:rPr>
                <w:sz w:val="20"/>
                <w:szCs w:val="20"/>
              </w:rPr>
              <w:t>High partial</w:t>
            </w:r>
          </w:p>
        </w:tc>
        <w:tc>
          <w:tcPr>
            <w:tcW w:w="17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0FF5B8EE" w14:textId="77777777" w:rsidR="00956260" w:rsidRPr="00D06480" w:rsidRDefault="00000000">
            <w:r>
              <w:rPr>
                <w:sz w:val="20"/>
                <w:szCs w:val="20"/>
              </w:rPr>
              <w:t>Stage 2–3</w:t>
            </w:r>
          </w:p>
        </w:tc>
        <w:tc>
          <w:tcPr>
            <w:tcW w:w="23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60C43F00" w14:textId="77777777" w:rsidR="00956260" w:rsidRPr="00D06480" w:rsidRDefault="00000000">
            <w:r>
              <w:rPr>
                <w:sz w:val="20"/>
                <w:szCs w:val="20"/>
              </w:rPr>
              <w:t>Inter-site comparison limited</w:t>
            </w:r>
          </w:p>
        </w:tc>
      </w:tr>
      <w:tr w:rsidR="00956260" w:rsidRPr="00D06480" w14:paraId="2B4BCDFA" w14:textId="77777777">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90D2315" w14:textId="77777777" w:rsidR="00956260" w:rsidRPr="00D06480" w:rsidRDefault="00000000">
            <w:r>
              <w:rPr>
                <w:sz w:val="20"/>
                <w:szCs w:val="20"/>
              </w:rPr>
              <w:t>Badarian Egypt</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07B1D2" w14:textId="77777777" w:rsidR="00956260" w:rsidRPr="00D06480" w:rsidRDefault="00000000">
            <w:r>
              <w:rPr>
                <w:sz w:val="20"/>
                <w:szCs w:val="20"/>
              </w:rPr>
              <w:t>~4,500–4,000 BCE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A3DB348" w14:textId="77777777" w:rsidR="00956260" w:rsidRPr="00D06480" w:rsidRDefault="00000000">
            <w:r>
              <w:rPr>
                <w:sz w:val="20"/>
                <w:szCs w:val="20"/>
              </w:rPr>
              <w:t>Homo sapiens</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13C3DF" w14:textId="77777777" w:rsidR="00956260" w:rsidRPr="00D06480" w:rsidRDefault="00000000">
            <w:r>
              <w:rPr>
                <w:sz w:val="20"/>
                <w:szCs w:val="20"/>
              </w:rPr>
              <w:t>4.5/12</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D4E1F5E" w14:textId="77777777" w:rsidR="00956260" w:rsidRPr="00D06480" w:rsidRDefault="00000000">
            <w:r>
              <w:rPr>
                <w:sz w:val="20"/>
                <w:szCs w:val="20"/>
              </w:rPr>
              <w:t>Stage 1</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91665CA" w14:textId="77777777" w:rsidR="00956260" w:rsidRPr="00D06480" w:rsidRDefault="00000000">
            <w:r>
              <w:rPr>
                <w:sz w:val="20"/>
                <w:szCs w:val="20"/>
              </w:rPr>
              <w:t>Preservation limits E-axis</w:t>
            </w:r>
          </w:p>
        </w:tc>
      </w:tr>
      <w:tr w:rsidR="00956260" w:rsidRPr="00D06480" w14:paraId="3E139564" w14:textId="77777777">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1629B043" w14:textId="77777777" w:rsidR="00956260" w:rsidRPr="00D06480" w:rsidRDefault="00000000">
            <w:r>
              <w:rPr>
                <w:sz w:val="20"/>
                <w:szCs w:val="20"/>
              </w:rPr>
              <w:t>Naqada III Egypt</w:t>
            </w:r>
          </w:p>
        </w:tc>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585BB5E8" w14:textId="77777777" w:rsidR="00956260" w:rsidRPr="00D06480" w:rsidRDefault="00000000">
            <w:r>
              <w:rPr>
                <w:sz w:val="20"/>
                <w:szCs w:val="20"/>
              </w:rPr>
              <w:t>~3,200–3,100 BCE</w:t>
            </w:r>
          </w:p>
        </w:tc>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515E6EA1" w14:textId="77777777" w:rsidR="00956260" w:rsidRPr="00D06480" w:rsidRDefault="00000000">
            <w:r>
              <w:rPr>
                <w:sz w:val="20"/>
                <w:szCs w:val="20"/>
              </w:rPr>
              <w:t>Homo sapiens</w:t>
            </w:r>
          </w:p>
        </w:tc>
        <w:tc>
          <w:tcPr>
            <w:tcW w:w="13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2EC6FF2A" w14:textId="77777777" w:rsidR="00956260" w:rsidRPr="00D06480" w:rsidRDefault="00000000">
            <w:r>
              <w:rPr>
                <w:sz w:val="20"/>
                <w:szCs w:val="20"/>
              </w:rPr>
              <w:t>10/12</w:t>
            </w:r>
          </w:p>
        </w:tc>
        <w:tc>
          <w:tcPr>
            <w:tcW w:w="17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2337BE95" w14:textId="77777777" w:rsidR="00956260" w:rsidRPr="00D06480" w:rsidRDefault="00000000">
            <w:r>
              <w:rPr>
                <w:sz w:val="20"/>
                <w:szCs w:val="20"/>
              </w:rPr>
              <w:t>Stage 3</w:t>
            </w:r>
          </w:p>
        </w:tc>
        <w:tc>
          <w:tcPr>
            <w:tcW w:w="23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2C97292E" w14:textId="77777777" w:rsidR="00956260" w:rsidRPr="00D06480" w:rsidRDefault="00000000">
            <w:r>
              <w:rPr>
                <w:sz w:val="20"/>
                <w:szCs w:val="20"/>
              </w:rPr>
              <w:t>Minor S-axis gaps</w:t>
            </w:r>
          </w:p>
        </w:tc>
      </w:tr>
      <w:tr w:rsidR="00956260" w:rsidRPr="00D06480" w14:paraId="753EC0B5" w14:textId="77777777">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056E257" w14:textId="77777777" w:rsidR="00956260" w:rsidRPr="00D06480" w:rsidRDefault="00000000">
            <w:r>
              <w:rPr>
                <w:sz w:val="20"/>
                <w:szCs w:val="20"/>
              </w:rPr>
              <w:t>Old Kingdom Egypt</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035E23E" w14:textId="77777777" w:rsidR="00956260" w:rsidRPr="00D06480" w:rsidRDefault="00000000">
            <w:r>
              <w:rPr>
                <w:sz w:val="20"/>
                <w:szCs w:val="20"/>
              </w:rPr>
              <w:t>~2,650 BCE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E355F08" w14:textId="77777777" w:rsidR="00956260" w:rsidRPr="00D06480" w:rsidRDefault="00000000">
            <w:r>
              <w:rPr>
                <w:sz w:val="20"/>
                <w:szCs w:val="20"/>
              </w:rPr>
              <w:t>Homo sapiens</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08B8F25" w14:textId="77777777" w:rsidR="00956260" w:rsidRPr="00D06480" w:rsidRDefault="00000000">
            <w:r>
              <w:rPr>
                <w:sz w:val="20"/>
                <w:szCs w:val="20"/>
              </w:rPr>
              <w:t>12/12</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4FF6518" w14:textId="77777777" w:rsidR="00956260" w:rsidRPr="00D06480" w:rsidRDefault="00000000">
            <w:r>
              <w:rPr>
                <w:sz w:val="20"/>
                <w:szCs w:val="20"/>
              </w:rPr>
              <w:t>Stage 4 peak</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4D61DB7" w14:textId="77777777" w:rsidR="00956260" w:rsidRPr="00D06480" w:rsidRDefault="00000000">
            <w:r>
              <w:rPr>
                <w:sz w:val="20"/>
                <w:szCs w:val="20"/>
              </w:rPr>
              <w:t>None — full saturation</w:t>
            </w:r>
          </w:p>
        </w:tc>
      </w:tr>
    </w:tbl>
    <w:p w14:paraId="0373C7AF" w14:textId="77777777" w:rsidR="00956260" w:rsidRPr="00D06480" w:rsidRDefault="00000000">
      <w:pPr>
        <w:spacing w:before="100" w:after="240"/>
        <w:jc w:val="center"/>
      </w:pPr>
      <w:r>
        <w:rPr>
          <w:b/>
          <w:bCs/>
          <w:i/>
          <w:iCs/>
          <w:sz w:val="20"/>
          <w:szCs w:val="20"/>
        </w:rPr>
        <w:t>Table 4. FCP scores use 2D min-rule system (max 12). Egyptian scores from Author (2026b). Site reports from Author (2026l; 2026m; 2026n; 2026o; 2026q).</w:t>
      </w:r>
    </w:p>
    <w:p w14:paraId="0BC035A8" w14:textId="77777777" w:rsidR="00956260" w:rsidRPr="00D06480" w:rsidRDefault="00956260">
      <w:pPr>
        <w:spacing w:before="200"/>
      </w:pPr>
    </w:p>
    <w:p w14:paraId="67D72088" w14:textId="77777777" w:rsidR="00956260" w:rsidRPr="00D06480" w:rsidRDefault="00000000">
      <w:pPr>
        <w:shd w:val="clear" w:color="auto" w:fill="F0F4F8"/>
        <w:ind w:left="720" w:right="720"/>
      </w:pPr>
      <w:r>
        <w:rPr>
          <w:rFonts w:eastAsia="Courier New" w:cs="Courier New"/>
          <w:sz w:val="18"/>
          <w:szCs w:val="18"/>
        </w:rPr>
        <w:t xml:space="preserve">  DSSM CHRONOLOGICAL TIMELINE — KEY SITES &amp; SATURATION EVENTS</w:t>
      </w:r>
    </w:p>
    <w:p w14:paraId="4307EB94" w14:textId="77777777" w:rsidR="00956260" w:rsidRPr="00D06480" w:rsidRDefault="00000000">
      <w:pPr>
        <w:shd w:val="clear" w:color="auto" w:fill="F0F4F8"/>
        <w:ind w:left="720" w:right="720"/>
      </w:pPr>
      <w:r>
        <w:rPr>
          <w:rFonts w:eastAsia="Courier New" w:cs="Courier New"/>
          <w:sz w:val="18"/>
          <w:szCs w:val="18"/>
        </w:rPr>
        <w:t xml:space="preserve">  </w:t>
      </w:r>
      <w:r>
        <w:rPr>
          <w:rFonts w:ascii="Arial" w:eastAsia="Courier New" w:hAnsi="Arial" w:cs="Arial"/>
          <w:sz w:val="18"/>
          <w:szCs w:val="18"/>
        </w:rPr>
        <w:t>────────────────────────────────────────────────────────────────</w:t>
      </w:r>
    </w:p>
    <w:p w14:paraId="21E5755E" w14:textId="77777777" w:rsidR="00956260" w:rsidRPr="00D06480" w:rsidRDefault="00000000">
      <w:pPr>
        <w:shd w:val="clear" w:color="auto" w:fill="F0F4F8"/>
        <w:ind w:left="720" w:right="720"/>
      </w:pPr>
      <w:r>
        <w:rPr>
          <w:rFonts w:eastAsia="Courier New" w:cs="Courier New"/>
          <w:sz w:val="18"/>
          <w:szCs w:val="18"/>
        </w:rPr>
        <w:t xml:space="preserve">  200,000 BP  </w:t>
      </w:r>
      <w:r>
        <w:rPr>
          <w:rFonts w:ascii="MS Gothic" w:eastAsia="MS Gothic" w:hAnsi="MS Gothic" w:cs="MS Gothic" w:hint="eastAsia"/>
          <w:sz w:val="18"/>
          <w:szCs w:val="18"/>
        </w:rPr>
        <w:t>┤</w:t>
      </w:r>
      <w:r>
        <w:rPr>
          <w:rFonts w:eastAsia="Courier New" w:cs="Courier New"/>
          <w:sz w:val="18"/>
          <w:szCs w:val="18"/>
        </w:rPr>
        <w:t xml:space="preserve">  Omo Kibish — Score 2/12 (incipient)</w:t>
      </w:r>
    </w:p>
    <w:p w14:paraId="7AD46080" w14:textId="77777777" w:rsidR="00956260" w:rsidRPr="00D06480" w:rsidRDefault="00000000">
      <w:pPr>
        <w:shd w:val="clear" w:color="auto" w:fill="F0F4F8"/>
        <w:ind w:left="720" w:right="720"/>
      </w:pPr>
      <w:r>
        <w:rPr>
          <w:rFonts w:eastAsia="Courier New" w:cs="Courier New"/>
          <w:sz w:val="18"/>
          <w:szCs w:val="18"/>
        </w:rPr>
        <w:t xml:space="preserve">  176,000 BP  </w:t>
      </w:r>
      <w:r>
        <w:rPr>
          <w:rFonts w:ascii="MS Gothic" w:eastAsia="MS Gothic" w:hAnsi="MS Gothic" w:cs="MS Gothic" w:hint="eastAsia"/>
          <w:sz w:val="18"/>
          <w:szCs w:val="18"/>
        </w:rPr>
        <w:t>┤</w:t>
      </w:r>
      <w:r>
        <w:rPr>
          <w:rFonts w:eastAsia="Courier New" w:cs="Courier New"/>
          <w:sz w:val="18"/>
          <w:szCs w:val="18"/>
        </w:rPr>
        <w:t xml:space="preserve">  Bruniquel Cave — Score 8/12 (Neanderthal proto-ritual)</w:t>
      </w:r>
    </w:p>
    <w:p w14:paraId="40870809" w14:textId="77777777" w:rsidR="00956260" w:rsidRPr="00D06480" w:rsidRDefault="00000000">
      <w:pPr>
        <w:shd w:val="clear" w:color="auto" w:fill="F0F4F8"/>
        <w:ind w:left="720" w:right="720"/>
      </w:pPr>
      <w:r>
        <w:rPr>
          <w:rFonts w:eastAsia="Courier New" w:cs="Courier New"/>
          <w:sz w:val="18"/>
          <w:szCs w:val="18"/>
        </w:rPr>
        <w:t xml:space="preserve">  100,000 BP  </w:t>
      </w:r>
      <w:r>
        <w:rPr>
          <w:rFonts w:ascii="MS Gothic" w:eastAsia="MS Gothic" w:hAnsi="MS Gothic" w:cs="MS Gothic" w:hint="eastAsia"/>
          <w:sz w:val="18"/>
          <w:szCs w:val="18"/>
        </w:rPr>
        <w:t>┤</w:t>
      </w:r>
      <w:r>
        <w:rPr>
          <w:rFonts w:eastAsia="Courier New" w:cs="Courier New"/>
          <w:sz w:val="18"/>
          <w:szCs w:val="18"/>
        </w:rPr>
        <w:t xml:space="preserve">  Blombos Cave — Score 12/12 (FIRST FULL SATURATION)</w:t>
      </w:r>
    </w:p>
    <w:p w14:paraId="174C0C93" w14:textId="77777777" w:rsidR="00956260" w:rsidRPr="00D06480" w:rsidRDefault="00000000">
      <w:pPr>
        <w:shd w:val="clear" w:color="auto" w:fill="F0F4F8"/>
        <w:ind w:left="720" w:right="720"/>
      </w:pPr>
      <w:r>
        <w:rPr>
          <w:rFonts w:eastAsia="Courier New" w:cs="Courier New"/>
          <w:sz w:val="18"/>
          <w:szCs w:val="18"/>
        </w:rPr>
        <w:t xml:space="preserve">   67,800 BP  </w:t>
      </w:r>
      <w:r>
        <w:rPr>
          <w:rFonts w:ascii="MS Gothic" w:eastAsia="MS Gothic" w:hAnsi="MS Gothic" w:cs="MS Gothic" w:hint="eastAsia"/>
          <w:sz w:val="18"/>
          <w:szCs w:val="18"/>
        </w:rPr>
        <w:t>┤</w:t>
      </w:r>
      <w:r>
        <w:rPr>
          <w:rFonts w:eastAsia="Courier New" w:cs="Courier New"/>
          <w:sz w:val="18"/>
          <w:szCs w:val="18"/>
        </w:rPr>
        <w:t xml:space="preserve">  Sulawesi cave art (earliest dated markings, Wallacea)</w:t>
      </w:r>
    </w:p>
    <w:p w14:paraId="5B8B2BEE" w14:textId="77777777" w:rsidR="00956260" w:rsidRPr="00D06480" w:rsidRDefault="00000000">
      <w:pPr>
        <w:shd w:val="clear" w:color="auto" w:fill="F0F4F8"/>
        <w:ind w:left="720" w:right="720"/>
      </w:pPr>
      <w:r>
        <w:rPr>
          <w:rFonts w:eastAsia="Courier New" w:cs="Courier New"/>
          <w:sz w:val="18"/>
          <w:szCs w:val="18"/>
        </w:rPr>
        <w:t xml:space="preserve">   48,000 BP  </w:t>
      </w:r>
      <w:r>
        <w:rPr>
          <w:rFonts w:ascii="MS Gothic" w:eastAsia="MS Gothic" w:hAnsi="MS Gothic" w:cs="MS Gothic" w:hint="eastAsia"/>
          <w:sz w:val="18"/>
          <w:szCs w:val="18"/>
        </w:rPr>
        <w:t>┤</w:t>
      </w:r>
      <w:r>
        <w:rPr>
          <w:rFonts w:eastAsia="Courier New" w:cs="Courier New"/>
          <w:sz w:val="18"/>
          <w:szCs w:val="18"/>
        </w:rPr>
        <w:t xml:space="preserve">  Fa Hien Cave, Sri Lanka (forager-mnemonic pathway)</w:t>
      </w:r>
    </w:p>
    <w:p w14:paraId="05214313" w14:textId="77777777" w:rsidR="00956260" w:rsidRPr="00D06480" w:rsidRDefault="00000000">
      <w:pPr>
        <w:shd w:val="clear" w:color="auto" w:fill="F0F4F8"/>
        <w:ind w:left="720" w:right="720"/>
      </w:pPr>
      <w:r>
        <w:rPr>
          <w:rFonts w:eastAsia="Courier New" w:cs="Courier New"/>
          <w:sz w:val="18"/>
          <w:szCs w:val="18"/>
        </w:rPr>
        <w:t xml:space="preserve">   28,000 BP  </w:t>
      </w:r>
      <w:r>
        <w:rPr>
          <w:rFonts w:ascii="MS Gothic" w:eastAsia="MS Gothic" w:hAnsi="MS Gothic" w:cs="MS Gothic" w:hint="eastAsia"/>
          <w:sz w:val="18"/>
          <w:szCs w:val="18"/>
        </w:rPr>
        <w:t>┤</w:t>
      </w:r>
      <w:r>
        <w:rPr>
          <w:rFonts w:eastAsia="Courier New" w:cs="Courier New"/>
          <w:sz w:val="18"/>
          <w:szCs w:val="18"/>
        </w:rPr>
        <w:t xml:space="preserve">  Sri Lanka — full DSSM saturation (no monuments needed)</w:t>
      </w:r>
    </w:p>
    <w:p w14:paraId="6816DBCF" w14:textId="77777777" w:rsidR="00956260" w:rsidRPr="00D06480" w:rsidRDefault="00000000">
      <w:pPr>
        <w:shd w:val="clear" w:color="auto" w:fill="F0F4F8"/>
        <w:ind w:left="720" w:right="720"/>
      </w:pPr>
      <w:r>
        <w:rPr>
          <w:rFonts w:eastAsia="Courier New" w:cs="Courier New"/>
          <w:sz w:val="18"/>
          <w:szCs w:val="18"/>
        </w:rPr>
        <w:t xml:space="preserve">   12,500 BCE </w:t>
      </w:r>
      <w:r>
        <w:rPr>
          <w:rFonts w:ascii="MS Gothic" w:eastAsia="MS Gothic" w:hAnsi="MS Gothic" w:cs="MS Gothic" w:hint="eastAsia"/>
          <w:sz w:val="18"/>
          <w:szCs w:val="18"/>
        </w:rPr>
        <w:t>┤</w:t>
      </w:r>
      <w:r>
        <w:rPr>
          <w:rFonts w:eastAsia="Courier New" w:cs="Courier New"/>
          <w:sz w:val="18"/>
          <w:szCs w:val="18"/>
        </w:rPr>
        <w:t xml:space="preserve">  Egypt — DSSM saturation begins (Qurta rock art)</w:t>
      </w:r>
    </w:p>
    <w:p w14:paraId="4FFB7EF9" w14:textId="77777777" w:rsidR="00956260" w:rsidRPr="00D06480" w:rsidRDefault="00000000">
      <w:pPr>
        <w:shd w:val="clear" w:color="auto" w:fill="F0F4F8"/>
        <w:ind w:left="720" w:right="720"/>
      </w:pPr>
      <w:r>
        <w:rPr>
          <w:rFonts w:eastAsia="Courier New" w:cs="Courier New"/>
          <w:sz w:val="18"/>
          <w:szCs w:val="18"/>
        </w:rPr>
        <w:t xml:space="preserve">   12,000 BP  </w:t>
      </w:r>
      <w:r>
        <w:rPr>
          <w:rFonts w:ascii="MS Gothic" w:eastAsia="MS Gothic" w:hAnsi="MS Gothic" w:cs="MS Gothic" w:hint="eastAsia"/>
          <w:sz w:val="18"/>
          <w:szCs w:val="18"/>
        </w:rPr>
        <w:t>┤</w:t>
      </w:r>
      <w:r>
        <w:rPr>
          <w:rFonts w:eastAsia="Courier New" w:cs="Courier New"/>
          <w:sz w:val="18"/>
          <w:szCs w:val="18"/>
        </w:rPr>
        <w:t xml:space="preserve">  NEG II Woman-Goose figurine (Natufian narrative cognition)</w:t>
      </w:r>
    </w:p>
    <w:p w14:paraId="7E42EA13" w14:textId="77777777" w:rsidR="00956260" w:rsidRPr="00D06480" w:rsidRDefault="00000000">
      <w:pPr>
        <w:shd w:val="clear" w:color="auto" w:fill="F0F4F8"/>
        <w:ind w:left="720" w:right="720"/>
      </w:pPr>
      <w:r>
        <w:rPr>
          <w:rFonts w:eastAsia="Courier New" w:cs="Courier New"/>
          <w:sz w:val="18"/>
          <w:szCs w:val="18"/>
        </w:rPr>
        <w:t xml:space="preserve">    8,000 BCE </w:t>
      </w:r>
      <w:r>
        <w:rPr>
          <w:rFonts w:ascii="MS Gothic" w:eastAsia="MS Gothic" w:hAnsi="MS Gothic" w:cs="MS Gothic" w:hint="eastAsia"/>
          <w:sz w:val="18"/>
          <w:szCs w:val="18"/>
        </w:rPr>
        <w:t>┤</w:t>
      </w:r>
      <w:r>
        <w:rPr>
          <w:rFonts w:eastAsia="Courier New" w:cs="Courier New"/>
          <w:sz w:val="18"/>
          <w:szCs w:val="18"/>
        </w:rPr>
        <w:t xml:space="preserve">  Mesopotamia — DSSM saturation</w:t>
      </w:r>
    </w:p>
    <w:p w14:paraId="681AD003" w14:textId="77777777" w:rsidR="00956260" w:rsidRPr="00D06480" w:rsidRDefault="00000000">
      <w:pPr>
        <w:shd w:val="clear" w:color="auto" w:fill="F0F4F8"/>
        <w:ind w:left="720" w:right="720"/>
      </w:pPr>
      <w:r>
        <w:rPr>
          <w:rFonts w:eastAsia="Courier New" w:cs="Courier New"/>
          <w:sz w:val="18"/>
          <w:szCs w:val="18"/>
        </w:rPr>
        <w:t xml:space="preserve">    7,000 BCE </w:t>
      </w:r>
      <w:r>
        <w:rPr>
          <w:rFonts w:ascii="MS Gothic" w:eastAsia="MS Gothic" w:hAnsi="MS Gothic" w:cs="MS Gothic" w:hint="eastAsia"/>
          <w:sz w:val="18"/>
          <w:szCs w:val="18"/>
        </w:rPr>
        <w:t>┤</w:t>
      </w:r>
      <w:r>
        <w:rPr>
          <w:rFonts w:eastAsia="Courier New" w:cs="Courier New"/>
          <w:sz w:val="18"/>
          <w:szCs w:val="18"/>
        </w:rPr>
        <w:t xml:space="preserve">  Mehrgarh — South Asia first fully compliant system</w:t>
      </w:r>
    </w:p>
    <w:p w14:paraId="67AAFFB2" w14:textId="77777777" w:rsidR="00956260" w:rsidRPr="00D06480" w:rsidRDefault="00000000">
      <w:pPr>
        <w:shd w:val="clear" w:color="auto" w:fill="F0F4F8"/>
        <w:ind w:left="720" w:right="720"/>
      </w:pPr>
      <w:r>
        <w:rPr>
          <w:rFonts w:eastAsia="Courier New" w:cs="Courier New"/>
          <w:sz w:val="18"/>
          <w:szCs w:val="18"/>
        </w:rPr>
        <w:t xml:space="preserve">    6,000 BCE </w:t>
      </w:r>
      <w:r>
        <w:rPr>
          <w:rFonts w:ascii="MS Gothic" w:eastAsia="MS Gothic" w:hAnsi="MS Gothic" w:cs="MS Gothic" w:hint="eastAsia"/>
          <w:sz w:val="18"/>
          <w:szCs w:val="18"/>
        </w:rPr>
        <w:t>┤</w:t>
      </w:r>
      <w:r>
        <w:rPr>
          <w:rFonts w:eastAsia="Courier New" w:cs="Courier New"/>
          <w:sz w:val="18"/>
          <w:szCs w:val="18"/>
        </w:rPr>
        <w:t xml:space="preserve">  East Asia — DSSM saturation (Jiahu)</w:t>
      </w:r>
    </w:p>
    <w:p w14:paraId="26202C21" w14:textId="77777777" w:rsidR="00956260" w:rsidRPr="00D06480" w:rsidRDefault="00000000">
      <w:pPr>
        <w:shd w:val="clear" w:color="auto" w:fill="F0F4F8"/>
        <w:ind w:left="720" w:right="720"/>
      </w:pPr>
      <w:r>
        <w:rPr>
          <w:rFonts w:eastAsia="Courier New" w:cs="Courier New"/>
          <w:sz w:val="18"/>
          <w:szCs w:val="18"/>
        </w:rPr>
        <w:t xml:space="preserve">    5,700 BCE </w:t>
      </w:r>
      <w:r>
        <w:rPr>
          <w:rFonts w:ascii="MS Gothic" w:eastAsia="MS Gothic" w:hAnsi="MS Gothic" w:cs="MS Gothic" w:hint="eastAsia"/>
          <w:sz w:val="18"/>
          <w:szCs w:val="18"/>
        </w:rPr>
        <w:t>┤</w:t>
      </w:r>
      <w:r>
        <w:rPr>
          <w:rFonts w:eastAsia="Courier New" w:cs="Courier New"/>
          <w:sz w:val="18"/>
          <w:szCs w:val="18"/>
        </w:rPr>
        <w:t xml:space="preserve">  Vinca — Europe's first fully compliant system</w:t>
      </w:r>
    </w:p>
    <w:p w14:paraId="3B49A702" w14:textId="77777777" w:rsidR="00956260" w:rsidRPr="00D06480" w:rsidRDefault="00000000">
      <w:pPr>
        <w:shd w:val="clear" w:color="auto" w:fill="F0F4F8"/>
        <w:ind w:left="720" w:right="720"/>
      </w:pPr>
      <w:r>
        <w:rPr>
          <w:rFonts w:eastAsia="Courier New" w:cs="Courier New"/>
          <w:sz w:val="18"/>
          <w:szCs w:val="18"/>
        </w:rPr>
        <w:t xml:space="preserve">    4,000 BCE </w:t>
      </w:r>
      <w:r>
        <w:rPr>
          <w:rFonts w:ascii="MS Gothic" w:eastAsia="MS Gothic" w:hAnsi="MS Gothic" w:cs="MS Gothic" w:hint="eastAsia"/>
          <w:sz w:val="18"/>
          <w:szCs w:val="18"/>
        </w:rPr>
        <w:t>┤</w:t>
      </w:r>
      <w:r>
        <w:rPr>
          <w:rFonts w:eastAsia="Courier New" w:cs="Courier New"/>
          <w:sz w:val="18"/>
          <w:szCs w:val="18"/>
        </w:rPr>
        <w:t xml:space="preserve">  Mesoamerica — DSSM saturation</w:t>
      </w:r>
    </w:p>
    <w:p w14:paraId="1398DA56" w14:textId="77777777" w:rsidR="00956260" w:rsidRPr="00D06480" w:rsidRDefault="00000000">
      <w:pPr>
        <w:shd w:val="clear" w:color="auto" w:fill="F0F4F8"/>
        <w:ind w:left="720" w:right="720"/>
      </w:pPr>
      <w:r>
        <w:rPr>
          <w:rFonts w:eastAsia="Courier New" w:cs="Courier New"/>
          <w:sz w:val="18"/>
          <w:szCs w:val="18"/>
        </w:rPr>
        <w:t xml:space="preserve">    3,200 BCE </w:t>
      </w:r>
      <w:r>
        <w:rPr>
          <w:rFonts w:ascii="MS Gothic" w:eastAsia="MS Gothic" w:hAnsi="MS Gothic" w:cs="MS Gothic" w:hint="eastAsia"/>
          <w:sz w:val="18"/>
          <w:szCs w:val="18"/>
        </w:rPr>
        <w:t>┤</w:t>
      </w:r>
      <w:r>
        <w:rPr>
          <w:rFonts w:eastAsia="Courier New" w:cs="Courier New"/>
          <w:sz w:val="18"/>
          <w:szCs w:val="18"/>
        </w:rPr>
        <w:t xml:space="preserve">  Egypt Naqada III — writing &amp; monumentality emerge</w:t>
      </w:r>
    </w:p>
    <w:p w14:paraId="69FCCA37" w14:textId="77777777" w:rsidR="00956260" w:rsidRPr="00D06480" w:rsidRDefault="00000000">
      <w:pPr>
        <w:shd w:val="clear" w:color="auto" w:fill="F0F4F8"/>
        <w:ind w:left="720" w:right="720"/>
      </w:pPr>
      <w:r>
        <w:rPr>
          <w:rFonts w:eastAsia="Courier New" w:cs="Courier New"/>
          <w:sz w:val="18"/>
          <w:szCs w:val="18"/>
        </w:rPr>
        <w:t xml:space="preserve">    2,600 BCE </w:t>
      </w:r>
      <w:r>
        <w:rPr>
          <w:rFonts w:ascii="MS Gothic" w:eastAsia="MS Gothic" w:hAnsi="MS Gothic" w:cs="MS Gothic" w:hint="eastAsia"/>
          <w:sz w:val="18"/>
          <w:szCs w:val="18"/>
        </w:rPr>
        <w:t>┤</w:t>
      </w:r>
      <w:r>
        <w:rPr>
          <w:rFonts w:eastAsia="Courier New" w:cs="Courier New"/>
          <w:sz w:val="18"/>
          <w:szCs w:val="18"/>
        </w:rPr>
        <w:t xml:space="preserve">  Mature Harappan urban integration</w:t>
      </w:r>
    </w:p>
    <w:p w14:paraId="21E689EE" w14:textId="77777777" w:rsidR="00956260" w:rsidRPr="00D06480" w:rsidRDefault="00000000">
      <w:pPr>
        <w:shd w:val="clear" w:color="auto" w:fill="F0F4F8"/>
        <w:ind w:left="720" w:right="720"/>
      </w:pPr>
      <w:r>
        <w:rPr>
          <w:rFonts w:eastAsia="Courier New" w:cs="Courier New"/>
          <w:sz w:val="18"/>
          <w:szCs w:val="18"/>
        </w:rPr>
        <w:t xml:space="preserve">    2,000 BCE </w:t>
      </w:r>
      <w:r>
        <w:rPr>
          <w:rFonts w:ascii="MS Gothic" w:eastAsia="MS Gothic" w:hAnsi="MS Gothic" w:cs="MS Gothic" w:hint="eastAsia"/>
          <w:sz w:val="18"/>
          <w:szCs w:val="18"/>
        </w:rPr>
        <w:t>┤</w:t>
      </w:r>
      <w:r>
        <w:rPr>
          <w:rFonts w:eastAsia="Courier New" w:cs="Courier New"/>
          <w:sz w:val="18"/>
          <w:szCs w:val="18"/>
        </w:rPr>
        <w:t xml:space="preserve">  Erlitou — East Asian monumentality</w:t>
      </w:r>
    </w:p>
    <w:p w14:paraId="24464328" w14:textId="77777777" w:rsidR="00956260" w:rsidRPr="00D06480" w:rsidRDefault="00000000">
      <w:pPr>
        <w:shd w:val="clear" w:color="auto" w:fill="F0F4F8"/>
        <w:ind w:left="720" w:right="720"/>
      </w:pPr>
      <w:r>
        <w:rPr>
          <w:rFonts w:eastAsia="Courier New" w:cs="Courier New"/>
          <w:sz w:val="18"/>
          <w:szCs w:val="18"/>
        </w:rPr>
        <w:t xml:space="preserve">    1,400 BCE </w:t>
      </w:r>
      <w:r>
        <w:rPr>
          <w:rFonts w:ascii="MS Gothic" w:eastAsia="MS Gothic" w:hAnsi="MS Gothic" w:cs="MS Gothic" w:hint="eastAsia"/>
          <w:sz w:val="18"/>
          <w:szCs w:val="18"/>
        </w:rPr>
        <w:t>┤</w:t>
      </w:r>
      <w:r>
        <w:rPr>
          <w:rFonts w:eastAsia="Courier New" w:cs="Courier New"/>
          <w:sz w:val="18"/>
          <w:szCs w:val="18"/>
        </w:rPr>
        <w:t xml:space="preserve">  Late Olmec — Mesoamerican monumentality</w:t>
      </w:r>
    </w:p>
    <w:p w14:paraId="368B2B40" w14:textId="77777777" w:rsidR="00956260" w:rsidRPr="00D06480" w:rsidRDefault="00000000">
      <w:pPr>
        <w:shd w:val="clear" w:color="auto" w:fill="F0F4F8"/>
        <w:ind w:left="720" w:right="720"/>
      </w:pPr>
      <w:r>
        <w:rPr>
          <w:rFonts w:eastAsia="Courier New" w:cs="Courier New"/>
          <w:sz w:val="18"/>
          <w:szCs w:val="18"/>
        </w:rPr>
        <w:t xml:space="preserve">  </w:t>
      </w:r>
      <w:r>
        <w:rPr>
          <w:rFonts w:ascii="Arial" w:eastAsia="Courier New" w:hAnsi="Arial" w:cs="Arial"/>
          <w:sz w:val="18"/>
          <w:szCs w:val="18"/>
        </w:rPr>
        <w:t>────────────────────────────────────────────────────────────────</w:t>
      </w:r>
    </w:p>
    <w:p w14:paraId="1407084D" w14:textId="77777777" w:rsidR="00956260" w:rsidRPr="00D06480" w:rsidRDefault="00000000">
      <w:pPr>
        <w:shd w:val="clear" w:color="auto" w:fill="F0F4F8"/>
        <w:ind w:left="720" w:right="720"/>
      </w:pPr>
      <w:r>
        <w:rPr>
          <w:rFonts w:eastAsia="Courier New" w:cs="Courier New"/>
          <w:sz w:val="18"/>
          <w:szCs w:val="18"/>
        </w:rPr>
        <w:t xml:space="preserve">  KEY: Saturation ALWAYS precedes monumentality &amp; writing</w:t>
      </w:r>
    </w:p>
    <w:p w14:paraId="6CD6217A" w14:textId="77777777" w:rsidR="00956260" w:rsidRPr="00D06480" w:rsidRDefault="00000000">
      <w:pPr>
        <w:spacing w:before="100" w:after="240"/>
        <w:jc w:val="center"/>
      </w:pPr>
      <w:r>
        <w:rPr>
          <w:b/>
          <w:bCs/>
          <w:i/>
          <w:iCs/>
          <w:sz w:val="20"/>
          <w:szCs w:val="20"/>
        </w:rPr>
        <w:t>Figure 3. DSSM Chronological Timeline: key saturation events and their relationship to monumentality and writing.</w:t>
      </w:r>
    </w:p>
    <w:p w14:paraId="6DCF254D" w14:textId="77777777" w:rsidR="00956260" w:rsidRDefault="00000000" w:rsidP="00D06480">
      <w:pPr>
        <w:rPr>
          <w:b/>
          <w:bCs/>
          <w:caps/>
          <w:sz w:val="28"/>
          <w:szCs w:val="28"/>
        </w:rPr>
      </w:pPr>
      <w:r>
        <w:br w:type="page"/>
      </w:r>
      <w:r>
        <w:rPr>
          <w:b/>
          <w:bCs/>
          <w:caps/>
          <w:sz w:val="28"/>
          <w:szCs w:val="28"/>
        </w:rPr>
        <w:lastRenderedPageBreak/>
        <w:t>6. Writing as Contingent Codification</w:t>
      </w:r>
    </w:p>
    <w:p w14:paraId="3ED6EF09" w14:textId="77777777" w:rsidR="00D06480" w:rsidRPr="00D06480" w:rsidRDefault="00D06480" w:rsidP="00D06480"/>
    <w:p w14:paraId="569D140B" w14:textId="77777777" w:rsidR="00956260" w:rsidRPr="00D06480" w:rsidRDefault="00000000" w:rsidP="00D06480">
      <w:pPr>
        <w:spacing w:after="160" w:line="360" w:lineRule="auto"/>
        <w:ind w:firstLine="720"/>
        <w:jc w:val="both"/>
      </w:pPr>
      <w:r>
        <w:rPr>
          <w:color w:val="000000"/>
        </w:rPr>
        <w:t>One of the DSSM's most consequential claims concerns writing. Against the conventional framing of writing as a cognitive invention marking civilizational arrival, the DSSM argues that writing is a contingent structural response to symbolic saturation — one possible resolution to symbolic overload, not a universal milestone .</w:t>
      </w:r>
    </w:p>
    <w:p w14:paraId="6316D9CA" w14:textId="77777777" w:rsidR="00956260" w:rsidRPr="00D06480" w:rsidRDefault="00000000">
      <w:pPr>
        <w:spacing w:after="160" w:line="360" w:lineRule="auto"/>
        <w:jc w:val="both"/>
      </w:pPr>
      <w:r>
        <w:rPr>
          <w:color w:val="000000"/>
        </w:rPr>
        <w:t>The evidence is consistent across all five positive-case regions. In Egypt, computational corpus analysis (Stauder, 2018; Regulski, 2010) documents that 68% of early hieroglyphic graphemic elements are traceable to prior material culture — exceeding the 50% threshold specified in Prediction P2. In Mesopotamia, numerical tablets and accounting tokens predate narrative texts; administrative density in proto-cuneiform correlates with storage and labor control rather than linguistic elaboration (Nissen, 1988). In East Asia, Shang oracle bone inscriptions formalize lineage, ritual obligation, and cosmology already encoded in bronze vessel programs dating centuries earlier. In Mesoamerica, Epi-Olmec and Maya writing encode ancestral time and political legitimacy within symbolic systems stabilized through calendrical and ritual networks for over a millennium.</w:t>
      </w:r>
    </w:p>
    <w:p w14:paraId="7EADF485" w14:textId="77777777" w:rsidR="00956260" w:rsidRPr="00D06480" w:rsidRDefault="00000000">
      <w:pPr>
        <w:spacing w:after="160" w:line="360" w:lineRule="auto"/>
        <w:jc w:val="both"/>
      </w:pPr>
      <w:r>
        <w:rPr>
          <w:color w:val="000000"/>
        </w:rPr>
        <w:t>The Vinca, Indus, and Sri Lanka cases are the sharpest tests of writing's contingency. Vinca symbols (c. 5,700–4,500 BCE) — Europe's first fully DSSM-compliant symbolic system — demonstrate cross-media redundancy, intergenerational persistence, and standardization across pottery, figurines, and portable tablets without developing into phonetic or logographic writing . DSSM explains this: Vinca symbolic load was resolved through distributed practice and portable marking before network fragmentation under Eneolithic demographic pressure. The Indus Civilization — coordinating large-scale urban economies without deciphered writing — resolved symbolic complexity through infrastructural standardization: brick ratios, weight systems, and spatial grammar performing the cognitive offloading that writing performs in Mesopotamia and Egypt (Kenoyer, 2017; Possehl, 2002). Sri Lanka resolved symbolic load through oral and ecological embedding for tens of millennia without requiring any external notation system.</w:t>
      </w:r>
    </w:p>
    <w:p w14:paraId="728A7FDC" w14:textId="77777777" w:rsidR="00956260" w:rsidRPr="00D06480" w:rsidRDefault="00000000">
      <w:pPr>
        <w:spacing w:after="160" w:line="360" w:lineRule="auto"/>
        <w:jc w:val="both"/>
      </w:pPr>
      <w:r>
        <w:rPr>
          <w:color w:val="000000"/>
        </w:rPr>
        <w:t>The unified DSSM position on writing is therefore: writing is what happens when symbolic redundancy becomes inefficient and memory exceeds embodied capacity; it is compression, not awakening. Regions that achieve symbolic saturation through alternative mechanisms — infrastructural embedding, distributed networks, portable permanence — do not produce writing because they do not need it .</w:t>
      </w:r>
    </w:p>
    <w:p w14:paraId="46580A31" w14:textId="77777777" w:rsidR="00956260" w:rsidRPr="00D06480" w:rsidRDefault="00956260">
      <w:pPr>
        <w:spacing w:before="200"/>
      </w:pPr>
    </w:p>
    <w:p w14:paraId="3A8BC99A" w14:textId="77777777" w:rsidR="00956260" w:rsidRPr="00D06480" w:rsidRDefault="00000000">
      <w:pPr>
        <w:shd w:val="clear" w:color="auto" w:fill="F0F4F8"/>
        <w:ind w:left="720" w:right="720"/>
      </w:pPr>
      <w:r>
        <w:rPr>
          <w:rFonts w:eastAsia="Courier New" w:cs="Courier New"/>
          <w:sz w:val="18"/>
          <w:szCs w:val="18"/>
        </w:rPr>
        <w:t xml:space="preserve">  THE WRITING CONTINGENCY MODEL</w:t>
      </w:r>
    </w:p>
    <w:p w14:paraId="1FC1DD95" w14:textId="77777777" w:rsidR="00956260" w:rsidRPr="00D06480" w:rsidRDefault="00000000">
      <w:pPr>
        <w:shd w:val="clear" w:color="auto" w:fill="F0F4F8"/>
        <w:ind w:left="720" w:right="720"/>
      </w:pPr>
      <w:r>
        <w:rPr>
          <w:rFonts w:eastAsia="Courier New" w:cs="Courier New"/>
          <w:sz w:val="18"/>
          <w:szCs w:val="18"/>
        </w:rPr>
        <w:t xml:space="preserve">  </w:t>
      </w:r>
      <w:r>
        <w:rPr>
          <w:rFonts w:ascii="Arial" w:eastAsia="Courier New" w:hAnsi="Arial" w:cs="Arial"/>
          <w:sz w:val="18"/>
          <w:szCs w:val="18"/>
        </w:rPr>
        <w:t>─────────────────────────────────────────────────────────────</w:t>
      </w:r>
    </w:p>
    <w:p w14:paraId="6B5E5F4A" w14:textId="77777777" w:rsidR="00956260" w:rsidRPr="00D06480" w:rsidRDefault="00000000">
      <w:pPr>
        <w:shd w:val="clear" w:color="auto" w:fill="F0F4F8"/>
        <w:ind w:left="720" w:right="720"/>
      </w:pPr>
      <w:r>
        <w:rPr>
          <w:rFonts w:eastAsia="Courier New" w:cs="Courier New"/>
          <w:sz w:val="18"/>
          <w:szCs w:val="18"/>
        </w:rPr>
        <w:t xml:space="preserve">                   SYMBOLIC SATURATION ACHIEVED</w:t>
      </w:r>
    </w:p>
    <w:p w14:paraId="1E7A82A3"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p>
    <w:p w14:paraId="5CF25824"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ascii="Arial" w:eastAsia="Courier New" w:hAnsi="Arial" w:cs="Arial"/>
          <w:sz w:val="18"/>
          <w:szCs w:val="18"/>
        </w:rPr>
        <w:t>──────────────</w:t>
      </w:r>
      <w:r>
        <w:rPr>
          <w:rFonts w:ascii="MS Gothic" w:eastAsia="MS Gothic" w:hAnsi="MS Gothic" w:cs="MS Gothic" w:hint="eastAsia"/>
          <w:sz w:val="18"/>
          <w:szCs w:val="18"/>
        </w:rPr>
        <w:t>┴</w:t>
      </w:r>
      <w:r>
        <w:rPr>
          <w:rFonts w:ascii="Arial" w:eastAsia="Courier New" w:hAnsi="Arial" w:cs="Arial"/>
          <w:sz w:val="18"/>
          <w:szCs w:val="18"/>
        </w:rPr>
        <w:t>──────────────</w:t>
      </w:r>
      <w:r>
        <w:rPr>
          <w:rFonts w:ascii="MS Gothic" w:eastAsia="MS Gothic" w:hAnsi="MS Gothic" w:cs="MS Gothic" w:hint="eastAsia"/>
          <w:sz w:val="18"/>
          <w:szCs w:val="18"/>
        </w:rPr>
        <w:t>┐</w:t>
      </w:r>
    </w:p>
    <w:p w14:paraId="582C4E5E" w14:textId="77777777" w:rsidR="00956260" w:rsidRPr="00D06480" w:rsidRDefault="00000000">
      <w:pPr>
        <w:shd w:val="clear" w:color="auto" w:fill="F0F4F8"/>
        <w:ind w:left="720" w:right="720"/>
      </w:pPr>
      <w:r>
        <w:rPr>
          <w:rFonts w:eastAsia="Courier New" w:cs="Courier New"/>
          <w:sz w:val="18"/>
          <w:szCs w:val="18"/>
        </w:rPr>
        <w:t xml:space="preserve">             </w:t>
      </w:r>
      <w:r>
        <w:rPr>
          <w:rFonts w:ascii="Arial" w:eastAsia="Courier New" w:hAnsi="Arial" w:cs="Arial"/>
          <w:sz w:val="18"/>
          <w:szCs w:val="18"/>
        </w:rPr>
        <w:t>▼</w:t>
      </w:r>
      <w:r>
        <w:rPr>
          <w:rFonts w:eastAsia="Courier New" w:cs="Courier New"/>
          <w:sz w:val="18"/>
          <w:szCs w:val="18"/>
        </w:rPr>
        <w:t xml:space="preserve">                             </w:t>
      </w:r>
      <w:r>
        <w:rPr>
          <w:rFonts w:ascii="Arial" w:eastAsia="Courier New" w:hAnsi="Arial" w:cs="Arial"/>
          <w:sz w:val="18"/>
          <w:szCs w:val="18"/>
        </w:rPr>
        <w:t>▼</w:t>
      </w:r>
    </w:p>
    <w:p w14:paraId="36C75E91" w14:textId="77777777" w:rsidR="00956260" w:rsidRPr="00D06480" w:rsidRDefault="00000000">
      <w:pPr>
        <w:shd w:val="clear" w:color="auto" w:fill="F0F4F8"/>
        <w:ind w:left="720" w:right="720"/>
      </w:pPr>
      <w:r>
        <w:rPr>
          <w:rFonts w:eastAsia="Courier New" w:cs="Courier New"/>
          <w:sz w:val="18"/>
          <w:szCs w:val="18"/>
        </w:rPr>
        <w:t xml:space="preserve">  SYMBOLIC LOAD EXCEEDS           SYMBOLIC LOAD RESOLVED</w:t>
      </w:r>
    </w:p>
    <w:p w14:paraId="1983A22A" w14:textId="77777777" w:rsidR="00956260" w:rsidRPr="00D06480" w:rsidRDefault="00000000">
      <w:pPr>
        <w:shd w:val="clear" w:color="auto" w:fill="F0F4F8"/>
        <w:ind w:left="720" w:right="720"/>
      </w:pPr>
      <w:r>
        <w:rPr>
          <w:rFonts w:eastAsia="Courier New" w:cs="Courier New"/>
          <w:sz w:val="18"/>
          <w:szCs w:val="18"/>
        </w:rPr>
        <w:t xml:space="preserve">  NON-LINGUISTIC RESOLUTION       STRUCTURALLY</w:t>
      </w:r>
    </w:p>
    <w:p w14:paraId="69F0F5A7"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w:t>
      </w:r>
      <w:r>
        <w:rPr>
          <w:rFonts w:ascii="MS Gothic" w:eastAsia="MS Gothic" w:hAnsi="MS Gothic" w:cs="MS Gothic" w:hint="eastAsia"/>
          <w:sz w:val="18"/>
          <w:szCs w:val="18"/>
        </w:rPr>
        <w:t>│</w:t>
      </w:r>
    </w:p>
    <w:p w14:paraId="5C0D040C" w14:textId="77777777" w:rsidR="00956260" w:rsidRPr="00D06480" w:rsidRDefault="00000000">
      <w:pPr>
        <w:shd w:val="clear" w:color="auto" w:fill="F0F4F8"/>
        <w:ind w:left="720" w:right="720"/>
      </w:pPr>
      <w:r>
        <w:rPr>
          <w:rFonts w:eastAsia="Courier New" w:cs="Courier New"/>
          <w:sz w:val="18"/>
          <w:szCs w:val="18"/>
        </w:rPr>
        <w:t xml:space="preserve">             </w:t>
      </w:r>
      <w:r>
        <w:rPr>
          <w:rFonts w:ascii="Arial" w:eastAsia="Courier New" w:hAnsi="Arial" w:cs="Arial"/>
          <w:sz w:val="18"/>
          <w:szCs w:val="18"/>
        </w:rPr>
        <w:t>▼</w:t>
      </w:r>
      <w:r>
        <w:rPr>
          <w:rFonts w:eastAsia="Courier New" w:cs="Courier New"/>
          <w:sz w:val="18"/>
          <w:szCs w:val="18"/>
        </w:rPr>
        <w:t xml:space="preserve">                             </w:t>
      </w:r>
      <w:r>
        <w:rPr>
          <w:rFonts w:ascii="Arial" w:eastAsia="Courier New" w:hAnsi="Arial" w:cs="Arial"/>
          <w:sz w:val="18"/>
          <w:szCs w:val="18"/>
        </w:rPr>
        <w:t>▼</w:t>
      </w:r>
    </w:p>
    <w:p w14:paraId="7A612E47" w14:textId="77777777" w:rsidR="00956260" w:rsidRPr="00D06480" w:rsidRDefault="00000000">
      <w:pPr>
        <w:shd w:val="clear" w:color="auto" w:fill="F0F4F8"/>
        <w:ind w:left="720" w:right="720"/>
      </w:pPr>
      <w:r>
        <w:rPr>
          <w:rFonts w:eastAsia="Courier New" w:cs="Courier New"/>
          <w:sz w:val="18"/>
          <w:szCs w:val="18"/>
        </w:rPr>
        <w:t xml:space="preserve">      WRITING EMERGES              NO WRITING NEEDED</w:t>
      </w:r>
    </w:p>
    <w:p w14:paraId="7D394589" w14:textId="77777777" w:rsidR="00956260" w:rsidRPr="00D06480" w:rsidRDefault="00000000">
      <w:pPr>
        <w:shd w:val="clear" w:color="auto" w:fill="F0F4F8"/>
        <w:ind w:left="720" w:right="720"/>
      </w:pPr>
      <w:r>
        <w:rPr>
          <w:rFonts w:eastAsia="Courier New" w:cs="Courier New"/>
          <w:sz w:val="18"/>
          <w:szCs w:val="18"/>
        </w:rPr>
        <w:t xml:space="preserve">  (Egypt, Mesopotamia,          (Indus, Vinca, Sri Lanka,</w:t>
      </w:r>
    </w:p>
    <w:p w14:paraId="192DA09E" w14:textId="77777777" w:rsidR="00956260" w:rsidRPr="00D06480" w:rsidRDefault="00000000">
      <w:pPr>
        <w:shd w:val="clear" w:color="auto" w:fill="F0F4F8"/>
        <w:ind w:left="720" w:right="720"/>
      </w:pPr>
      <w:r>
        <w:rPr>
          <w:rFonts w:eastAsia="Courier New" w:cs="Courier New"/>
          <w:sz w:val="18"/>
          <w:szCs w:val="18"/>
        </w:rPr>
        <w:t xml:space="preserve">   Mesoamerica, E. Asia)         Australia, Sub-Saharan)</w:t>
      </w:r>
    </w:p>
    <w:p w14:paraId="06778D04" w14:textId="77777777" w:rsidR="00956260" w:rsidRPr="00D06480" w:rsidRDefault="00000000">
      <w:pPr>
        <w:shd w:val="clear" w:color="auto" w:fill="F0F4F8"/>
        <w:ind w:left="720" w:right="720"/>
      </w:pPr>
      <w:r>
        <w:rPr>
          <w:rFonts w:eastAsia="Courier New" w:cs="Courier New"/>
          <w:sz w:val="18"/>
          <w:szCs w:val="18"/>
        </w:rPr>
        <w:t xml:space="preserve">  </w:t>
      </w:r>
      <w:r>
        <w:rPr>
          <w:rFonts w:ascii="Arial" w:eastAsia="Courier New" w:hAnsi="Arial" w:cs="Arial"/>
          <w:sz w:val="18"/>
          <w:szCs w:val="18"/>
        </w:rPr>
        <w:t>─────────────────────────────────────────────────────────────</w:t>
      </w:r>
    </w:p>
    <w:p w14:paraId="33698E19" w14:textId="77777777" w:rsidR="00956260" w:rsidRPr="00D06480" w:rsidRDefault="00000000">
      <w:pPr>
        <w:shd w:val="clear" w:color="auto" w:fill="F0F4F8"/>
        <w:ind w:left="720" w:right="720"/>
      </w:pPr>
      <w:r>
        <w:rPr>
          <w:rFonts w:eastAsia="Courier New" w:cs="Courier New"/>
          <w:sz w:val="18"/>
          <w:szCs w:val="18"/>
        </w:rPr>
        <w:t xml:space="preserve">  Writing is ONE possible response to saturation, not</w:t>
      </w:r>
    </w:p>
    <w:p w14:paraId="737D1F09" w14:textId="77777777" w:rsidR="00956260" w:rsidRPr="00D06480" w:rsidRDefault="00000000">
      <w:pPr>
        <w:shd w:val="clear" w:color="auto" w:fill="F0F4F8"/>
        <w:ind w:left="720" w:right="720"/>
      </w:pPr>
      <w:r>
        <w:rPr>
          <w:rFonts w:eastAsia="Courier New" w:cs="Courier New"/>
          <w:sz w:val="18"/>
          <w:szCs w:val="18"/>
        </w:rPr>
        <w:t xml:space="preserve">  a universal milestone of civilizational progress.</w:t>
      </w:r>
    </w:p>
    <w:p w14:paraId="221C80D3" w14:textId="77777777" w:rsidR="00956260" w:rsidRPr="00D06480" w:rsidRDefault="00000000">
      <w:pPr>
        <w:spacing w:before="100" w:after="240"/>
        <w:jc w:val="center"/>
      </w:pPr>
      <w:r>
        <w:rPr>
          <w:b/>
          <w:bCs/>
          <w:i/>
          <w:iCs/>
          <w:sz w:val="20"/>
          <w:szCs w:val="20"/>
        </w:rPr>
        <w:t>Figure 4. The DSSM Writing Contingency Model: writing as structural response, not cognitive invention.</w:t>
      </w:r>
    </w:p>
    <w:p w14:paraId="3A86EF5A" w14:textId="77777777" w:rsidR="00956260" w:rsidRPr="00D06480" w:rsidRDefault="00000000">
      <w:r>
        <w:br w:type="page"/>
      </w:r>
    </w:p>
    <w:p w14:paraId="65991B39" w14:textId="77777777" w:rsidR="00956260" w:rsidRPr="00D06480" w:rsidRDefault="00000000">
      <w:pPr>
        <w:pStyle w:val="Heading1"/>
      </w:pPr>
      <w:r>
        <w:lastRenderedPageBreak/>
        <w:t>7. Extended DSSM: Technology, Power, and Protocol</w:t>
      </w:r>
    </w:p>
    <w:p w14:paraId="3DB63725" w14:textId="77777777" w:rsidR="00956260" w:rsidRPr="00D06480" w:rsidRDefault="00000000" w:rsidP="00D06480">
      <w:pPr>
        <w:spacing w:after="160" w:line="360" w:lineRule="auto"/>
        <w:ind w:firstLine="720"/>
        <w:jc w:val="both"/>
      </w:pPr>
      <w:r>
        <w:rPr>
          <w:color w:val="000000"/>
        </w:rPr>
        <w:t>The DSSM corpus extends beyond prehistoric symbolic systems into a comprehensive theory of technological and institutional evolution, with quantitative metrics and falsifiable predictions at each stage . The extended framework operates on a single central thesis: the same mechanism that produced early symbolic stabilization in prehistoric communities — recursive compression of repeated action into durable material form — operates across all subsequent human technological history. Modernity is prehistory at higher resolution and larger scale, not a departure from it.</w:t>
      </w:r>
    </w:p>
    <w:p w14:paraId="126E4D54" w14:textId="77777777" w:rsidR="00956260" w:rsidRPr="00D06480" w:rsidRDefault="00000000">
      <w:pPr>
        <w:spacing w:after="160" w:line="360" w:lineRule="auto"/>
        <w:jc w:val="both"/>
      </w:pPr>
      <w:r>
        <w:rPr>
          <w:color w:val="000000"/>
        </w:rPr>
        <w:t>The core claim of the extended DSSM is that technologies are fossilized rituals: embodied, repetitive actions that become materially standardized, externally scaffolded, and intergenerationally conserved . Stone tools fossilize force-application grammars; agriculture fossilizes patience and seasonal timing; metallurgy fossilizes controlled thermal transformation; bureaucracy fossilizes obligation and accounting; machines fossilize coordinated repetitive labor. Crucially, what evolves across this lineage is not raw cognitive capacity — Homo sapiens of 200,000 BP possessed essentially the same neural architecture as contemporary humans — but the externalized scaffolding that extends that capacity across individuals, communities, and centuries. The Acheulean handaxe and the Bitcoin protocol are products of the same mechanism operating at different scales and through different media.</w:t>
      </w:r>
    </w:p>
    <w:p w14:paraId="2C993C8D" w14:textId="77777777" w:rsidR="00956260" w:rsidRPr="00D06480" w:rsidRDefault="00000000">
      <w:pPr>
        <w:spacing w:after="160" w:line="360" w:lineRule="auto"/>
        <w:jc w:val="both"/>
      </w:pPr>
      <w:r>
        <w:rPr>
          <w:color w:val="000000"/>
        </w:rPr>
        <w:t>This framing resolves a longstanding puzzle in the history of technology: why do technological innovations almost always appear later than they theoretically could, and why do they so frequently appear in multiple locations independently at roughly the same time? The DSSM answer is that technologies are not invented — they are precipitated. The conditions for their precipitation are the prior stabilization of the symbolic practices they require: the neural scaffolding, the social transmission infrastructure, the material and institutional redundancy that makes a new practice learnable, reproducible, and resistant to loss. When those conditions are met independently across multiple regions — as happened with early metallurgy, early writing, and early states — the same technology precipitates independently, not through diffusion but through convergent symbolic saturation .</w:t>
      </w:r>
    </w:p>
    <w:p w14:paraId="0DB4A712" w14:textId="77777777" w:rsidR="00956260" w:rsidRPr="00D06480" w:rsidRDefault="00000000">
      <w:pPr>
        <w:spacing w:after="160" w:line="360" w:lineRule="auto"/>
        <w:jc w:val="both"/>
      </w:pPr>
      <w:r>
        <w:rPr>
          <w:color w:val="000000"/>
        </w:rPr>
        <w:t xml:space="preserve">Agriculture emerges not when food is invented but when patience becomes enforceable . Fields, tools, and seasonal cycles compress temporal knowledge into landscapes, transforming land into an external memory device. The cognitive novelty of agriculture is not the discovery that plants grow from seeds </w:t>
      </w:r>
      <w:r>
        <w:rPr>
          <w:color w:val="000000"/>
        </w:rPr>
        <w:lastRenderedPageBreak/>
        <w:t>— Pleistocene foragers possessed this knowledge for tens of thousands of years. The novelty is the institutionalization of delayed gratification across seasons and generations: the symbolic stabilization of future orientation into socially enforceable behavioral scripts. The evidence from Göbekli Tepe (c. 9,600 BCE) is decisive: monumental ritual architecture predates full agricultural adoption by centuries, confirming that symbolic stabilization precedes subsistence reorganization rather than following from it (Hodder, 2006). Agriculture required monuments before it required fields.</w:t>
      </w:r>
    </w:p>
    <w:p w14:paraId="667A19B4" w14:textId="77777777" w:rsidR="00956260" w:rsidRPr="00D06480" w:rsidRDefault="00000000">
      <w:pPr>
        <w:spacing w:after="160" w:line="360" w:lineRule="auto"/>
        <w:jc w:val="both"/>
      </w:pPr>
      <w:r>
        <w:rPr>
          <w:color w:val="000000"/>
        </w:rPr>
        <w:t>Warfare, in the extended DSSM framework, is analyzed not as a political or moral phenomenon but as the redirection of controlled force — the same force once applied to prey through ritualized hunting sequences — toward humans . Warfare becomes dominant in a society not when individuals become more aggressive but when violence is repeatable, predictable, and administratively supported. The Neo-Assyrian empire (c. 900–612 BCE) is the archetype: standing armies, mass-produced iron weapons, deportation records as administrative instruments, visual propaganda as symbolic regulation — violence as bureaucratic routine. Empire equals conquest plus accounting plus infrastructure, stabilized across generations. What the Neo-Assyrian bureaucracy did to extraction, and what Roman road-building did to mobility, is structurally identical to what the Acheulean tradition did to force application: convert an embodied practice into a transmissible, scalable, institutionally enforced protocol (Scott, 2017).</w:t>
      </w:r>
    </w:p>
    <w:p w14:paraId="7539091F" w14:textId="77777777" w:rsidR="00956260" w:rsidRPr="00D06480" w:rsidRDefault="00000000">
      <w:pPr>
        <w:spacing w:after="160" w:line="360" w:lineRule="auto"/>
        <w:jc w:val="both"/>
      </w:pPr>
      <w:r>
        <w:rPr>
          <w:color w:val="000000"/>
        </w:rPr>
        <w:t>Europe's Industrial Revolution was a protocol amplification event, not an invention . The argument requires precision: it is not that European cognitive capacity was superior, nor that European geography alone was decisive, but that millennia of ritualized fire mastery and metallurgical practice — embedded in cold-climate survival pressures, guild apprenticeship transmission systems, and the cultural stabilization of high-temperature craft knowledge — created cognitive scaffolds that made steam engines a natural extension rather than a discontinuous innovation. The quantitative evidence is available: blast furnaces produced 1.5 to 2 tons of cast iron per worker per day; fuel-to-production ratios improved 25 to 30% over a decade following procedural standardization; defective unit rates declined from approximately 8% to 2% after process codification . Protocol-rich systems outperform non-standardized systems in productivity, scalability, and diffusion — a prediction falsifiable through comparative industrialization data that remains consistent with all known cases.</w:t>
      </w:r>
    </w:p>
    <w:p w14:paraId="281FD855" w14:textId="77777777" w:rsidR="00956260" w:rsidRPr="00D06480" w:rsidRDefault="00000000">
      <w:pPr>
        <w:spacing w:after="160" w:line="360" w:lineRule="auto"/>
        <w:jc w:val="both"/>
      </w:pPr>
      <w:r>
        <w:rPr>
          <w:color w:val="000000"/>
        </w:rPr>
        <w:t xml:space="preserve">The paper 'From Ritual to Protocol Power'  provides the most comprehensive theoretical synthesis of the extended DSSM, arguing that the present historical condition — governance by protocols, </w:t>
      </w:r>
      <w:r>
        <w:rPr>
          <w:color w:val="000000"/>
        </w:rPr>
        <w:lastRenderedPageBreak/>
        <w:t>infrastructures, and abstract coordination systems rather than by persons and persuasion — is not pathological or accidental. It is the structurally inevitable outcome of the same long process of symbolic stabilization that produced Blombos Cave engraving and Naqada III pottery standardization. The recursion that the DSSM identifies in prehistory reaches its current expression in algorithmic trading, automated sanctions enforcement, AI-assisted military targeting, and platform governance systems — cognitive offloading mechanisms that carry memory, coordination, and authority at scales and speeds that exceed any individual or institution's cognitive capacity. Protocol power is not a new problem. It is the oldest mechanism in human cultural history, now operating at civilizational scale.</w:t>
      </w:r>
    </w:p>
    <w:p w14:paraId="68BB0846" w14:textId="77777777" w:rsidR="00956260" w:rsidRPr="00D06480" w:rsidRDefault="00000000">
      <w:r>
        <w:br w:type="page"/>
      </w:r>
    </w:p>
    <w:p w14:paraId="6A3945A3" w14:textId="77777777" w:rsidR="00956260" w:rsidRPr="00D06480" w:rsidRDefault="00000000">
      <w:pPr>
        <w:pStyle w:val="Heading1"/>
      </w:pPr>
      <w:r>
        <w:lastRenderedPageBreak/>
        <w:t>8. Applied DSSM: The Contemporary World</w:t>
      </w:r>
    </w:p>
    <w:p w14:paraId="323160BF" w14:textId="77777777" w:rsidR="00956260" w:rsidRPr="00D06480" w:rsidRDefault="00000000" w:rsidP="00D06480">
      <w:pPr>
        <w:spacing w:after="160" w:line="360" w:lineRule="auto"/>
        <w:ind w:firstLine="720"/>
        <w:jc w:val="both"/>
      </w:pPr>
      <w:r>
        <w:rPr>
          <w:color w:val="000000"/>
        </w:rPr>
        <w:t>The DSSM's most direct contemporary application is the paper 'The World as Fossilized Power' , which applies the framework to four dominant crises of 2025–2026. The central claim is that the same mechanism producing every civilizational transition in deep history — recursive stabilization of embodied practices into durable symbolic systems — is operating in real time, and that its breakdown dynamics are specifiable and, in principle, preventable.</w:t>
      </w:r>
    </w:p>
    <w:p w14:paraId="2B5953C2" w14:textId="77777777" w:rsidR="00956260" w:rsidRPr="00D06480" w:rsidRDefault="00000000">
      <w:pPr>
        <w:spacing w:after="160" w:line="360" w:lineRule="auto"/>
        <w:jc w:val="both"/>
      </w:pPr>
      <w:r>
        <w:rPr>
          <w:color w:val="000000"/>
        </w:rPr>
        <w:t>Russia's full-scale invasion of Ukraine is analyzed as a fossilized power script running on symbolic inertia: the imperial extraction protocol — territory, taxation, administrative control — operating with 21st-century weapons but ancient symbolic logic. The script is the same cognitive template used by every imperial administration from the Neo-Assyrian empire to the British Raj. What makes it particularly dangerous in the DSSM framework is not its military dimension but its decision-time compression: drone strikes reach targets in minutes, nuclear rhetoric compresses to hours, and the structural escalation analysis  establishes that preemptive escalation probability rises from 5% at decision windows above 96 hours to 82% at windows below 24 hours. Below approximately 48 hours, symbolic containment fails regardless of actor intent.</w:t>
      </w:r>
    </w:p>
    <w:p w14:paraId="1CEF012F" w14:textId="77777777" w:rsidR="00956260" w:rsidRPr="00D06480" w:rsidRDefault="00000000">
      <w:pPr>
        <w:spacing w:after="160" w:line="360" w:lineRule="auto"/>
        <w:jc w:val="both"/>
      </w:pPr>
      <w:r>
        <w:rPr>
          <w:color w:val="000000"/>
        </w:rPr>
        <w:t>The Gaza conflict and the collapse of post-1945 international law as a functioning symbolic system illustrate what the DSSM calls enforcement hollowing: the containing symbolic architecture — UN Charter, Geneva Conventions, ICJ provisional measures — performs its designed functions of deliberation and codification while dominant actors bypass enforcement, converting obligation from a functional symbolic constraint into a performative ritual. When dominant actors exit a symbolic system, they do not merely exempt themselves; they hollow out the system's authority for everyone else .</w:t>
      </w:r>
    </w:p>
    <w:p w14:paraId="180D3B66" w14:textId="77777777" w:rsidR="00956260" w:rsidRPr="00D06480" w:rsidRDefault="00000000">
      <w:pPr>
        <w:spacing w:after="160" w:line="360" w:lineRule="auto"/>
        <w:jc w:val="both"/>
      </w:pPr>
      <w:r>
        <w:rPr>
          <w:color w:val="000000"/>
        </w:rPr>
        <w:t xml:space="preserve">The US-China AI race is analyzed as the most consequential contemporary instance of protocol competition: a competition over which symbolic architecture will be fossilized into the cognitive infrastructure of the next civilizational era. The paper 'Cognitive Continuities Across Human and AI DSSMs'  establishes the theoretical basis: AI deep structured semantic models are functional analogues of human symbolic stabilization systems, performing the same transformation — repetition into symbol, symbol into protocol — through computational rather than embodied means. The critical warning: technological amplification without corresponding symbolic containment produces catastrophic breakdown. The Bronze Age Collapse, industrial-era warfare without diplomatic </w:t>
      </w:r>
      <w:r>
        <w:rPr>
          <w:color w:val="000000"/>
        </w:rPr>
        <w:lastRenderedPageBreak/>
        <w:t>protocols, and Cold War nuclear near-misses each represent a gap between what societies could do and what their shared symbolic frameworks could regulate.</w:t>
      </w:r>
    </w:p>
    <w:p w14:paraId="4EAC6AEE" w14:textId="77777777" w:rsidR="00956260" w:rsidRPr="00D06480" w:rsidRDefault="00000000">
      <w:pPr>
        <w:spacing w:after="160" w:line="360" w:lineRule="auto"/>
        <w:jc w:val="both"/>
      </w:pPr>
      <w:r>
        <w:rPr>
          <w:color w:val="000000"/>
        </w:rPr>
        <w:t>The DSSM prescriptions follow directly from the diagnostic. They are not moral exhortations but engineering specifications: embed temporal buffers of at least 48 hours in all protocols governing nuclear and autonomous weapons use; maintain redundant communication channels including with adversarial parties; invest in AI governance as symbolic architecture requiring dominant-actor participation to maintain enforcement authority; reconstruct Palestinian political legitimacy before physical infrastructure in Gaza reconstruction; and recognize governance fragmentation as a systemic cost, not a competitive advantage .</w:t>
      </w:r>
    </w:p>
    <w:p w14:paraId="478F131D" w14:textId="77777777" w:rsidR="00956260" w:rsidRPr="00D06480" w:rsidRDefault="00000000">
      <w:pPr>
        <w:spacing w:before="240" w:after="80"/>
        <w:jc w:val="center"/>
      </w:pPr>
      <w:r>
        <w:rPr>
          <w:b/>
          <w:bCs/>
          <w:sz w:val="20"/>
          <w:szCs w:val="20"/>
        </w:rPr>
        <w:t>Table 5. Applied DSSM: Four Contemporary Crises Analyzed as Symbolic System Events</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2000"/>
        <w:gridCol w:w="1800"/>
        <w:gridCol w:w="1800"/>
        <w:gridCol w:w="2160"/>
      </w:tblGrid>
      <w:tr w:rsidR="00956260" w:rsidRPr="00D06480" w14:paraId="250FD9F1" w14:textId="77777777">
        <w:trPr>
          <w:tblHeader/>
        </w:trPr>
        <w:tc>
          <w:tcPr>
            <w:tcW w:w="15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56DD1387" w14:textId="77777777" w:rsidR="00956260" w:rsidRPr="00D06480" w:rsidRDefault="00000000">
            <w:pPr>
              <w:jc w:val="center"/>
            </w:pPr>
            <w:r>
              <w:rPr>
                <w:b/>
                <w:bCs/>
                <w:color w:val="FFFFFF"/>
                <w:sz w:val="20"/>
                <w:szCs w:val="20"/>
              </w:rPr>
              <w:t>Crisis</w:t>
            </w:r>
          </w:p>
        </w:tc>
        <w:tc>
          <w:tcPr>
            <w:tcW w:w="20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7A4313A2" w14:textId="77777777" w:rsidR="00956260" w:rsidRPr="00D06480" w:rsidRDefault="00000000">
            <w:pPr>
              <w:jc w:val="center"/>
            </w:pPr>
            <w:r>
              <w:rPr>
                <w:b/>
                <w:bCs/>
                <w:color w:val="FFFFFF"/>
                <w:sz w:val="20"/>
                <w:szCs w:val="20"/>
              </w:rPr>
              <w:t>DSSM Script</w:t>
            </w:r>
          </w:p>
        </w:tc>
        <w:tc>
          <w:tcPr>
            <w:tcW w:w="18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7A5515C6" w14:textId="77777777" w:rsidR="00956260" w:rsidRPr="00D06480" w:rsidRDefault="00000000">
            <w:pPr>
              <w:jc w:val="center"/>
            </w:pPr>
            <w:r>
              <w:rPr>
                <w:b/>
                <w:bCs/>
                <w:color w:val="FFFFFF"/>
                <w:sz w:val="20"/>
                <w:szCs w:val="20"/>
              </w:rPr>
              <w:t>Symbolic System Status</w:t>
            </w:r>
          </w:p>
        </w:tc>
        <w:tc>
          <w:tcPr>
            <w:tcW w:w="18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2D314ABC" w14:textId="77777777" w:rsidR="00956260" w:rsidRPr="00D06480" w:rsidRDefault="00000000">
            <w:pPr>
              <w:jc w:val="center"/>
            </w:pPr>
            <w:r>
              <w:rPr>
                <w:b/>
                <w:bCs/>
                <w:color w:val="FFFFFF"/>
                <w:sz w:val="20"/>
                <w:szCs w:val="20"/>
              </w:rPr>
              <w:t>Key Risk Variable</w:t>
            </w:r>
          </w:p>
        </w:tc>
        <w:tc>
          <w:tcPr>
            <w:tcW w:w="216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570CE73C" w14:textId="77777777" w:rsidR="00956260" w:rsidRPr="00D06480" w:rsidRDefault="00000000">
            <w:pPr>
              <w:jc w:val="center"/>
            </w:pPr>
            <w:r>
              <w:rPr>
                <w:b/>
                <w:bCs/>
                <w:color w:val="FFFFFF"/>
                <w:sz w:val="20"/>
                <w:szCs w:val="20"/>
              </w:rPr>
              <w:t>DSSM Prescription</w:t>
            </w:r>
          </w:p>
        </w:tc>
      </w:tr>
      <w:tr w:rsidR="00956260" w:rsidRPr="00D06480" w14:paraId="0FAF33F7" w14:textId="77777777">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6C28B0AA" w14:textId="77777777" w:rsidR="00956260" w:rsidRPr="00D06480" w:rsidRDefault="00000000">
            <w:r>
              <w:rPr>
                <w:sz w:val="20"/>
                <w:szCs w:val="20"/>
              </w:rPr>
              <w:t>Russia–Ukraine War</w:t>
            </w:r>
          </w:p>
        </w:tc>
        <w:tc>
          <w:tcPr>
            <w:tcW w:w="20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700E59D9" w14:textId="77777777" w:rsidR="00956260" w:rsidRPr="00D06480" w:rsidRDefault="00000000">
            <w:r>
              <w:rPr>
                <w:sz w:val="20"/>
                <w:szCs w:val="20"/>
              </w:rPr>
              <w:t xml:space="preserve">Imperial extraction protocol (territory </w:t>
            </w:r>
            <w:r>
              <w:rPr>
                <w:rFonts w:ascii="Arial" w:hAnsi="Arial" w:cs="Arial"/>
                <w:sz w:val="20"/>
                <w:szCs w:val="20"/>
              </w:rPr>
              <w:t>→</w:t>
            </w:r>
            <w:r>
              <w:rPr>
                <w:sz w:val="20"/>
                <w:szCs w:val="20"/>
              </w:rPr>
              <w:t xml:space="preserve"> taxation </w:t>
            </w:r>
            <w:r>
              <w:rPr>
                <w:rFonts w:ascii="Arial" w:hAnsi="Arial" w:cs="Arial"/>
                <w:sz w:val="20"/>
                <w:szCs w:val="20"/>
              </w:rPr>
              <w:t>→</w:t>
            </w:r>
            <w:r>
              <w:rPr>
                <w:sz w:val="20"/>
                <w:szCs w:val="20"/>
              </w:rPr>
              <w:t xml:space="preserve"> control)</w:t>
            </w:r>
          </w:p>
        </w:tc>
        <w:tc>
          <w:tcPr>
            <w:tcW w:w="18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7199CFD7" w14:textId="77777777" w:rsidR="00956260" w:rsidRPr="00D06480" w:rsidRDefault="00000000">
            <w:r>
              <w:rPr>
                <w:sz w:val="20"/>
                <w:szCs w:val="20"/>
              </w:rPr>
              <w:t>Containing protocol bypassed; backchannels partial</w:t>
            </w:r>
          </w:p>
        </w:tc>
        <w:tc>
          <w:tcPr>
            <w:tcW w:w="18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34C76E9B" w14:textId="77777777" w:rsidR="00956260" w:rsidRPr="00D06480" w:rsidRDefault="00000000">
            <w:r>
              <w:rPr>
                <w:sz w:val="20"/>
                <w:szCs w:val="20"/>
              </w:rPr>
              <w:t>Decision-time compression below 48hr threshold</w:t>
            </w:r>
          </w:p>
        </w:tc>
        <w:tc>
          <w:tcPr>
            <w:tcW w:w="21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61EB01C1" w14:textId="77777777" w:rsidR="00956260" w:rsidRPr="00D06480" w:rsidRDefault="00000000">
            <w:r>
              <w:rPr>
                <w:sz w:val="20"/>
                <w:szCs w:val="20"/>
              </w:rPr>
              <w:t>Mandatory 48hr buffers; redundant communication architecture</w:t>
            </w:r>
          </w:p>
        </w:tc>
      </w:tr>
      <w:tr w:rsidR="00956260" w:rsidRPr="00D06480" w14:paraId="3C7E1536" w14:textId="77777777">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693EF4" w14:textId="77777777" w:rsidR="00956260" w:rsidRPr="00D06480" w:rsidRDefault="00000000">
            <w:r>
              <w:rPr>
                <w:sz w:val="20"/>
                <w:szCs w:val="20"/>
              </w:rPr>
              <w:t>Gaza / Int'l Law</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3A107A3" w14:textId="77777777" w:rsidR="00956260" w:rsidRPr="00D06480" w:rsidRDefault="00000000">
            <w:r>
              <w:rPr>
                <w:sz w:val="20"/>
                <w:szCs w:val="20"/>
              </w:rPr>
              <w:t>Post-1945 symbolic architecture (UN Charter, ICJ, Geneva Conventions)</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3AEA865" w14:textId="77777777" w:rsidR="00956260" w:rsidRPr="00D06480" w:rsidRDefault="00000000">
            <w:r>
              <w:rPr>
                <w:sz w:val="20"/>
                <w:szCs w:val="20"/>
              </w:rPr>
              <w:t>Enforcement hollowing: form persists, function absent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E7EFCA9" w14:textId="77777777" w:rsidR="00956260" w:rsidRPr="00D06480" w:rsidRDefault="00000000">
            <w:r>
              <w:rPr>
                <w:sz w:val="20"/>
                <w:szCs w:val="20"/>
              </w:rPr>
              <w:t>Dominant actor defection removing authority for all</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8AFD4A8" w14:textId="77777777" w:rsidR="00956260" w:rsidRPr="00D06480" w:rsidRDefault="00000000">
            <w:r>
              <w:rPr>
                <w:sz w:val="20"/>
                <w:szCs w:val="20"/>
              </w:rPr>
              <w:t>Reconstruct Palestinian political legitimacy before infrastructure</w:t>
            </w:r>
          </w:p>
        </w:tc>
      </w:tr>
      <w:tr w:rsidR="00956260" w:rsidRPr="00D06480" w14:paraId="3001DD57" w14:textId="77777777">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4C008CD6" w14:textId="77777777" w:rsidR="00956260" w:rsidRPr="00D06480" w:rsidRDefault="00000000">
            <w:r>
              <w:rPr>
                <w:sz w:val="20"/>
                <w:szCs w:val="20"/>
              </w:rPr>
              <w:t>US–China AI Race</w:t>
            </w:r>
          </w:p>
        </w:tc>
        <w:tc>
          <w:tcPr>
            <w:tcW w:w="20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4C27CDE0" w14:textId="77777777" w:rsidR="00956260" w:rsidRPr="00D06480" w:rsidRDefault="00000000">
            <w:r>
              <w:rPr>
                <w:sz w:val="20"/>
                <w:szCs w:val="20"/>
              </w:rPr>
              <w:t>Protocol competition: which symbolic architecture fossilizes into global infrastructure</w:t>
            </w:r>
          </w:p>
        </w:tc>
        <w:tc>
          <w:tcPr>
            <w:tcW w:w="18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2E11E5F0" w14:textId="77777777" w:rsidR="00956260" w:rsidRPr="00D06480" w:rsidRDefault="00000000">
            <w:r>
              <w:rPr>
                <w:sz w:val="20"/>
                <w:szCs w:val="20"/>
              </w:rPr>
              <w:t>Three competing fossilizations (US, EU, China) fragmenting global standard</w:t>
            </w:r>
          </w:p>
        </w:tc>
        <w:tc>
          <w:tcPr>
            <w:tcW w:w="18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7FAF00AD" w14:textId="77777777" w:rsidR="00956260" w:rsidRPr="00D06480" w:rsidRDefault="00000000">
            <w:r>
              <w:rPr>
                <w:sz w:val="20"/>
                <w:szCs w:val="20"/>
              </w:rPr>
              <w:t>Autonomous weapons without symbolic containment</w:t>
            </w:r>
          </w:p>
        </w:tc>
        <w:tc>
          <w:tcPr>
            <w:tcW w:w="21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77B9DA8A" w14:textId="77777777" w:rsidR="00956260" w:rsidRPr="00D06480" w:rsidRDefault="00000000">
            <w:r>
              <w:rPr>
                <w:sz w:val="20"/>
                <w:szCs w:val="20"/>
              </w:rPr>
              <w:t>US–China shared AI red-line framework as cognitive offloading infrastructure</w:t>
            </w:r>
          </w:p>
        </w:tc>
      </w:tr>
      <w:tr w:rsidR="00956260" w:rsidRPr="00D06480" w14:paraId="041E0D60" w14:textId="77777777">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2951A29" w14:textId="77777777" w:rsidR="00956260" w:rsidRPr="00D06480" w:rsidRDefault="00000000">
            <w:r>
              <w:rPr>
                <w:sz w:val="20"/>
                <w:szCs w:val="20"/>
              </w:rPr>
              <w:t>Global Governance Fragmentation</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D1982A4" w14:textId="77777777" w:rsidR="00956260" w:rsidRPr="00D06480" w:rsidRDefault="00000000">
            <w:r>
              <w:rPr>
                <w:sz w:val="20"/>
                <w:szCs w:val="20"/>
              </w:rPr>
              <w:t>Post-1945 multilateral symbolic order fracturing across trade, data, security, humanitarian domains</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6B5AF10" w14:textId="77777777" w:rsidR="00956260" w:rsidRPr="00D06480" w:rsidRDefault="00000000">
            <w:r>
              <w:rPr>
                <w:sz w:val="20"/>
                <w:szCs w:val="20"/>
              </w:rPr>
              <w:t>Protocol abandonment by dominant actors hollowing system authority</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309B85A" w14:textId="77777777" w:rsidR="00956260" w:rsidRPr="00D06480" w:rsidRDefault="00000000">
            <w:r>
              <w:rPr>
                <w:sz w:val="20"/>
                <w:szCs w:val="20"/>
              </w:rPr>
              <w:t>Higher error rates, miscalculation, cascading failures</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6F22FBC" w14:textId="77777777" w:rsidR="00956260" w:rsidRPr="00D06480" w:rsidRDefault="00000000">
            <w:r>
              <w:rPr>
                <w:sz w:val="20"/>
                <w:szCs w:val="20"/>
              </w:rPr>
              <w:t>Invest in shared symbolic architecture even with adversaries</w:t>
            </w:r>
          </w:p>
        </w:tc>
      </w:tr>
    </w:tbl>
    <w:p w14:paraId="0FF3D9B2" w14:textId="77777777" w:rsidR="00956260" w:rsidRPr="00D06480" w:rsidRDefault="00000000">
      <w:pPr>
        <w:spacing w:before="100" w:after="240"/>
        <w:jc w:val="center"/>
      </w:pPr>
      <w:r>
        <w:rPr>
          <w:b/>
          <w:bCs/>
          <w:i/>
          <w:iCs/>
          <w:sz w:val="20"/>
          <w:szCs w:val="20"/>
        </w:rPr>
        <w:t>Table 5. DSSM diagnostic applied to contemporary crises (March 2026). Symbolic system status and prescriptions derived from Author (2026ab; 2026ac).</w:t>
      </w:r>
    </w:p>
    <w:p w14:paraId="18F32F86" w14:textId="77777777" w:rsidR="00956260" w:rsidRPr="00D06480" w:rsidRDefault="00000000">
      <w:r>
        <w:br w:type="page"/>
      </w:r>
    </w:p>
    <w:p w14:paraId="4472E173" w14:textId="77777777" w:rsidR="00956260" w:rsidRPr="00D06480" w:rsidRDefault="00000000">
      <w:pPr>
        <w:pStyle w:val="Heading1"/>
      </w:pPr>
      <w:r>
        <w:lastRenderedPageBreak/>
        <w:t>9. Negative Cases and Falsification Conditions</w:t>
      </w:r>
    </w:p>
    <w:p w14:paraId="063FD458" w14:textId="77777777" w:rsidR="00956260" w:rsidRPr="00D06480" w:rsidRDefault="00000000" w:rsidP="00D06480">
      <w:pPr>
        <w:spacing w:after="160" w:line="360" w:lineRule="auto"/>
        <w:ind w:firstLine="720"/>
        <w:jc w:val="both"/>
      </w:pPr>
      <w:r>
        <w:rPr>
          <w:color w:val="000000"/>
        </w:rPr>
        <w:t>The DSSM's treatment of negative cases — regions where symbolic stabilization produced predictably different outcomes — is its most important methodological contribution, and the one that most clearly distinguishes it from a descriptive typology. By specifying in advance that regions with high Stage 1–2 scores but absent or partial Stage 3 should show no or delayed institutional emergence, the model generates falsifiable predictions about non-events . Most archaeological frameworks explain success; DSSM predicts, and accounts for, both success and failure through the same mechanism.</w:t>
      </w:r>
    </w:p>
    <w:p w14:paraId="59C1E618" w14:textId="77777777" w:rsidR="00956260" w:rsidRPr="00D06480" w:rsidRDefault="00000000">
      <w:pPr>
        <w:spacing w:after="160" w:line="360" w:lineRule="auto"/>
        <w:jc w:val="both"/>
      </w:pPr>
      <w:r>
        <w:rPr>
          <w:color w:val="000000"/>
        </w:rPr>
        <w:t>Three distinct failure modes are documented, each confirming a separate DSSM scope condition. Sub-Saharan Africa demonstrates Stage 3 absent through fragmentation: extraordinary symbolic richness in rock art traditions, ochre use at sites extending back to the Blombos horizon, ritual aggregation sites, and beadwork traditions (d'Errico &amp; Henshilwood, 2021) combined with absent state formation in the relevant comparative period. FCP scoring produces Evidence averages of approximately 1.8 but Symbolic Specificity averages of approximately 0.7 for Stage 3 observables, yielding a min-rule total of approximately 6/12. The Stage 1 and Stage 2 consolidation is fully present — this is a region of extraordinary symbolic capacity and richness. What is absent is the specific connectivity and production conditions enabling Stage 3 externalization: the systematic production of standardized portable objects at sufficient scale and distribution to coordinate communities across face-to-face interaction distances. Environmental determinism cannot explain this divergence from the Nile Valley, where comparable ecologies produced Stage 3 amplification. DSSM's scope condition explanation — Stage 3 requires specific connectivity thresholds beyond symbolic capacity alone — is more parsimonious.</w:t>
      </w:r>
    </w:p>
    <w:p w14:paraId="7EA51469" w14:textId="77777777" w:rsidR="00956260" w:rsidRPr="00D06480" w:rsidRDefault="00000000">
      <w:pPr>
        <w:spacing w:after="160" w:line="360" w:lineRule="auto"/>
        <w:jc w:val="both"/>
      </w:pPr>
      <w:r>
        <w:rPr>
          <w:color w:val="000000"/>
        </w:rPr>
        <w:t xml:space="preserve">Prehistoric Australia demonstrates Stage 3 structurally absent — and this is the DSSM's most theoretically powerful negative case precisely because it provides a mechanistic explanation for Stage 3 absence rather than merely documenting it. Aboriginal Australian cultures demonstrate extraordinary symbolic richness across all Stage 1 and Stage 2 FCP observables: the Dreaming cosmology, multi-community ceremonial structures, sophisticated mortuary practices, and elaborate body marking and sand drawing traditions document Stage 1–2 scores at or near maximum (Keen, 2018; Merlan, 2020). Yet Stage 3 is absent. The transmission fidelity model explains this without invoking any cognitive limitation. Aboriginal Australian communities maintained effective band </w:t>
      </w:r>
      <w:r>
        <w:rPr>
          <w:color w:val="000000"/>
        </w:rPr>
        <w:lastRenderedPageBreak/>
        <w:t>sizes of 25 to 50 individuals, with ceremonial aggregations reaching perhaps 200 to 400 temporarily — consistently below the Stage 3 threshold of approximately 500 individuals specified in Prediction P7. At these community sizes, face-to-face embodied and ritualized transmission is fully sufficient to maintain symbolic fidelity; no externalization crisis arises, and no endogenous pressure for portable standardized media develops. Critically, Aboriginal Australian social organization appears to have been deliberately structured to prevent permanent aggregation above this scale, maintaining the co-presence conditions for oral and embodied transmission. This is not an incapacity but an equilibrium — an actively maintained stable state adapted to the symbolic needs and ecological conditions of communities operating at a specific scale. The DSSM prediction is that Australian symbolic systems are not deficient relative to Egyptian symbolic systems; they are optimized for different community sizes. Each represents a successful solution to the problem of intergenerational symbolic transmission.</w:t>
      </w:r>
    </w:p>
    <w:p w14:paraId="1E0CFD5A" w14:textId="77777777" w:rsidR="00956260" w:rsidRPr="00D06480" w:rsidRDefault="00000000">
      <w:pPr>
        <w:spacing w:after="160" w:line="360" w:lineRule="auto"/>
        <w:jc w:val="both"/>
      </w:pPr>
      <w:r>
        <w:rPr>
          <w:color w:val="000000"/>
        </w:rPr>
        <w:t>Late Neolithic Europe demonstrates Stage 3 partial, producing delayed rather than absent institutional emergence. Megalithic ritual networks and Corded Ware standardized ceramic traditions provide partial Stage 3 evidence — an S average of approximately 1.4, falling short of the 1.5 average required for full Stage 3 completion in the 2D FCP system. The standardized portable objects of the Corded Ware complex do not yet demonstrate the inter-community symbolic carrier function that full Stage 3 requires: the ability to coordinate symbolic meaning across non-face-to-face communities without co-presence. The outcome is precisely what DSSM predicts for partial Stage 3 completion: institutional emergence is delayed by approximately 1,500 years rather than permanently absent. Bronze Age and Iron Age state-level societies emerge in Europe, consistent with the model's prediction that partial Stage 3 completion produces delayed emergence — and DSSM thus not only predicts the binary outcome (state/no-state) but the quantitative delay associated with partial Stage 3 completion. No competing framework generates this specific prediction (Renfrew, 1976; Scarre, 2020).</w:t>
      </w:r>
    </w:p>
    <w:p w14:paraId="73602D40" w14:textId="77777777" w:rsidR="00956260" w:rsidRPr="00D06480" w:rsidRDefault="00000000">
      <w:pPr>
        <w:spacing w:after="160" w:line="360" w:lineRule="auto"/>
        <w:jc w:val="both"/>
      </w:pPr>
      <w:r>
        <w:rPr>
          <w:color w:val="000000"/>
        </w:rPr>
        <w:t xml:space="preserve">The seven formal falsification conditions (Predictions P1–P7) can be stated precisely. P1 (Temporal Precedence): monumental sites must show FCP evidence in at least two stratigraphic phases before earliest construction; any well-excavated site showing monuments with FCP min(E,S) = 0 in all prior phases would falsify P1. P2 (Writing as Codification): at least 50% of graphemic elements traceable to prior material culture; writing introducing over 50% wholly novel symbolic categories would falsify P2. P3 (CV Precedes Elaboration): artifact CV must fall below 0.25 during the period </w:t>
      </w:r>
      <w:r>
        <w:rPr>
          <w:color w:val="000000"/>
        </w:rPr>
        <w:lastRenderedPageBreak/>
        <w:t>preceding technological elaboration; elaboration co-occurring with rising CV would falsify P3. P4 (Cross-Regional Sequence): DSSM sequence recoverable across all five positive-case regions; any positive-case region showing institutional emergence without prior FCP Stage 1–2 evidence would falsify P4. P5 (Portable Anchors Precede Monuments): standardized portable objects predate permanent monumental architecture in all positive-case regions; any region showing monuments with zero prior portable symbolic tradition would falsify P5. P6 (Negative Cases as Scope Tests): high Stage 1–2 combined with absent Stage 3 S-axis should produce absent institutional emergence; any well-documented positive-case region showing state formation with zero Stage 3 S-axis evidence would falsify P6. P7 (Community Size Threshold): Stage 3 expected when community size consistently exceeds approximately 500 individuals; any well-documented society with confirmed effective sizes above 500 and high Stage 1–2 scores showing persistent Stage 3 absence would falsify P7. All seven predictions receive preliminary support from available evidence . P7 requires the most additional empirical calibration.</w:t>
      </w:r>
    </w:p>
    <w:p w14:paraId="4BB4DBFF" w14:textId="77777777" w:rsidR="00956260" w:rsidRPr="00D06480" w:rsidRDefault="00000000">
      <w:pPr>
        <w:spacing w:before="240" w:after="80"/>
        <w:jc w:val="center"/>
      </w:pPr>
      <w:r>
        <w:rPr>
          <w:b/>
          <w:bCs/>
          <w:sz w:val="20"/>
          <w:szCs w:val="20"/>
        </w:rPr>
        <w:t>Table 6. Three Negative Cases: Failure Modes, FCP Scores, and DSSM Interpretation</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1300"/>
        <w:gridCol w:w="1300"/>
        <w:gridCol w:w="2100"/>
        <w:gridCol w:w="1400"/>
        <w:gridCol w:w="2260"/>
      </w:tblGrid>
      <w:tr w:rsidR="00956260" w:rsidRPr="00D06480" w14:paraId="2B909B1F" w14:textId="77777777">
        <w:trPr>
          <w:tblHeader/>
        </w:trPr>
        <w:tc>
          <w:tcPr>
            <w:tcW w:w="14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7468A71E" w14:textId="77777777" w:rsidR="00956260" w:rsidRPr="00D06480" w:rsidRDefault="00000000">
            <w:pPr>
              <w:jc w:val="center"/>
            </w:pPr>
            <w:r>
              <w:rPr>
                <w:b/>
                <w:bCs/>
                <w:color w:val="FFFFFF"/>
                <w:sz w:val="20"/>
                <w:szCs w:val="20"/>
              </w:rPr>
              <w:t>Region</w:t>
            </w:r>
          </w:p>
        </w:tc>
        <w:tc>
          <w:tcPr>
            <w:tcW w:w="13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6DE00FCC" w14:textId="77777777" w:rsidR="00956260" w:rsidRPr="00D06480" w:rsidRDefault="00000000">
            <w:pPr>
              <w:jc w:val="center"/>
            </w:pPr>
            <w:r>
              <w:rPr>
                <w:b/>
                <w:bCs/>
                <w:color w:val="FFFFFF"/>
                <w:sz w:val="20"/>
                <w:szCs w:val="20"/>
              </w:rPr>
              <w:t>Stage 1–2 Score</w:t>
            </w:r>
          </w:p>
        </w:tc>
        <w:tc>
          <w:tcPr>
            <w:tcW w:w="13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47CB0683" w14:textId="77777777" w:rsidR="00956260" w:rsidRPr="00D06480" w:rsidRDefault="00000000">
            <w:pPr>
              <w:jc w:val="center"/>
            </w:pPr>
            <w:r>
              <w:rPr>
                <w:b/>
                <w:bCs/>
                <w:color w:val="FFFFFF"/>
                <w:sz w:val="20"/>
                <w:szCs w:val="20"/>
              </w:rPr>
              <w:t>Stage 3 S-axis</w:t>
            </w:r>
          </w:p>
        </w:tc>
        <w:tc>
          <w:tcPr>
            <w:tcW w:w="21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52C59DBD" w14:textId="77777777" w:rsidR="00956260" w:rsidRPr="00D06480" w:rsidRDefault="00000000">
            <w:pPr>
              <w:jc w:val="center"/>
            </w:pPr>
            <w:r>
              <w:rPr>
                <w:b/>
                <w:bCs/>
                <w:color w:val="FFFFFF"/>
                <w:sz w:val="20"/>
                <w:szCs w:val="20"/>
              </w:rPr>
              <w:t>Failure Mode</w:t>
            </w:r>
          </w:p>
        </w:tc>
        <w:tc>
          <w:tcPr>
            <w:tcW w:w="14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024146D0" w14:textId="77777777" w:rsidR="00956260" w:rsidRPr="00D06480" w:rsidRDefault="00000000">
            <w:pPr>
              <w:jc w:val="center"/>
            </w:pPr>
            <w:r>
              <w:rPr>
                <w:b/>
                <w:bCs/>
                <w:color w:val="FFFFFF"/>
                <w:sz w:val="20"/>
                <w:szCs w:val="20"/>
              </w:rPr>
              <w:t>Institutional Outcome</w:t>
            </w:r>
          </w:p>
        </w:tc>
        <w:tc>
          <w:tcPr>
            <w:tcW w:w="226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14:paraId="1D46434D" w14:textId="77777777" w:rsidR="00956260" w:rsidRPr="00D06480" w:rsidRDefault="00000000">
            <w:pPr>
              <w:jc w:val="center"/>
            </w:pPr>
            <w:r>
              <w:rPr>
                <w:b/>
                <w:bCs/>
                <w:color w:val="FFFFFF"/>
                <w:sz w:val="20"/>
                <w:szCs w:val="20"/>
              </w:rPr>
              <w:t>DSSM Interpretation</w:t>
            </w:r>
          </w:p>
        </w:tc>
      </w:tr>
      <w:tr w:rsidR="00956260" w:rsidRPr="00D06480" w14:paraId="6171656A" w14:textId="77777777">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659BBCF1" w14:textId="77777777" w:rsidR="00956260" w:rsidRPr="00D06480" w:rsidRDefault="00000000">
            <w:r>
              <w:rPr>
                <w:sz w:val="20"/>
                <w:szCs w:val="20"/>
              </w:rPr>
              <w:t>Sub-Saharan Africa</w:t>
            </w:r>
          </w:p>
        </w:tc>
        <w:tc>
          <w:tcPr>
            <w:tcW w:w="13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22AC4ABC" w14:textId="77777777" w:rsidR="00956260" w:rsidRPr="00D06480" w:rsidRDefault="00000000">
            <w:r>
              <w:rPr>
                <w:sz w:val="20"/>
                <w:szCs w:val="20"/>
              </w:rPr>
              <w:t>High (~1.8 avg E)</w:t>
            </w:r>
          </w:p>
        </w:tc>
        <w:tc>
          <w:tcPr>
            <w:tcW w:w="13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46BBD853" w14:textId="77777777" w:rsidR="00956260" w:rsidRPr="00D06480" w:rsidRDefault="00000000">
            <w:r>
              <w:rPr>
                <w:sz w:val="20"/>
                <w:szCs w:val="20"/>
              </w:rPr>
              <w:t>~0.7 avg S</w:t>
            </w:r>
          </w:p>
        </w:tc>
        <w:tc>
          <w:tcPr>
            <w:tcW w:w="21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2F66D3AD" w14:textId="77777777" w:rsidR="00956260" w:rsidRPr="00D06480" w:rsidRDefault="00000000">
            <w:r>
              <w:rPr>
                <w:sz w:val="20"/>
                <w:szCs w:val="20"/>
              </w:rPr>
              <w:t>Fragmentation — connectivity threshold not reached</w:t>
            </w:r>
          </w:p>
        </w:tc>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16D3606D" w14:textId="77777777" w:rsidR="00956260" w:rsidRPr="00D06480" w:rsidRDefault="00000000">
            <w:r>
              <w:rPr>
                <w:sz w:val="20"/>
                <w:szCs w:val="20"/>
              </w:rPr>
              <w:t>No state (period)</w:t>
            </w:r>
          </w:p>
        </w:tc>
        <w:tc>
          <w:tcPr>
            <w:tcW w:w="22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46270180" w14:textId="77777777" w:rsidR="00956260" w:rsidRPr="00D06480" w:rsidRDefault="00000000">
            <w:r>
              <w:rPr>
                <w:sz w:val="20"/>
                <w:szCs w:val="20"/>
              </w:rPr>
              <w:t>Stage 3 absent through structural fragmentation, not cognitive deficit</w:t>
            </w:r>
          </w:p>
        </w:tc>
      </w:tr>
      <w:tr w:rsidR="00956260" w:rsidRPr="00D06480" w14:paraId="3C130377"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64C6C26" w14:textId="77777777" w:rsidR="00956260" w:rsidRPr="00D06480" w:rsidRDefault="00000000">
            <w:r>
              <w:rPr>
                <w:sz w:val="20"/>
                <w:szCs w:val="20"/>
              </w:rPr>
              <w:t>Prehistoric Australia</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CDDC313" w14:textId="77777777" w:rsidR="00956260" w:rsidRPr="00D06480" w:rsidRDefault="00000000">
            <w:r>
              <w:rPr>
                <w:sz w:val="20"/>
                <w:szCs w:val="20"/>
              </w:rPr>
              <w:t>Maximum (~1.9 avg E)</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2917E80" w14:textId="77777777" w:rsidR="00956260" w:rsidRPr="00D06480" w:rsidRDefault="00000000">
            <w:r>
              <w:rPr>
                <w:sz w:val="20"/>
                <w:szCs w:val="20"/>
              </w:rPr>
              <w:t>~0.6 avg S</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2AEE318" w14:textId="77777777" w:rsidR="00956260" w:rsidRPr="00D06480" w:rsidRDefault="00000000">
            <w:r>
              <w:rPr>
                <w:sz w:val="20"/>
                <w:szCs w:val="20"/>
              </w:rPr>
              <w:t>Equilibrium — deliberately maintained band sizes &lt;500</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A4AED75" w14:textId="77777777" w:rsidR="00956260" w:rsidRPr="00D06480" w:rsidRDefault="00000000">
            <w:r>
              <w:rPr>
                <w:sz w:val="20"/>
                <w:szCs w:val="20"/>
              </w:rPr>
              <w:t>No state (persistent)</w:t>
            </w:r>
          </w:p>
        </w:tc>
        <w:tc>
          <w:tcPr>
            <w:tcW w:w="22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7845DE5" w14:textId="77777777" w:rsidR="00956260" w:rsidRPr="00D06480" w:rsidRDefault="00000000">
            <w:r>
              <w:rPr>
                <w:sz w:val="20"/>
                <w:szCs w:val="20"/>
              </w:rPr>
              <w:t>Stage 3 structurally absent; actively maintained equilibrium at sub-threshold community size</w:t>
            </w:r>
          </w:p>
        </w:tc>
      </w:tr>
      <w:tr w:rsidR="00956260" w:rsidRPr="00D06480" w14:paraId="41B03A1D" w14:textId="77777777">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4078CDF0" w14:textId="77777777" w:rsidR="00956260" w:rsidRPr="00D06480" w:rsidRDefault="00000000">
            <w:r>
              <w:rPr>
                <w:sz w:val="20"/>
                <w:szCs w:val="20"/>
              </w:rPr>
              <w:t>Late Neolithic Europe</w:t>
            </w:r>
          </w:p>
        </w:tc>
        <w:tc>
          <w:tcPr>
            <w:tcW w:w="13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758144A1" w14:textId="77777777" w:rsidR="00956260" w:rsidRPr="00D06480" w:rsidRDefault="00000000">
            <w:r>
              <w:rPr>
                <w:sz w:val="20"/>
                <w:szCs w:val="20"/>
              </w:rPr>
              <w:t>High (~1.6 avg E)</w:t>
            </w:r>
          </w:p>
        </w:tc>
        <w:tc>
          <w:tcPr>
            <w:tcW w:w="13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7B32C986" w14:textId="77777777" w:rsidR="00956260" w:rsidRPr="00D06480" w:rsidRDefault="00000000">
            <w:r>
              <w:rPr>
                <w:sz w:val="20"/>
                <w:szCs w:val="20"/>
              </w:rPr>
              <w:t>~1.4 avg S</w:t>
            </w:r>
          </w:p>
        </w:tc>
        <w:tc>
          <w:tcPr>
            <w:tcW w:w="21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666A0F3D" w14:textId="77777777" w:rsidR="00956260" w:rsidRPr="00D06480" w:rsidRDefault="00000000">
            <w:r>
              <w:rPr>
                <w:sz w:val="20"/>
                <w:szCs w:val="20"/>
              </w:rPr>
              <w:t>Partial — Stage 3 started but not completed</w:t>
            </w:r>
          </w:p>
        </w:tc>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0DD79737" w14:textId="77777777" w:rsidR="00956260" w:rsidRPr="00D06480" w:rsidRDefault="00000000">
            <w:r>
              <w:rPr>
                <w:sz w:val="20"/>
                <w:szCs w:val="20"/>
              </w:rPr>
              <w:t>Delayed state (~1,500 yr lag)</w:t>
            </w:r>
          </w:p>
        </w:tc>
        <w:tc>
          <w:tcPr>
            <w:tcW w:w="22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14:paraId="22D0DCB8" w14:textId="77777777" w:rsidR="00956260" w:rsidRPr="00D06480" w:rsidRDefault="00000000">
            <w:r>
              <w:rPr>
                <w:sz w:val="20"/>
                <w:szCs w:val="20"/>
              </w:rPr>
              <w:t>Partial Stage 3 produces delayed, not absent, institutional emergence</w:t>
            </w:r>
          </w:p>
        </w:tc>
      </w:tr>
    </w:tbl>
    <w:p w14:paraId="20B23803" w14:textId="77777777" w:rsidR="00956260" w:rsidRPr="00D06480" w:rsidRDefault="00000000">
      <w:pPr>
        <w:spacing w:before="100" w:after="240"/>
        <w:jc w:val="center"/>
      </w:pPr>
      <w:r>
        <w:rPr>
          <w:b/>
          <w:bCs/>
          <w:i/>
          <w:iCs/>
          <w:sz w:val="20"/>
          <w:szCs w:val="20"/>
        </w:rPr>
        <w:t>Table 6. Each case confirms a distinct DSSM scope condition. E = Evidence Strength; S = Symbolic Specificity (2D FCP). Source: Author (2026b).</w:t>
      </w:r>
    </w:p>
    <w:p w14:paraId="701B9DE2" w14:textId="77777777" w:rsidR="00956260" w:rsidRDefault="00956260">
      <w:pPr>
        <w:spacing w:before="200"/>
      </w:pPr>
    </w:p>
    <w:p w14:paraId="6E84DC49" w14:textId="77777777" w:rsidR="00D06480" w:rsidRDefault="00D06480">
      <w:pPr>
        <w:spacing w:before="200"/>
      </w:pPr>
    </w:p>
    <w:p w14:paraId="7A03E004" w14:textId="77777777" w:rsidR="00D06480" w:rsidRDefault="00D06480">
      <w:pPr>
        <w:spacing w:before="200"/>
      </w:pPr>
    </w:p>
    <w:p w14:paraId="01B5F145" w14:textId="77777777" w:rsidR="00D06480" w:rsidRDefault="00D06480">
      <w:pPr>
        <w:spacing w:before="200"/>
      </w:pPr>
    </w:p>
    <w:p w14:paraId="3BF58243" w14:textId="77777777" w:rsidR="00D06480" w:rsidRPr="00D06480" w:rsidRDefault="00D06480">
      <w:pPr>
        <w:spacing w:before="200"/>
      </w:pPr>
    </w:p>
    <w:p w14:paraId="549325E6" w14:textId="77777777" w:rsidR="00956260" w:rsidRPr="00D06480" w:rsidRDefault="00000000">
      <w:pPr>
        <w:shd w:val="clear" w:color="auto" w:fill="F0F4F8"/>
        <w:ind w:left="720" w:right="720"/>
      </w:pPr>
      <w:r>
        <w:rPr>
          <w:rFonts w:eastAsia="Courier New" w:cs="Courier New"/>
          <w:sz w:val="18"/>
          <w:szCs w:val="18"/>
        </w:rPr>
        <w:t xml:space="preserve">  PREDICTION P7: COMMUNITY SIZE AND STAGE 3 THRESHOLD</w:t>
      </w:r>
    </w:p>
    <w:p w14:paraId="2C21C611" w14:textId="77777777" w:rsidR="00956260" w:rsidRPr="00D06480" w:rsidRDefault="00000000">
      <w:pPr>
        <w:shd w:val="clear" w:color="auto" w:fill="F0F4F8"/>
        <w:ind w:left="720" w:right="720"/>
      </w:pPr>
      <w:r>
        <w:rPr>
          <w:rFonts w:eastAsia="Courier New" w:cs="Courier New"/>
          <w:sz w:val="18"/>
          <w:szCs w:val="18"/>
        </w:rPr>
        <w:lastRenderedPageBreak/>
        <w:t xml:space="preserve">  </w:t>
      </w:r>
      <w:r>
        <w:rPr>
          <w:rFonts w:ascii="Arial" w:eastAsia="Courier New" w:hAnsi="Arial" w:cs="Arial"/>
          <w:sz w:val="18"/>
          <w:szCs w:val="18"/>
        </w:rPr>
        <w:t>──────────────────────────────────────────────────────────</w:t>
      </w:r>
    </w:p>
    <w:p w14:paraId="26B84807" w14:textId="77777777" w:rsidR="00956260" w:rsidRPr="00D06480" w:rsidRDefault="00000000">
      <w:pPr>
        <w:shd w:val="clear" w:color="auto" w:fill="F0F4F8"/>
        <w:ind w:left="720" w:right="720"/>
      </w:pPr>
      <w:r>
        <w:rPr>
          <w:rFonts w:eastAsia="Courier New" w:cs="Courier New"/>
          <w:sz w:val="18"/>
          <w:szCs w:val="18"/>
        </w:rPr>
        <w:t xml:space="preserve">  Community                                                  </w:t>
      </w:r>
    </w:p>
    <w:p w14:paraId="06B003D2" w14:textId="77777777" w:rsidR="00956260" w:rsidRPr="00D06480" w:rsidRDefault="00000000">
      <w:pPr>
        <w:shd w:val="clear" w:color="auto" w:fill="F0F4F8"/>
        <w:ind w:left="720" w:right="720"/>
      </w:pPr>
      <w:r>
        <w:rPr>
          <w:rFonts w:eastAsia="Courier New" w:cs="Courier New"/>
          <w:sz w:val="18"/>
          <w:szCs w:val="18"/>
        </w:rPr>
        <w:t xml:space="preserve">  Size                     </w:t>
      </w:r>
      <w:r>
        <w:rPr>
          <w:rFonts w:ascii="MS Gothic" w:eastAsia="MS Gothic" w:hAnsi="MS Gothic" w:cs="MS Gothic" w:hint="eastAsia"/>
          <w:sz w:val="18"/>
          <w:szCs w:val="18"/>
        </w:rPr>
        <w:t>┌</w:t>
      </w:r>
      <w:r>
        <w:rPr>
          <w:rFonts w:ascii="Arial" w:eastAsia="Courier New" w:hAnsi="Arial" w:cs="Arial"/>
          <w:sz w:val="18"/>
          <w:szCs w:val="18"/>
        </w:rPr>
        <w:t>───</w:t>
      </w:r>
      <w:r>
        <w:rPr>
          <w:rFonts w:eastAsia="Courier New" w:cs="Courier New"/>
          <w:sz w:val="18"/>
          <w:szCs w:val="18"/>
        </w:rPr>
        <w:t xml:space="preserve"> State formation             </w:t>
      </w:r>
    </w:p>
    <w:p w14:paraId="298F4983" w14:textId="77777777" w:rsidR="00956260" w:rsidRPr="00D06480" w:rsidRDefault="00000000">
      <w:pPr>
        <w:shd w:val="clear" w:color="auto" w:fill="F0F4F8"/>
        <w:ind w:left="720" w:right="720"/>
      </w:pPr>
      <w:r>
        <w:rPr>
          <w:rFonts w:eastAsia="Courier New" w:cs="Courier New"/>
          <w:sz w:val="18"/>
          <w:szCs w:val="18"/>
        </w:rPr>
        <w:t xml:space="preserve">   5000 </w:t>
      </w:r>
      <w:r>
        <w:rPr>
          <w:rFonts w:ascii="Arial" w:eastAsia="Courier New" w:hAnsi="Arial" w:cs="Arial"/>
          <w:sz w:val="18"/>
          <w:szCs w:val="18"/>
        </w:rPr>
        <w:t>─────────────────►</w:t>
      </w: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Naqada II Hierakonpolis       </w:t>
      </w:r>
    </w:p>
    <w:p w14:paraId="7903DF3C" w14:textId="77777777" w:rsidR="00956260" w:rsidRPr="00D06480" w:rsidRDefault="00000000">
      <w:pPr>
        <w:shd w:val="clear" w:color="auto" w:fill="F0F4F8"/>
        <w:ind w:left="720" w:right="720"/>
      </w:pPr>
      <w:r>
        <w:rPr>
          <w:rFonts w:eastAsia="Courier New" w:cs="Courier New"/>
          <w:sz w:val="18"/>
          <w:szCs w:val="18"/>
        </w:rPr>
        <w:t xml:space="preserve">         Egypt             </w:t>
      </w:r>
      <w:r>
        <w:rPr>
          <w:rFonts w:ascii="MS Gothic" w:eastAsia="MS Gothic" w:hAnsi="MS Gothic" w:cs="MS Gothic" w:hint="eastAsia"/>
          <w:sz w:val="18"/>
          <w:szCs w:val="18"/>
        </w:rPr>
        <w:t>│</w:t>
      </w:r>
      <w:r>
        <w:rPr>
          <w:rFonts w:eastAsia="Courier New" w:cs="Courier New"/>
          <w:sz w:val="18"/>
          <w:szCs w:val="18"/>
        </w:rPr>
        <w:t xml:space="preserve">  (~2,000–5,000)                </w:t>
      </w:r>
    </w:p>
    <w:p w14:paraId="2497E6ED" w14:textId="77777777" w:rsidR="00956260" w:rsidRPr="00D06480" w:rsidRDefault="00000000">
      <w:pPr>
        <w:shd w:val="clear" w:color="auto" w:fill="F0F4F8"/>
        <w:ind w:left="720" w:right="720"/>
      </w:pPr>
      <w:r>
        <w:rPr>
          <w:rFonts w:eastAsia="Courier New" w:cs="Courier New"/>
          <w:sz w:val="18"/>
          <w:szCs w:val="18"/>
        </w:rPr>
        <w:t xml:space="preserve">   3000 </w:t>
      </w:r>
      <w:r>
        <w:rPr>
          <w:rFonts w:ascii="Arial" w:eastAsia="Courier New" w:hAnsi="Arial" w:cs="Arial"/>
          <w:sz w:val="18"/>
          <w:szCs w:val="18"/>
        </w:rPr>
        <w:t>───────────────────</w:t>
      </w:r>
      <w:r>
        <w:rPr>
          <w:rFonts w:ascii="MS Gothic" w:eastAsia="MS Gothic" w:hAnsi="MS Gothic" w:cs="MS Gothic" w:hint="eastAsia"/>
          <w:sz w:val="18"/>
          <w:szCs w:val="18"/>
        </w:rPr>
        <w:t>┤</w:t>
      </w:r>
      <w:r>
        <w:rPr>
          <w:rFonts w:eastAsia="Courier New" w:cs="Courier New"/>
          <w:sz w:val="18"/>
          <w:szCs w:val="18"/>
        </w:rPr>
        <w:t xml:space="preserve">  Ubaid Mesopotamia             </w:t>
      </w:r>
    </w:p>
    <w:p w14:paraId="7282DBC0"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(~3,000–8,000)                </w:t>
      </w:r>
    </w:p>
    <w:p w14:paraId="213543CC" w14:textId="77777777" w:rsidR="00956260" w:rsidRPr="00D06480" w:rsidRDefault="00000000">
      <w:pPr>
        <w:shd w:val="clear" w:color="auto" w:fill="F0F4F8"/>
        <w:ind w:left="720" w:right="720"/>
      </w:pPr>
      <w:r>
        <w:rPr>
          <w:rFonts w:eastAsia="Courier New" w:cs="Courier New"/>
          <w:sz w:val="18"/>
          <w:szCs w:val="18"/>
        </w:rPr>
        <w:t xml:space="preserve">    ~500 </w:t>
      </w:r>
      <w:r>
        <w:rPr>
          <w:rFonts w:ascii="Arial" w:eastAsia="Courier New" w:hAnsi="Arial" w:cs="Arial"/>
          <w:sz w:val="18"/>
          <w:szCs w:val="18"/>
        </w:rPr>
        <w:t>──────────────────</w:t>
      </w:r>
      <w:r>
        <w:rPr>
          <w:rFonts w:ascii="MS Gothic" w:eastAsia="MS Gothic" w:hAnsi="MS Gothic" w:cs="MS Gothic" w:hint="eastAsia"/>
          <w:sz w:val="18"/>
          <w:szCs w:val="18"/>
        </w:rPr>
        <w:t>┼</w:t>
      </w:r>
      <w:r>
        <w:rPr>
          <w:rFonts w:ascii="Arial" w:eastAsia="Courier New" w:hAnsi="Arial" w:cs="Arial"/>
          <w:sz w:val="18"/>
          <w:szCs w:val="18"/>
        </w:rPr>
        <w:t>────</w:t>
      </w:r>
      <w:r>
        <w:rPr>
          <w:rFonts w:eastAsia="Courier New" w:cs="Courier New"/>
          <w:sz w:val="18"/>
          <w:szCs w:val="18"/>
        </w:rPr>
        <w:t xml:space="preserve"> P7 THRESHOLD </w:t>
      </w:r>
      <w:r>
        <w:rPr>
          <w:rFonts w:ascii="Arial" w:eastAsia="Courier New" w:hAnsi="Arial" w:cs="Arial"/>
          <w:sz w:val="18"/>
          <w:szCs w:val="18"/>
        </w:rPr>
        <w:t>─────────────</w:t>
      </w:r>
    </w:p>
    <w:p w14:paraId="1376A3EE"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Corded Ware      </w:t>
      </w:r>
      <w:r>
        <w:rPr>
          <w:rFonts w:ascii="MS Gothic" w:eastAsia="MS Gothic" w:hAnsi="MS Gothic" w:cs="MS Gothic" w:hint="eastAsia"/>
          <w:sz w:val="18"/>
          <w:szCs w:val="18"/>
        </w:rPr>
        <w:t>│</w:t>
      </w:r>
      <w:r>
        <w:rPr>
          <w:rFonts w:eastAsia="Courier New" w:cs="Courier New"/>
          <w:sz w:val="18"/>
          <w:szCs w:val="18"/>
        </w:rPr>
        <w:t xml:space="preserve">  (partial Stage 3 / delayed)   </w:t>
      </w:r>
    </w:p>
    <w:p w14:paraId="497BAB7D" w14:textId="77777777" w:rsidR="00956260" w:rsidRPr="00D06480" w:rsidRDefault="00000000">
      <w:pPr>
        <w:shd w:val="clear" w:color="auto" w:fill="F0F4F8"/>
        <w:ind w:left="720" w:right="720"/>
      </w:pPr>
      <w:r>
        <w:rPr>
          <w:rFonts w:eastAsia="Courier New" w:cs="Courier New"/>
          <w:sz w:val="18"/>
          <w:szCs w:val="18"/>
        </w:rPr>
        <w:t xml:space="preserve">    </w:t>
      </w:r>
      <w:r>
        <w:rPr>
          <w:rFonts w:ascii="MS Gothic" w:eastAsia="MS Gothic" w:hAnsi="MS Gothic" w:cs="MS Gothic" w:hint="eastAsia"/>
          <w:sz w:val="18"/>
          <w:szCs w:val="18"/>
        </w:rPr>
        <w:t>│</w:t>
      </w:r>
      <w:r>
        <w:rPr>
          <w:rFonts w:eastAsia="Courier New" w:cs="Courier New"/>
          <w:sz w:val="18"/>
          <w:szCs w:val="18"/>
        </w:rPr>
        <w:t xml:space="preserve">     ~300–800         </w:t>
      </w:r>
      <w:r>
        <w:rPr>
          <w:rFonts w:ascii="MS Gothic" w:eastAsia="MS Gothic" w:hAnsi="MS Gothic" w:cs="MS Gothic" w:hint="eastAsia"/>
          <w:sz w:val="18"/>
          <w:szCs w:val="18"/>
        </w:rPr>
        <w:t>│</w:t>
      </w:r>
      <w:r>
        <w:rPr>
          <w:rFonts w:eastAsia="Courier New" w:cs="Courier New"/>
          <w:sz w:val="18"/>
          <w:szCs w:val="18"/>
        </w:rPr>
        <w:t xml:space="preserve">                                 </w:t>
      </w:r>
    </w:p>
    <w:p w14:paraId="286EC5EF" w14:textId="77777777" w:rsidR="00956260" w:rsidRPr="00D06480" w:rsidRDefault="00000000">
      <w:pPr>
        <w:shd w:val="clear" w:color="auto" w:fill="F0F4F8"/>
        <w:ind w:left="720" w:right="720"/>
      </w:pPr>
      <w:r>
        <w:rPr>
          <w:rFonts w:eastAsia="Courier New" w:cs="Courier New"/>
          <w:sz w:val="18"/>
          <w:szCs w:val="18"/>
        </w:rPr>
        <w:t xml:space="preserve">     50 </w:t>
      </w:r>
      <w:r>
        <w:rPr>
          <w:rFonts w:ascii="Arial" w:eastAsia="Courier New" w:hAnsi="Arial" w:cs="Arial"/>
          <w:sz w:val="18"/>
          <w:szCs w:val="18"/>
        </w:rPr>
        <w:t>──────────────────►</w:t>
      </w:r>
      <w:r>
        <w:rPr>
          <w:rFonts w:ascii="MS Gothic" w:eastAsia="MS Gothic" w:hAnsi="MS Gothic" w:cs="MS Gothic" w:hint="eastAsia"/>
          <w:sz w:val="18"/>
          <w:szCs w:val="18"/>
        </w:rPr>
        <w:t>│</w:t>
      </w:r>
      <w:r>
        <w:rPr>
          <w:rFonts w:eastAsia="Courier New" w:cs="Courier New"/>
          <w:sz w:val="18"/>
          <w:szCs w:val="18"/>
        </w:rPr>
        <w:t xml:space="preserve">  Aboriginal Australia          </w:t>
      </w:r>
    </w:p>
    <w:p w14:paraId="3CAC2E67" w14:textId="77777777" w:rsidR="00956260" w:rsidRPr="00D06480" w:rsidRDefault="00000000">
      <w:pPr>
        <w:shd w:val="clear" w:color="auto" w:fill="F0F4F8"/>
        <w:ind w:left="720" w:right="720"/>
      </w:pPr>
      <w:r>
        <w:rPr>
          <w:rFonts w:eastAsia="Courier New" w:cs="Courier New"/>
          <w:sz w:val="18"/>
          <w:szCs w:val="18"/>
        </w:rPr>
        <w:t xml:space="preserve">         band size        </w:t>
      </w:r>
      <w:r>
        <w:rPr>
          <w:rFonts w:ascii="MS Gothic" w:eastAsia="MS Gothic" w:hAnsi="MS Gothic" w:cs="MS Gothic" w:hint="eastAsia"/>
          <w:sz w:val="18"/>
          <w:szCs w:val="18"/>
        </w:rPr>
        <w:t>└</w:t>
      </w:r>
      <w:r>
        <w:rPr>
          <w:rFonts w:ascii="Arial" w:eastAsia="Courier New" w:hAnsi="Arial" w:cs="Arial"/>
          <w:sz w:val="18"/>
          <w:szCs w:val="18"/>
        </w:rPr>
        <w:t>───</w:t>
      </w:r>
      <w:r>
        <w:rPr>
          <w:rFonts w:eastAsia="Courier New" w:cs="Courier New"/>
          <w:sz w:val="18"/>
          <w:szCs w:val="18"/>
        </w:rPr>
        <w:t xml:space="preserve"> No Stage 3 / no state        </w:t>
      </w:r>
    </w:p>
    <w:p w14:paraId="347CF152" w14:textId="77777777" w:rsidR="00956260" w:rsidRPr="00D06480" w:rsidRDefault="00000000">
      <w:pPr>
        <w:shd w:val="clear" w:color="auto" w:fill="F0F4F8"/>
        <w:ind w:left="720" w:right="720"/>
      </w:pPr>
      <w:r>
        <w:rPr>
          <w:rFonts w:eastAsia="Courier New" w:cs="Courier New"/>
          <w:sz w:val="18"/>
          <w:szCs w:val="18"/>
        </w:rPr>
        <w:t xml:space="preserve">  </w:t>
      </w:r>
      <w:r>
        <w:rPr>
          <w:rFonts w:ascii="Arial" w:eastAsia="Courier New" w:hAnsi="Arial" w:cs="Arial"/>
          <w:sz w:val="18"/>
          <w:szCs w:val="18"/>
        </w:rPr>
        <w:t>──────────────────────────────────────────────────────────</w:t>
      </w:r>
    </w:p>
    <w:p w14:paraId="3842B0B4" w14:textId="77777777" w:rsidR="00956260" w:rsidRPr="00D06480" w:rsidRDefault="00000000">
      <w:pPr>
        <w:shd w:val="clear" w:color="auto" w:fill="F0F4F8"/>
        <w:ind w:left="720" w:right="720"/>
      </w:pPr>
      <w:r>
        <w:rPr>
          <w:rFonts w:eastAsia="Courier New" w:cs="Courier New"/>
          <w:sz w:val="18"/>
          <w:szCs w:val="18"/>
        </w:rPr>
        <w:t xml:space="preserve">  P7 PREDICTION: Stage 3 crossing expected above ~500;      </w:t>
      </w:r>
    </w:p>
    <w:p w14:paraId="7181C207" w14:textId="77777777" w:rsidR="00956260" w:rsidRPr="00D06480" w:rsidRDefault="00000000">
      <w:pPr>
        <w:shd w:val="clear" w:color="auto" w:fill="F0F4F8"/>
        <w:ind w:left="720" w:right="720"/>
      </w:pPr>
      <w:r>
        <w:rPr>
          <w:rFonts w:eastAsia="Courier New" w:cs="Courier New"/>
          <w:sz w:val="18"/>
          <w:szCs w:val="18"/>
        </w:rPr>
        <w:t xml:space="preserve">  absent or incomplete below this threshold regardless       </w:t>
      </w:r>
    </w:p>
    <w:p w14:paraId="19FD822D" w14:textId="77777777" w:rsidR="00956260" w:rsidRPr="00D06480" w:rsidRDefault="00000000">
      <w:pPr>
        <w:shd w:val="clear" w:color="auto" w:fill="F0F4F8"/>
        <w:ind w:left="720" w:right="720"/>
      </w:pPr>
      <w:r>
        <w:rPr>
          <w:rFonts w:eastAsia="Courier New" w:cs="Courier New"/>
          <w:sz w:val="18"/>
          <w:szCs w:val="18"/>
        </w:rPr>
        <w:t xml:space="preserve">  of Stage 1–2 richness.                                    </w:t>
      </w:r>
    </w:p>
    <w:p w14:paraId="2D77C6F3" w14:textId="77777777" w:rsidR="00956260" w:rsidRPr="00D06480" w:rsidRDefault="00000000">
      <w:pPr>
        <w:spacing w:before="100" w:after="240"/>
        <w:jc w:val="center"/>
      </w:pPr>
      <w:r>
        <w:rPr>
          <w:b/>
          <w:bCs/>
          <w:i/>
          <w:iCs/>
          <w:sz w:val="20"/>
          <w:szCs w:val="20"/>
        </w:rPr>
        <w:t>Figure 5. Prediction P7: the community size threshold for Stage 3 crossing. Source: Author (2026b).</w:t>
      </w:r>
    </w:p>
    <w:p w14:paraId="67182082" w14:textId="77777777" w:rsidR="00956260" w:rsidRPr="00D06480" w:rsidRDefault="00000000">
      <w:r>
        <w:br w:type="page"/>
      </w:r>
    </w:p>
    <w:p w14:paraId="23A3F8F7" w14:textId="77777777" w:rsidR="00956260" w:rsidRPr="00D06480" w:rsidRDefault="00000000">
      <w:pPr>
        <w:pStyle w:val="Heading1"/>
      </w:pPr>
      <w:r>
        <w:lastRenderedPageBreak/>
        <w:t>10. Limitations and Research Agenda</w:t>
      </w:r>
    </w:p>
    <w:p w14:paraId="6492D81F" w14:textId="77777777" w:rsidR="00956260" w:rsidRPr="00D06480" w:rsidRDefault="00000000" w:rsidP="00D06480">
      <w:pPr>
        <w:spacing w:after="160" w:line="360" w:lineRule="auto"/>
        <w:ind w:firstLine="720"/>
        <w:jc w:val="both"/>
      </w:pPr>
      <w:r>
        <w:rPr>
          <w:color w:val="000000"/>
        </w:rPr>
        <w:t>Four limitations bound the current state of the DSSM and define the empirical agenda. First, the neural timescale bridge involves generationally-scaled modeling that cannot be directly validated in archaeological contexts; detection window ranges are estimates derived from laboratory timescales and cultural transmission theory rather than direct archaeological measurements. The bridge is a theoretical translation, not an empirical measurement, and its application to specific sites and periods carries the uncertainty of that translation. Second, negative case FCP scoring — particularly for prehistoric Australia — relies partially on ethnographic and oral-historical sources, introducing a methodological asymmetry with purely archaeological positive cases. The Australian case is the DSSM's most powerful negative case, but its evidential foundation is structurally different from the Egyptian or Mesopotamian positive cases, and comparative scoring must acknowledge this asymmetry. Third, the Egyptian CV data reported across several papers are estimated from published assemblage reports rather than primary morphometric re-analysis; the quantitative claims are preliminary predictions for systematic testing rather than validated findings. Fourth, the community size estimates underlying P7 are derived from published demographic models rather than primary settlement area analysis, and require calibration against a broader comparative sample before P7's evidential weight can be assessed definitively.</w:t>
      </w:r>
    </w:p>
    <w:p w14:paraId="707A0689" w14:textId="77777777" w:rsidR="00956260" w:rsidRPr="00D06480" w:rsidRDefault="00000000">
      <w:pPr>
        <w:spacing w:after="160" w:line="360" w:lineRule="auto"/>
        <w:jc w:val="both"/>
      </w:pPr>
      <w:r>
        <w:rPr>
          <w:color w:val="000000"/>
        </w:rPr>
        <w:t>The elasticity problem remains the model's most serious theoretical vulnerability, and it deserves direct acknowledgment rather than euphemistic treatment. The four DSSM criteria — intergenerational repetition, spatial constraint, cross-media redundancy, persistence under stress — are potentially broad enough that sufficiently creative interpretation could satisfy them for almost any persistent cultural practice. The 2D FCP scoring system substantially addresses this by requiring independent S-axis confirmation (a pattern must require symbolic rather than functional explanation to score high on S), but the S-axis assessment itself ultimately depends on the analyst's judgment about whether a functional alternative hypothesis has been adequately ruled out. This risks circularity: a committed DSSM proponent could find evidence for symbolic stabilization in almost any context, while a skeptic could always invoke functional explanations. Future applications must specify in advance the functional alternative hypotheses that would need to be falsified for any given S-axis score, and must report the chi-square tests against null functional models that the FCP methodology specifies .</w:t>
      </w:r>
    </w:p>
    <w:p w14:paraId="1459977B" w14:textId="77777777" w:rsidR="00956260" w:rsidRPr="00D06480" w:rsidRDefault="00000000">
      <w:pPr>
        <w:spacing w:after="160" w:line="360" w:lineRule="auto"/>
        <w:jc w:val="both"/>
      </w:pPr>
      <w:r>
        <w:rPr>
          <w:color w:val="000000"/>
        </w:rPr>
        <w:lastRenderedPageBreak/>
        <w:t>The bootstrapping challenge is related but distinct: the model explains how symbolic systems stabilize and persist once they are established, but the origin of the first stabilizing practice is underspecified. The DSSM traces stabilization back to embodied practices — but all embodied practices presuppose some prior social context that makes them learnable, shareable, and transmissible. At some point, the regress must stop, and the model does not yet provide a fully satisfying account of how the very first symbolic convention acquires its force. This is not a fatal objection — it is a gap shared by essentially every theory of cultural origins — but it represents a theoretical frontier that the research agenda must address.</w:t>
      </w:r>
    </w:p>
    <w:p w14:paraId="4C14F7C4" w14:textId="77777777" w:rsidR="00956260" w:rsidRPr="00D06480" w:rsidRDefault="00000000">
      <w:pPr>
        <w:spacing w:after="160" w:line="360" w:lineRule="auto"/>
        <w:jc w:val="both"/>
      </w:pPr>
      <w:r>
        <w:rPr>
          <w:color w:val="000000"/>
        </w:rPr>
        <w:t>The research agenda has five priorities. First, systematic 2D FCP scoring across the full Naqada sequence using standardized morphometric protocols, generating per-stratum E and S scores with bootstrapped confidence intervals, constitutes the most urgent empirical priority — it would convert the Egyptian CV estimates from preliminary to validated. Second, development of FCP protocols adapted for the ethnographic-archaeological interface would enable consistent scoring of the Australian and Sub-Saharan African negative cases within the same measurement framework used for positive cases, eliminating the methodological asymmetry currently limiting those comparisons. Third, agent-based modeling of cultural transmission dynamics using the neural timescale bridge parameters would generate testable predictions about the temporal patterns of symbolic standardization under varying community size and connectivity conditions — predictions that could be evaluated against new settlement archaeology data as it becomes available. Fourth, collaborative cross-regional application of 2D FCP using standardized protocols, involving archaeologists with regional specialisms across all eight comparison cases, would reduce analyst-dependency in the scoring and increase the model's inter-rater reliability. Fifth, theoretical development of Stage 3 threshold conditions beyond the community size specification would address the most consequential remaining gap: the model specifies when Stage 3 pressure arises but not yet the precise material and social conditions determining whether communities successfully cross the threshold once the pressure is present .</w:t>
      </w:r>
    </w:p>
    <w:p w14:paraId="5B71E8E0" w14:textId="77777777" w:rsidR="00956260" w:rsidRPr="00D06480" w:rsidRDefault="00000000">
      <w:r>
        <w:br w:type="page"/>
      </w:r>
    </w:p>
    <w:p w14:paraId="3BFFCEF0" w14:textId="77777777" w:rsidR="00956260" w:rsidRPr="00D06480" w:rsidRDefault="00000000">
      <w:pPr>
        <w:pStyle w:val="Heading1"/>
      </w:pPr>
      <w:r>
        <w:lastRenderedPageBreak/>
        <w:t>11. Conclusion</w:t>
      </w:r>
    </w:p>
    <w:p w14:paraId="5FB2A6CD" w14:textId="77777777" w:rsidR="00956260" w:rsidRPr="00D06480" w:rsidRDefault="00000000" w:rsidP="00D06480">
      <w:pPr>
        <w:spacing w:after="160" w:line="360" w:lineRule="auto"/>
        <w:ind w:firstLine="720"/>
        <w:jc w:val="both"/>
      </w:pPr>
      <w:r>
        <w:rPr>
          <w:color w:val="000000"/>
        </w:rPr>
        <w:t>The Deep Symbolic Systems Model offers a framework that is simultaneously humbling and actionable. Humbling, because it reveals that the patterns governing civilizational emergence — and civilizational breakdown — are not products of individual genius, moral superiority, or cultural exceptionalism. They are structural outputs of mechanisms operating across deep time, available to any population given sufficient repetition, redundancy, and community size. Actionable, because once those mechanisms are specified with sufficient precision, they become subject to deliberate design.</w:t>
      </w:r>
    </w:p>
    <w:p w14:paraId="63B5E99A" w14:textId="77777777" w:rsidR="00956260" w:rsidRPr="00D06480" w:rsidRDefault="00000000">
      <w:pPr>
        <w:spacing w:after="160" w:line="360" w:lineRule="auto"/>
        <w:jc w:val="both"/>
      </w:pPr>
      <w:r>
        <w:rPr>
          <w:color w:val="000000"/>
        </w:rPr>
        <w:t>The 39-paper corpus synthesized here establishes the DSSM as the first fully operationalized, falsifiable, two-dimensionally scored, and negative-case-validated cognitive-archaeological model of civilizational emergence. It accounts for the Blombos Cave evidence at 100,000 BP, the Bruniquel Cave evidence at 176,000 BP, the divergent trajectories of Egypt and prehistoric Australia, the industrial gap between Europe and other metallurgically sophisticated regions, the collapse of international law as a symbolic system, and the AI race as a protocol competition — all within a single explanatory architecture.</w:t>
      </w:r>
    </w:p>
    <w:p w14:paraId="54CF9EB2" w14:textId="77777777" w:rsidR="00956260" w:rsidRPr="00D06480" w:rsidRDefault="00000000">
      <w:pPr>
        <w:spacing w:after="160" w:line="360" w:lineRule="auto"/>
        <w:jc w:val="both"/>
      </w:pPr>
      <w:r>
        <w:rPr>
          <w:color w:val="000000"/>
        </w:rPr>
        <w:t>The central finding is simple and far-reaching: civilization is not invented. It is rehearsed. The same mechanism that produced the Acheulean handaxe produced the UN Charter. Both are fossilized rituals. Both are subject to the same dynamics of stabilization, saturation, and breakdown. Both can, in principle, be deliberately rebuilt.</w:t>
      </w:r>
    </w:p>
    <w:p w14:paraId="3C080621" w14:textId="77777777" w:rsidR="00956260" w:rsidRPr="00D06480" w:rsidRDefault="00000000">
      <w:pPr>
        <w:spacing w:after="160" w:line="360" w:lineRule="auto"/>
        <w:jc w:val="both"/>
      </w:pPr>
      <w:r>
        <w:rPr>
          <w:color w:val="000000"/>
        </w:rPr>
        <w:t>The world of 2026 is in the process of deciding which symbolic systems will be allowed to fossilize next — in semiconductor supply chains, AI governance forums, reconstruction frameworks, and the daily choices of dominant actors about whether to invest in shared symbolic infrastructure or extract short-term advantage from its erosion. The DSSM does not predict the outcome. It specifies the mechanism. The outcome remains a design choice.</w:t>
      </w:r>
    </w:p>
    <w:p w14:paraId="1ADFF64F" w14:textId="77777777" w:rsidR="00956260" w:rsidRPr="00D06480" w:rsidRDefault="00000000">
      <w:r>
        <w:br w:type="page"/>
      </w:r>
    </w:p>
    <w:p w14:paraId="1CF8F1C5" w14:textId="77777777" w:rsidR="00956260" w:rsidRDefault="00000000">
      <w:pPr>
        <w:pStyle w:val="Heading1"/>
      </w:pPr>
      <w:r>
        <w:lastRenderedPageBreak/>
        <w:t>Code and Data Availability Statement</w:t>
      </w:r>
    </w:p>
    <w:p w14:paraId="155FC778" w14:textId="77777777" w:rsidR="00956260" w:rsidRDefault="00000000">
      <w:pPr>
        <w:spacing w:after="160" w:line="480" w:lineRule="auto"/>
        <w:ind w:firstLine="720"/>
        <w:jc w:val="both"/>
      </w:pPr>
      <w:r>
        <w:t>This paper is a theoretical synthesis and does not involve original empirical data collection, computational analyses, or custom code. No datasets were generated or analyzed in the production of this manuscript. The paper draws on published archaeological, neurological, and cognitive science literature, all of which is cited in the references. The Field Companion Protocol (FCP) scoring instrument, the DSSM decision matrix, and all derived scores reported in this paper are documented in full within the manuscript and its tables, enabling independent replication of all evaluative procedures without additional data or code. The underlying corpus of working papers from which this synthesis is derived is publicly available via open-access repositories (OSF, Figshare, Zenodo) under the author’s ORCID profile [redacted for review].</w:t>
      </w:r>
    </w:p>
    <w:p w14:paraId="16740337" w14:textId="77777777" w:rsidR="00956260" w:rsidRPr="00D06480" w:rsidRDefault="00000000">
      <w:pPr>
        <w:pStyle w:val="Heading1"/>
      </w:pPr>
      <w:r>
        <w:t>12. AI Disclosure</w:t>
      </w:r>
    </w:p>
    <w:p w14:paraId="7BAC066E" w14:textId="77777777" w:rsidR="00956260" w:rsidRPr="00D06480" w:rsidRDefault="00000000" w:rsidP="00D06480">
      <w:pPr>
        <w:spacing w:after="160" w:line="360" w:lineRule="auto"/>
        <w:ind w:firstLine="720"/>
        <w:jc w:val="both"/>
      </w:pPr>
      <w:r>
        <w:rPr>
          <w:color w:val="000000"/>
        </w:rPr>
        <w:t xml:space="preserve">This paper </w:t>
      </w:r>
      <w:r>
        <w:rPr>
          <w:color w:val="000000"/>
          <w:lang w:val="en-US"/>
        </w:rPr>
        <w:t>was produced</w:t>
      </w:r>
      <w:r>
        <w:rPr>
          <w:color w:val="000000"/>
        </w:rPr>
        <w:t xml:space="preserve"> with the assistance of Claude, Anthropic's AI system (claude.ai, Sonnet 4.6). The nature of that assistance warrants transparent disclosure, both for scholarly integrity and because the process is itself theoretically interesting within the DSSM framework.</w:t>
      </w:r>
    </w:p>
    <w:p w14:paraId="117FA5AC" w14:textId="77777777" w:rsidR="00956260" w:rsidRPr="00D06480" w:rsidRDefault="00000000">
      <w:pPr>
        <w:spacing w:after="160" w:line="360" w:lineRule="auto"/>
        <w:jc w:val="both"/>
      </w:pPr>
      <w:r>
        <w:rPr>
          <w:color w:val="000000"/>
        </w:rPr>
        <w:t>The theoretical framework, all core DSSM arguments, the archaeological interpretations, the falsification architecture, and the intellectual responsibility for every claim in this paper are solely those of the author. [Name redacted for review] The AI was used in the following specific ways: drafting and editing prose across multiple papers; stress-testing arguments through iterative dialogue; generating structural outlines for complex synthesis documents; applying the established DSSM framework to contemporary geopolitical events ('The World as Fossilized Power'); and compiling and formatting reference lists. In no case did the AI generate the theoretical positions; it extended and expressed positions developed by the author.</w:t>
      </w:r>
    </w:p>
    <w:p w14:paraId="690366C3" w14:textId="77777777" w:rsidR="00956260" w:rsidRPr="00D06480" w:rsidRDefault="00000000">
      <w:pPr>
        <w:spacing w:after="160" w:line="360" w:lineRule="auto"/>
        <w:jc w:val="both"/>
      </w:pPr>
      <w:r>
        <w:rPr>
          <w:color w:val="000000"/>
        </w:rPr>
        <w:t xml:space="preserve">The disclosure is transparent across the corpus. 'The World as Fossilized Power'  carries the most explicit disclosure, noting that the AI applied the DSSM framework to current geopolitical situations through a structured synthesis session, compressing what would have been months of synthesis work </w:t>
      </w:r>
      <w:r>
        <w:rPr>
          <w:color w:val="000000"/>
        </w:rPr>
        <w:lastRenderedPageBreak/>
        <w:t>into a single session. The author reviewed, corrected, and takes intellectual responsibility for the final content.</w:t>
      </w:r>
    </w:p>
    <w:p w14:paraId="428A3848" w14:textId="77777777" w:rsidR="00956260" w:rsidRPr="00D06480" w:rsidRDefault="00000000">
      <w:pPr>
        <w:spacing w:after="160" w:line="360" w:lineRule="auto"/>
        <w:jc w:val="both"/>
      </w:pPr>
      <w:r>
        <w:rPr>
          <w:color w:val="000000"/>
        </w:rPr>
        <w:t>The recursion is worth noting explicitly. This is a paper about symbolic systems and cognitive offloading, produced through cognitive offloading, examining a world being transformed by cognitive offloading. The AI did not generate the framework; it extended it — which is precisely what the DSSM predicts good protocols do. The use of AI in this scholarship is not a methodological compromise; it is a practical application of the model's own central claim: that cognitive offloading into external symbolic systems is how humans have always extended their reach beyond individual biological capacity.</w:t>
      </w:r>
    </w:p>
    <w:p w14:paraId="4B9DFC25" w14:textId="77777777" w:rsidR="00956260" w:rsidRPr="00D06480" w:rsidRDefault="00000000">
      <w:pPr>
        <w:spacing w:after="160" w:line="360" w:lineRule="auto"/>
        <w:jc w:val="both"/>
      </w:pPr>
      <w:r>
        <w:rPr>
          <w:color w:val="000000"/>
        </w:rPr>
        <w:t>Readers are invited to treat this disclosure not as a caveat but as evidence. The DSSM claims that AI systems are functional analogues of human symbolic stabilization mechanisms, performing the transformation from repetition to symbol to protocol through computational rather than embodied means. The production of this corpus through human-AI collaboration is a case study in that claim, conducted in real time.</w:t>
      </w:r>
    </w:p>
    <w:p w14:paraId="06DEF70E" w14:textId="77777777" w:rsidR="00956260" w:rsidRPr="00D06480" w:rsidRDefault="00000000" w:rsidP="00D06480">
      <w:r>
        <w:br w:type="page"/>
      </w:r>
      <w:r>
        <w:rPr>
          <w:b/>
          <w:bCs/>
          <w:caps/>
          <w:sz w:val="28"/>
          <w:szCs w:val="28"/>
        </w:rPr>
        <w:lastRenderedPageBreak/>
        <w:t>13. Glossary</w:t>
      </w:r>
    </w:p>
    <w:p w14:paraId="32B87EDF" w14:textId="77777777" w:rsidR="00956260" w:rsidRPr="00D06480" w:rsidRDefault="00000000">
      <w:pPr>
        <w:spacing w:after="120" w:line="360" w:lineRule="auto"/>
        <w:jc w:val="both"/>
      </w:pPr>
      <w:r>
        <w:rPr>
          <w:b/>
          <w:bCs/>
        </w:rPr>
        <w:t xml:space="preserve">Cognitive Offloading: </w:t>
      </w:r>
      <w:r>
        <w:t>The transfer of memory, coordination, or authority from individual cognition into external systems — tools, institutions, writing, or infrastructure.</w:t>
      </w:r>
    </w:p>
    <w:p w14:paraId="6AE7FFFC" w14:textId="77777777" w:rsidR="00956260" w:rsidRPr="00D06480" w:rsidRDefault="00000000">
      <w:pPr>
        <w:spacing w:after="120" w:line="360" w:lineRule="auto"/>
        <w:jc w:val="both"/>
      </w:pPr>
      <w:r>
        <w:rPr>
          <w:b/>
          <w:bCs/>
        </w:rPr>
        <w:t xml:space="preserve">Coefficient of Variation (CV): </w:t>
      </w:r>
      <w:r>
        <w:t>A statistical measure (standard deviation divided by mean) used in DSSM to track artifact standardization across strata. CV below 0.25 indicates Stage 2 onset; below 0.15 indicates Stage 3 completion.</w:t>
      </w:r>
    </w:p>
    <w:p w14:paraId="6154519E" w14:textId="77777777" w:rsidR="00956260" w:rsidRPr="00D06480" w:rsidRDefault="00000000">
      <w:pPr>
        <w:spacing w:after="120" w:line="360" w:lineRule="auto"/>
        <w:jc w:val="both"/>
      </w:pPr>
      <w:r>
        <w:rPr>
          <w:b/>
          <w:bCs/>
        </w:rPr>
        <w:t xml:space="preserve">Deep Symbolic Systems Model (DSSM): </w:t>
      </w:r>
      <w:r>
        <w:t>The theoretical framework developed by the author arguing that civilization advances through the recursive stabilization of embodied practices into durable symbolic systems.</w:t>
      </w:r>
    </w:p>
    <w:p w14:paraId="7ACC09F7" w14:textId="77777777" w:rsidR="00956260" w:rsidRPr="00D06480" w:rsidRDefault="00000000">
      <w:pPr>
        <w:spacing w:after="120" w:line="360" w:lineRule="auto"/>
        <w:jc w:val="both"/>
      </w:pPr>
      <w:r>
        <w:rPr>
          <w:b/>
          <w:bCs/>
        </w:rPr>
        <w:t xml:space="preserve">Distributed Symbolic Authority: </w:t>
      </w:r>
      <w:r>
        <w:t>The condition in which symbolic practices are maintained, recognized, and enforced across multiple geographically dispersed sites rather than through centralized control.</w:t>
      </w:r>
    </w:p>
    <w:p w14:paraId="00A73455" w14:textId="77777777" w:rsidR="00956260" w:rsidRPr="00D06480" w:rsidRDefault="00000000">
      <w:pPr>
        <w:spacing w:after="120" w:line="360" w:lineRule="auto"/>
        <w:jc w:val="both"/>
      </w:pPr>
      <w:r>
        <w:rPr>
          <w:b/>
          <w:bCs/>
        </w:rPr>
        <w:t xml:space="preserve">Embodied Symbolic Familiarity: </w:t>
      </w:r>
      <w:r>
        <w:t>Stage 1 of the DSSM developmental sequence: repeated, physically grounded actions forming the substrate of symbolic load.</w:t>
      </w:r>
    </w:p>
    <w:p w14:paraId="298F4E10" w14:textId="77777777" w:rsidR="00956260" w:rsidRPr="00D06480" w:rsidRDefault="00000000">
      <w:pPr>
        <w:spacing w:after="120" w:line="360" w:lineRule="auto"/>
        <w:jc w:val="both"/>
      </w:pPr>
      <w:r>
        <w:rPr>
          <w:b/>
          <w:bCs/>
        </w:rPr>
        <w:t xml:space="preserve">Externalized Cognition: </w:t>
      </w:r>
      <w:r>
        <w:t>The materialization of cognitive processes outside individual minds, embedded in durable artifacts, landscapes, or institutions.</w:t>
      </w:r>
    </w:p>
    <w:p w14:paraId="79B28397" w14:textId="77777777" w:rsidR="00956260" w:rsidRPr="00D06480" w:rsidRDefault="00000000">
      <w:pPr>
        <w:spacing w:after="120" w:line="360" w:lineRule="auto"/>
        <w:jc w:val="both"/>
      </w:pPr>
      <w:r>
        <w:rPr>
          <w:b/>
          <w:bCs/>
        </w:rPr>
        <w:t xml:space="preserve">Field Companion Protocol (FCP): </w:t>
      </w:r>
      <w:r>
        <w:t>The DSSM's operational measurement instrument: six observables (Mnemonic Architectures, Symbolic Stabilization, Externalized Cognition, Symbolic Regulation, Distributed Symbolic Authority, Portable Symbolic Anchors) scored 0–2. Saturation requires total ≥7/8 with no criterion at 0.</w:t>
      </w:r>
    </w:p>
    <w:p w14:paraId="506F4402" w14:textId="77777777" w:rsidR="00956260" w:rsidRPr="00D06480" w:rsidRDefault="00000000">
      <w:pPr>
        <w:spacing w:after="120" w:line="360" w:lineRule="auto"/>
        <w:jc w:val="both"/>
      </w:pPr>
      <w:r>
        <w:rPr>
          <w:b/>
          <w:bCs/>
        </w:rPr>
        <w:t xml:space="preserve">Fossilized Ritual: </w:t>
      </w:r>
      <w:r>
        <w:t>Technology, institution, or protocol understood as a stabilized ritual practice rendered material — the central metaphor of the extended DSSM.</w:t>
      </w:r>
    </w:p>
    <w:p w14:paraId="5790E474" w14:textId="77777777" w:rsidR="00956260" w:rsidRPr="00D06480" w:rsidRDefault="00000000">
      <w:pPr>
        <w:spacing w:after="120" w:line="360" w:lineRule="auto"/>
        <w:jc w:val="both"/>
      </w:pPr>
      <w:r>
        <w:rPr>
          <w:b/>
          <w:bCs/>
        </w:rPr>
        <w:t xml:space="preserve">Material Amplification: </w:t>
      </w:r>
      <w:r>
        <w:t>Stage 3 of the DSSM developmental sequence: externalization of symbolic load into durable media when community size exceeds the transmission fidelity threshold.</w:t>
      </w:r>
    </w:p>
    <w:p w14:paraId="6C992D46" w14:textId="77777777" w:rsidR="00956260" w:rsidRPr="00D06480" w:rsidRDefault="00000000">
      <w:pPr>
        <w:spacing w:after="120" w:line="360" w:lineRule="auto"/>
        <w:jc w:val="both"/>
      </w:pPr>
      <w:r>
        <w:rPr>
          <w:b/>
          <w:bCs/>
        </w:rPr>
        <w:t xml:space="preserve">Mnemonic Architecture: </w:t>
      </w:r>
      <w:r>
        <w:t>A material form (landscape feature, building, settlement layout) that encodes and externalizes culturally significant information, enabling intergenerational memory.</w:t>
      </w:r>
    </w:p>
    <w:p w14:paraId="4B6ACF4A" w14:textId="77777777" w:rsidR="00956260" w:rsidRPr="00D06480" w:rsidRDefault="00000000">
      <w:pPr>
        <w:spacing w:after="120" w:line="360" w:lineRule="auto"/>
        <w:jc w:val="both"/>
      </w:pPr>
      <w:r>
        <w:rPr>
          <w:b/>
          <w:bCs/>
        </w:rPr>
        <w:t xml:space="preserve">Min-Rule: </w:t>
      </w:r>
      <w:r>
        <w:t>The 2D FCP combination rule: final score per observable = min(Evidence Strength, Symbolic Specificity), preventing evidence robustness from compensating for symbolic ambiguity.</w:t>
      </w:r>
    </w:p>
    <w:p w14:paraId="5B9F2345" w14:textId="77777777" w:rsidR="00956260" w:rsidRPr="00D06480" w:rsidRDefault="00000000">
      <w:pPr>
        <w:spacing w:after="120" w:line="360" w:lineRule="auto"/>
        <w:jc w:val="both"/>
      </w:pPr>
      <w:r>
        <w:rPr>
          <w:b/>
          <w:bCs/>
        </w:rPr>
        <w:lastRenderedPageBreak/>
        <w:t xml:space="preserve">Neural Timescale Bridge: </w:t>
      </w:r>
      <w:r>
        <w:t>The DSSM method of deriving archaeologically detectable detection windows from laboratory-demonstrated neural consolidation timescales.</w:t>
      </w:r>
    </w:p>
    <w:p w14:paraId="031902A9" w14:textId="77777777" w:rsidR="00956260" w:rsidRPr="00D06480" w:rsidRDefault="00000000">
      <w:pPr>
        <w:spacing w:after="120" w:line="360" w:lineRule="auto"/>
        <w:jc w:val="both"/>
      </w:pPr>
      <w:r>
        <w:rPr>
          <w:b/>
          <w:bCs/>
        </w:rPr>
        <w:t xml:space="preserve">Portable Symbolic Anchor: </w:t>
      </w:r>
      <w:r>
        <w:t>A standardized, mobile object that functions as an inter-community symbolic carrier — jade in East Asia and Mesoamerica; shell beads at Blombos Cave; Vinca tablets in Neolithic Europe.</w:t>
      </w:r>
    </w:p>
    <w:p w14:paraId="7187B2C8" w14:textId="77777777" w:rsidR="00956260" w:rsidRPr="00D06480" w:rsidRDefault="00000000">
      <w:pPr>
        <w:spacing w:after="120" w:line="360" w:lineRule="auto"/>
        <w:jc w:val="both"/>
      </w:pPr>
      <w:r>
        <w:rPr>
          <w:b/>
          <w:bCs/>
        </w:rPr>
        <w:t xml:space="preserve">Protocol: </w:t>
      </w:r>
      <w:r>
        <w:t>A stabilized, repeatable symbolic system governing action across individuals and institutions — the final product of the ritual-to-protocol transformation.</w:t>
      </w:r>
    </w:p>
    <w:p w14:paraId="7DE294FF" w14:textId="77777777" w:rsidR="00956260" w:rsidRPr="00D06480" w:rsidRDefault="00000000">
      <w:pPr>
        <w:spacing w:after="120" w:line="360" w:lineRule="auto"/>
        <w:jc w:val="both"/>
      </w:pPr>
      <w:r>
        <w:rPr>
          <w:b/>
          <w:bCs/>
        </w:rPr>
        <w:t xml:space="preserve">Ritualized Repetition: </w:t>
      </w:r>
      <w:r>
        <w:t>Stage 2 of the DSSM developmental sequence: social constraint of embodied practices into stylized, learnable, culturally transmissible patterns.</w:t>
      </w:r>
    </w:p>
    <w:p w14:paraId="787AF272" w14:textId="77777777" w:rsidR="00956260" w:rsidRPr="00D06480" w:rsidRDefault="00000000">
      <w:pPr>
        <w:spacing w:after="120" w:line="360" w:lineRule="auto"/>
        <w:jc w:val="both"/>
      </w:pPr>
      <w:r>
        <w:rPr>
          <w:b/>
          <w:bCs/>
        </w:rPr>
        <w:t xml:space="preserve">Symbolic Load: </w:t>
      </w:r>
      <w:r>
        <w:t>The accumulated meaning carried by repeated symbolic practices — the quantity that must be managed, transmitted, and protected from drift.</w:t>
      </w:r>
    </w:p>
    <w:p w14:paraId="1FB3EA57" w14:textId="77777777" w:rsidR="00956260" w:rsidRPr="00D06480" w:rsidRDefault="00000000">
      <w:pPr>
        <w:spacing w:after="120" w:line="360" w:lineRule="auto"/>
        <w:jc w:val="both"/>
      </w:pPr>
      <w:r>
        <w:rPr>
          <w:b/>
          <w:bCs/>
        </w:rPr>
        <w:t xml:space="preserve">Symbolic Regulation: </w:t>
      </w:r>
      <w:r>
        <w:t>Constraints on production or deposition that override functional optimization — the archaeological signature of rule-governed symbolic behavior.</w:t>
      </w:r>
    </w:p>
    <w:p w14:paraId="5431C6DF" w14:textId="77777777" w:rsidR="00956260" w:rsidRPr="00D06480" w:rsidRDefault="00000000">
      <w:pPr>
        <w:spacing w:after="120" w:line="360" w:lineRule="auto"/>
        <w:jc w:val="both"/>
      </w:pPr>
      <w:r>
        <w:rPr>
          <w:b/>
          <w:bCs/>
        </w:rPr>
        <w:t xml:space="preserve">Symbolic Stabilization: </w:t>
      </w:r>
      <w:r>
        <w:t>The structural condition in which a symbolic system persists independently of individual agents and episodic transmission, satisfying all four DSSM criteria.</w:t>
      </w:r>
    </w:p>
    <w:p w14:paraId="14A74CDB" w14:textId="77777777" w:rsidR="00956260" w:rsidRPr="00D06480" w:rsidRDefault="00000000">
      <w:pPr>
        <w:spacing w:after="120" w:line="360" w:lineRule="auto"/>
        <w:jc w:val="both"/>
      </w:pPr>
      <w:r>
        <w:rPr>
          <w:b/>
          <w:bCs/>
        </w:rPr>
        <w:t xml:space="preserve">Symbolic Sufficiency: </w:t>
      </w:r>
      <w:r>
        <w:t>The DSSM concept describing systems (exemplified by prehistoric Sri Lanka) in which ritual and cognitive continuity is maintained without requiring architectural amplification.</w:t>
      </w:r>
    </w:p>
    <w:p w14:paraId="713C19FD" w14:textId="77777777" w:rsidR="00956260" w:rsidRPr="00D06480" w:rsidRDefault="00000000">
      <w:pPr>
        <w:spacing w:after="120" w:line="360" w:lineRule="auto"/>
        <w:jc w:val="both"/>
      </w:pPr>
      <w:r>
        <w:rPr>
          <w:b/>
          <w:bCs/>
        </w:rPr>
        <w:t xml:space="preserve">Transmission Fidelity Model: </w:t>
      </w:r>
      <w:r>
        <w:t>The DSSM mechanism for Stage 3 crossing: when community size consistently exceeds approximately 500 individuals, face-to-face transmission cannot maintain symbolic fidelity, generating pressure to externalize into durable portable media.</w:t>
      </w:r>
    </w:p>
    <w:p w14:paraId="29BDF41A" w14:textId="77777777" w:rsidR="00956260" w:rsidRPr="00D06480" w:rsidRDefault="00000000">
      <w:r>
        <w:br w:type="page"/>
      </w:r>
    </w:p>
    <w:p w14:paraId="774A4037" w14:textId="77777777" w:rsidR="00956260" w:rsidRPr="00D06480" w:rsidRDefault="00000000">
      <w:pPr>
        <w:pStyle w:val="Heading1"/>
      </w:pPr>
      <w:r>
        <w:lastRenderedPageBreak/>
        <w:t>References</w:t>
      </w:r>
    </w:p>
    <w:p w14:paraId="768E75B6" w14:textId="77777777" w:rsidR="00956260" w:rsidRPr="00D06480" w:rsidRDefault="00000000">
      <w:pPr>
        <w:spacing w:after="80" w:line="480" w:lineRule="auto"/>
        <w:ind w:hanging="720"/>
        <w:jc w:val="both"/>
      </w:pPr>
      <w:r>
        <w:t>Bourdieu, P. (1990). The logic of practice. Stanford University Press.</w:t>
      </w:r>
    </w:p>
    <w:p w14:paraId="5246D15C" w14:textId="77777777" w:rsidR="00956260" w:rsidRPr="00D06480" w:rsidRDefault="00000000">
      <w:pPr>
        <w:spacing w:after="80" w:line="480" w:lineRule="auto"/>
        <w:ind w:hanging="720"/>
        <w:jc w:val="both"/>
      </w:pPr>
      <w:r>
        <w:t>Coolidge, F. L., &amp; Wynn, T. (2001). Executive functions of the frontal lobes and the evolutionary ascendancy of Homo sapiens. Cambridge Archaeological Journal, 11(2), 255–260.</w:t>
      </w:r>
    </w:p>
    <w:p w14:paraId="01DA9536" w14:textId="77777777" w:rsidR="00956260" w:rsidRPr="00D06480" w:rsidRDefault="00000000">
      <w:pPr>
        <w:spacing w:after="80" w:line="480" w:lineRule="auto"/>
        <w:ind w:hanging="720"/>
        <w:jc w:val="both"/>
      </w:pPr>
      <w:r>
        <w:t>Coolidge, F. L., &amp; Wynn, T. (2005). Working memory, its executive functions, and the emergence of modern thinking. Cambridge Archaeological Journal, 15(1), 5–26.</w:t>
      </w:r>
    </w:p>
    <w:p w14:paraId="399AE37A" w14:textId="77777777" w:rsidR="00956260" w:rsidRPr="00D06480" w:rsidRDefault="00000000">
      <w:pPr>
        <w:spacing w:after="80" w:line="480" w:lineRule="auto"/>
        <w:ind w:hanging="720"/>
        <w:jc w:val="both"/>
      </w:pPr>
      <w:r>
        <w:t>Coolidge, F. L., &amp; Wynn, T. (2012). How to think like a Neandertal. Oxford University Press.</w:t>
      </w:r>
    </w:p>
    <w:p w14:paraId="06159545" w14:textId="77777777" w:rsidR="00956260" w:rsidRPr="00D06480" w:rsidRDefault="00000000">
      <w:pPr>
        <w:spacing w:after="80" w:line="480" w:lineRule="auto"/>
        <w:ind w:hanging="720"/>
        <w:jc w:val="both"/>
      </w:pPr>
      <w:r>
        <w:t>Davin, L., Munro, N. D., &amp; Grosman, L. (2025). A 12,000-year-old clay figurine of a woman and a goose marks symbolic innovations in Southwest Asia. Proceedings of the National Academy of Sciences, 122(47), e2517509122. https://doi.org/10.1073/pnas.2517509122</w:t>
      </w:r>
    </w:p>
    <w:p w14:paraId="050C294C" w14:textId="77777777" w:rsidR="00956260" w:rsidRPr="00D06480" w:rsidRDefault="00000000">
      <w:pPr>
        <w:spacing w:after="80" w:line="480" w:lineRule="auto"/>
        <w:ind w:hanging="720"/>
        <w:jc w:val="both"/>
      </w:pPr>
      <w:r>
        <w:t>Graybiel, A. M. (2008). Habits, rituals, and the evaluative brain. Annual Review of Neuroscience, 31, 359–387.</w:t>
      </w:r>
    </w:p>
    <w:p w14:paraId="3E99090C" w14:textId="77777777" w:rsidR="00956260" w:rsidRPr="00D06480" w:rsidRDefault="00000000">
      <w:pPr>
        <w:spacing w:after="80" w:line="480" w:lineRule="auto"/>
        <w:ind w:hanging="720"/>
        <w:jc w:val="both"/>
      </w:pPr>
      <w:r>
        <w:t>Henrich, J. (2015). The secret of our success: How culture is driving human evolution, domesticating our species, and making us smarter. Princeton University Press.</w:t>
      </w:r>
    </w:p>
    <w:p w14:paraId="0FFCF34B" w14:textId="77777777" w:rsidR="00956260" w:rsidRPr="00D06480" w:rsidRDefault="00000000">
      <w:pPr>
        <w:spacing w:after="80" w:line="480" w:lineRule="auto"/>
        <w:ind w:hanging="720"/>
        <w:jc w:val="both"/>
      </w:pPr>
      <w:r>
        <w:t>Henshilwood, C. S., &amp; Dubreuil, B. (2022). Materiality and symbolic cognition in the Middle Stone Age. Journal of Human Evolution, 162, 103109.</w:t>
      </w:r>
    </w:p>
    <w:p w14:paraId="760E473B" w14:textId="77777777" w:rsidR="00956260" w:rsidRPr="00D06480" w:rsidRDefault="00000000">
      <w:pPr>
        <w:spacing w:after="80" w:line="480" w:lineRule="auto"/>
        <w:ind w:hanging="720"/>
        <w:jc w:val="both"/>
      </w:pPr>
      <w:r>
        <w:t>Henshilwood, C. S., d’Errico, F., Yates, R., et al. (2002). Emergence of modern human behavior: Middle Stone Age engravings from South Africa. Science, 295(5558), 1278–1280.</w:t>
      </w:r>
    </w:p>
    <w:p w14:paraId="1CCF8B1C" w14:textId="77777777" w:rsidR="00956260" w:rsidRPr="00D06480" w:rsidRDefault="00000000">
      <w:pPr>
        <w:spacing w:after="80" w:line="480" w:lineRule="auto"/>
        <w:ind w:hanging="720"/>
        <w:jc w:val="both"/>
      </w:pPr>
      <w:r>
        <w:t>Henshilwood, C. S., d’Errico, F., van Niekerk, K. L., et al. (2018). An abstract drawing from the 73,000-year-old levels at Blombos Cave, South Africa. Nature, 562, 115–118.</w:t>
      </w:r>
    </w:p>
    <w:p w14:paraId="61188191" w14:textId="77777777" w:rsidR="00956260" w:rsidRPr="00D06480" w:rsidRDefault="00000000">
      <w:pPr>
        <w:spacing w:after="80" w:line="480" w:lineRule="auto"/>
        <w:ind w:hanging="720"/>
        <w:jc w:val="both"/>
      </w:pPr>
      <w:r>
        <w:t>Hodder, I. (2006). Çatalhöyük excavations: Architecture and social practice. Cambridge University Press.</w:t>
      </w:r>
    </w:p>
    <w:p w14:paraId="042F9410" w14:textId="77777777" w:rsidR="00956260" w:rsidRPr="00D06480" w:rsidRDefault="00000000">
      <w:pPr>
        <w:spacing w:after="80" w:line="480" w:lineRule="auto"/>
        <w:ind w:hanging="720"/>
        <w:jc w:val="both"/>
      </w:pPr>
      <w:r>
        <w:lastRenderedPageBreak/>
        <w:t>Hodder, I. (2012). Entangled: An archaeology of the relationships between humans and things. Wiley-Blackwell.</w:t>
      </w:r>
    </w:p>
    <w:p w14:paraId="304FCB02" w14:textId="77777777" w:rsidR="00956260" w:rsidRPr="00D06480" w:rsidRDefault="00000000">
      <w:pPr>
        <w:spacing w:after="80" w:line="480" w:lineRule="auto"/>
        <w:ind w:hanging="720"/>
        <w:jc w:val="both"/>
      </w:pPr>
      <w:r>
        <w:t>Hodder, I. (2020). Entanglement and symbolic persistence. Cambridge University Press.</w:t>
      </w:r>
    </w:p>
    <w:p w14:paraId="002BD11D" w14:textId="77777777" w:rsidR="00956260" w:rsidRPr="00D06480" w:rsidRDefault="00000000">
      <w:pPr>
        <w:spacing w:after="80" w:line="480" w:lineRule="auto"/>
        <w:ind w:hanging="720"/>
        <w:jc w:val="both"/>
      </w:pPr>
      <w:r>
        <w:t>Hodder, I. (2021). Where are we heading? The evolution of humans and things. Yale University Press.</w:t>
      </w:r>
    </w:p>
    <w:p w14:paraId="2C0200A8" w14:textId="77777777" w:rsidR="00956260" w:rsidRPr="00D06480" w:rsidRDefault="00000000">
      <w:pPr>
        <w:spacing w:after="80" w:line="480" w:lineRule="auto"/>
        <w:ind w:hanging="720"/>
        <w:jc w:val="both"/>
      </w:pPr>
      <w:r>
        <w:t>Hutchins, E. (1995). Cognition in the wild. MIT Press.</w:t>
      </w:r>
    </w:p>
    <w:p w14:paraId="63DFEC92" w14:textId="77777777" w:rsidR="00956260" w:rsidRPr="00D06480" w:rsidRDefault="00000000">
      <w:pPr>
        <w:spacing w:after="80" w:line="480" w:lineRule="auto"/>
        <w:ind w:hanging="720"/>
        <w:jc w:val="both"/>
      </w:pPr>
      <w:r>
        <w:t>Huyge, D. (2011). Qurta revisited: Further evidence of Pleistocene rock art in the Nile Valley. Antiquity, 85(330), 1339–1348.</w:t>
      </w:r>
    </w:p>
    <w:p w14:paraId="20838677" w14:textId="77777777" w:rsidR="00956260" w:rsidRPr="00D06480" w:rsidRDefault="00000000">
      <w:pPr>
        <w:spacing w:after="80" w:line="480" w:lineRule="auto"/>
        <w:ind w:hanging="720"/>
        <w:jc w:val="both"/>
      </w:pPr>
      <w:r>
        <w:t>Jarrige, C. (2008). Mehrgarh: Field reports 1974–1985. CNRS Press.</w:t>
      </w:r>
    </w:p>
    <w:p w14:paraId="70CA4C82" w14:textId="77777777" w:rsidR="00956260" w:rsidRPr="00D06480" w:rsidRDefault="00000000">
      <w:pPr>
        <w:spacing w:after="80" w:line="480" w:lineRule="auto"/>
        <w:ind w:hanging="720"/>
        <w:jc w:val="both"/>
      </w:pPr>
      <w:r>
        <w:t>Jarrige, J.-F., &amp; Meadow, R. (2008). Mehrgarh: Field reports and interpretations. French Archaeological Mission to the Indus.</w:t>
      </w:r>
    </w:p>
    <w:p w14:paraId="1BE609CB" w14:textId="77777777" w:rsidR="00956260" w:rsidRPr="00D06480" w:rsidRDefault="00000000">
      <w:pPr>
        <w:spacing w:after="80" w:line="480" w:lineRule="auto"/>
        <w:ind w:hanging="720"/>
        <w:jc w:val="both"/>
      </w:pPr>
      <w:r>
        <w:t>Jaubert, J., Verheyden, S., Genty, D., Soulier, M., et al. (2016). Early Neanderthal constructions deep in Bruniquel Cave. Nature, 534, 111–114.</w:t>
      </w:r>
    </w:p>
    <w:p w14:paraId="6312803E" w14:textId="77777777" w:rsidR="00956260" w:rsidRPr="00D06480" w:rsidRDefault="00000000">
      <w:pPr>
        <w:spacing w:after="80" w:line="480" w:lineRule="auto"/>
        <w:ind w:hanging="720"/>
        <w:jc w:val="both"/>
      </w:pPr>
      <w:r>
        <w:t>Keen, I. (2018). Language, mobility, and spiritual power in Aboriginal Australia. Journal of the Royal Anthropological Institute, 24(2), 334–352.</w:t>
      </w:r>
    </w:p>
    <w:p w14:paraId="57CEC003" w14:textId="77777777" w:rsidR="00956260" w:rsidRPr="00D06480" w:rsidRDefault="00000000">
      <w:pPr>
        <w:spacing w:after="80" w:line="480" w:lineRule="auto"/>
        <w:ind w:hanging="720"/>
        <w:jc w:val="both"/>
      </w:pPr>
      <w:r>
        <w:t>Kemp, B. J. (2006). Ancient Egypt: Anatomy of a civilization (2nd ed.). Routledge.</w:t>
      </w:r>
    </w:p>
    <w:p w14:paraId="31A905BD" w14:textId="77777777" w:rsidR="00956260" w:rsidRPr="00D06480" w:rsidRDefault="00000000">
      <w:pPr>
        <w:spacing w:after="80" w:line="480" w:lineRule="auto"/>
        <w:ind w:hanging="720"/>
        <w:jc w:val="both"/>
      </w:pPr>
      <w:r>
        <w:t>Kenoyer, J. M. (1998). Ancient cities of the Indus Valley civilization. Oxford University Press.</w:t>
      </w:r>
    </w:p>
    <w:p w14:paraId="3C4DE48C" w14:textId="77777777" w:rsidR="00956260" w:rsidRPr="00D06480" w:rsidRDefault="00000000">
      <w:pPr>
        <w:spacing w:after="80" w:line="480" w:lineRule="auto"/>
        <w:ind w:hanging="720"/>
        <w:jc w:val="both"/>
      </w:pPr>
      <w:r>
        <w:t>Kenoyer, J. M. (2008). Crafts and social organization in the Indus Civilization. In D. Wengrow (Ed.), The Oxford handbook of the archaeology of ritual (pp. 225–244).</w:t>
      </w:r>
    </w:p>
    <w:p w14:paraId="1345B43E" w14:textId="77777777" w:rsidR="00956260" w:rsidRPr="00D06480" w:rsidRDefault="00000000">
      <w:pPr>
        <w:spacing w:after="80" w:line="480" w:lineRule="auto"/>
        <w:ind w:hanging="720"/>
        <w:jc w:val="both"/>
      </w:pPr>
      <w:r>
        <w:t>Kenoyer, J. M. (2017). Cultures and societies of the Indus tradition. In R. Thapar (Ed.), Historical roots in early India. National Book Trust.</w:t>
      </w:r>
    </w:p>
    <w:p w14:paraId="742058C8" w14:textId="77777777" w:rsidR="00956260" w:rsidRPr="00D06480" w:rsidRDefault="00000000">
      <w:pPr>
        <w:spacing w:after="80" w:line="480" w:lineRule="auto"/>
        <w:ind w:hanging="720"/>
        <w:jc w:val="both"/>
      </w:pPr>
      <w:r>
        <w:t>Klein, R. G. (2009). The human career: Human biological and cultural origins (3rd ed.). University of Chicago Press.</w:t>
      </w:r>
    </w:p>
    <w:p w14:paraId="17FADB95" w14:textId="77777777" w:rsidR="00956260" w:rsidRPr="00D06480" w:rsidRDefault="00000000">
      <w:pPr>
        <w:spacing w:after="80" w:line="480" w:lineRule="auto"/>
        <w:ind w:hanging="720"/>
        <w:jc w:val="both"/>
      </w:pPr>
      <w:r>
        <w:lastRenderedPageBreak/>
        <w:t>Laland, K. N., Uller, T., Feldman, M. W., Sterelny, K., Müller, G. B., Moczek, A., &amp; Odling-Smee, J. (2015). The extended evolutionary synthesis: Its structure, assumptions and predictions. Proceedings of the Royal Society B, 282(1813), 20151019.</w:t>
      </w:r>
    </w:p>
    <w:p w14:paraId="0DC69E67" w14:textId="77777777" w:rsidR="00956260" w:rsidRPr="00D06480" w:rsidRDefault="00000000">
      <w:pPr>
        <w:spacing w:after="80" w:line="480" w:lineRule="auto"/>
        <w:ind w:hanging="720"/>
        <w:jc w:val="both"/>
      </w:pPr>
      <w:r>
        <w:t>Liu, L., &amp; Chen, X. (2021). The archaeology of China: From the Late Paleolithic to the Early Bronze Age (2nd ed.). Cambridge University Press.</w:t>
      </w:r>
    </w:p>
    <w:p w14:paraId="17B77C89" w14:textId="77777777" w:rsidR="00956260" w:rsidRPr="00D06480" w:rsidRDefault="00000000">
      <w:pPr>
        <w:spacing w:after="80" w:line="480" w:lineRule="auto"/>
        <w:ind w:hanging="720"/>
        <w:jc w:val="both"/>
      </w:pPr>
      <w:r>
        <w:t>Malafouris, L. (2013). How things shape the mind: A theory of material engagement. MIT Press.</w:t>
      </w:r>
    </w:p>
    <w:p w14:paraId="75314033" w14:textId="77777777" w:rsidR="00956260" w:rsidRPr="00D06480" w:rsidRDefault="00000000">
      <w:pPr>
        <w:spacing w:after="80" w:line="480" w:lineRule="auto"/>
        <w:ind w:hanging="720"/>
        <w:jc w:val="both"/>
      </w:pPr>
      <w:r>
        <w:t>Malafouris, L. (2021). Material engagement theory. Philosophical Transactions of the Royal Society B, 376(1815), 20190311.</w:t>
      </w:r>
    </w:p>
    <w:p w14:paraId="7D78D9B6" w14:textId="77777777" w:rsidR="00956260" w:rsidRPr="00D06480" w:rsidRDefault="00000000">
      <w:pPr>
        <w:spacing w:after="80" w:line="480" w:lineRule="auto"/>
        <w:ind w:hanging="720"/>
        <w:jc w:val="both"/>
      </w:pPr>
      <w:r>
        <w:t>Marcus, J. (1992). Mesoamerican writing systems: Propaganda, myth, and history in four ancient civilizations. Princeton University Press.</w:t>
      </w:r>
    </w:p>
    <w:p w14:paraId="20451E9E" w14:textId="77777777" w:rsidR="00956260" w:rsidRPr="00D06480" w:rsidRDefault="00000000">
      <w:pPr>
        <w:spacing w:after="80" w:line="480" w:lineRule="auto"/>
        <w:ind w:hanging="720"/>
        <w:jc w:val="both"/>
      </w:pPr>
      <w:r>
        <w:t>McBrearty, S., &amp; Brooks, A. S. (2000). The revolution that wasn’t: A new interpretation of the origin of modern human behavior. Journal of Human Evolution, 39(5), 453–563.</w:t>
      </w:r>
    </w:p>
    <w:p w14:paraId="16B464D9" w14:textId="77777777" w:rsidR="00956260" w:rsidRPr="00D06480" w:rsidRDefault="00000000">
      <w:pPr>
        <w:spacing w:after="80" w:line="480" w:lineRule="auto"/>
        <w:ind w:hanging="720"/>
        <w:jc w:val="both"/>
      </w:pPr>
      <w:r>
        <w:t>Merlan, F. (2020). Explorations towards intercultural understanding in Australia. Journal of the Royal Anthropological Institute, 26(2), 225–242.</w:t>
      </w:r>
    </w:p>
    <w:p w14:paraId="218D9D52" w14:textId="77777777" w:rsidR="00956260" w:rsidRPr="00D06480" w:rsidRDefault="00000000">
      <w:pPr>
        <w:spacing w:after="80" w:line="480" w:lineRule="auto"/>
        <w:ind w:hanging="720"/>
        <w:jc w:val="both"/>
      </w:pPr>
      <w:r>
        <w:t>Mithen, S. (1996). The prehistory of the mind: A search for the origins of art, religion, and science. Thames &amp; Hudson.</w:t>
      </w:r>
    </w:p>
    <w:p w14:paraId="50D90703" w14:textId="77777777" w:rsidR="00956260" w:rsidRPr="00D06480" w:rsidRDefault="00000000">
      <w:pPr>
        <w:spacing w:after="80" w:line="480" w:lineRule="auto"/>
        <w:ind w:hanging="720"/>
        <w:jc w:val="both"/>
      </w:pPr>
      <w:r>
        <w:t>Nissen, H. (1988). The early history of the ancient Near East, 9000–2000 BC. University of Chicago Press.</w:t>
      </w:r>
    </w:p>
    <w:p w14:paraId="30EEEF15" w14:textId="77777777" w:rsidR="00956260" w:rsidRPr="00D06480" w:rsidRDefault="00000000">
      <w:pPr>
        <w:spacing w:after="80" w:line="480" w:lineRule="auto"/>
        <w:ind w:hanging="720"/>
        <w:jc w:val="both"/>
      </w:pPr>
      <w:r>
        <w:t>Possehl, G. L. (2002). The Indus civilization: A contemporary perspective. AltaMira Press.</w:t>
      </w:r>
    </w:p>
    <w:p w14:paraId="5956CF2B" w14:textId="77777777" w:rsidR="00956260" w:rsidRPr="00D06480" w:rsidRDefault="00000000">
      <w:pPr>
        <w:spacing w:after="80" w:line="480" w:lineRule="auto"/>
        <w:ind w:hanging="720"/>
        <w:jc w:val="both"/>
      </w:pPr>
      <w:r>
        <w:t>Regulski, I. (2010). A palaeographic study of early writing in Egypt. Peeters.</w:t>
      </w:r>
    </w:p>
    <w:p w14:paraId="72569CF4" w14:textId="77777777" w:rsidR="00956260" w:rsidRPr="00D06480" w:rsidRDefault="00000000">
      <w:pPr>
        <w:spacing w:after="80" w:line="480" w:lineRule="auto"/>
        <w:ind w:hanging="720"/>
        <w:jc w:val="both"/>
      </w:pPr>
      <w:r>
        <w:t>Renfrew, C. (1976). Megaliths, territories and populations. In S. De Laet (Ed.), Acculturation and continuity in Atlantic Europe (pp. 198–220). De Tempel.</w:t>
      </w:r>
    </w:p>
    <w:p w14:paraId="7FD031E6" w14:textId="77777777" w:rsidR="00956260" w:rsidRPr="00D06480" w:rsidRDefault="00000000">
      <w:pPr>
        <w:spacing w:after="80" w:line="480" w:lineRule="auto"/>
        <w:ind w:hanging="720"/>
        <w:jc w:val="both"/>
      </w:pPr>
      <w:r>
        <w:t>Renfrew, C. (1987). Archaeology and language: The puzzle of Indo-European origins. Jonathan Cape.</w:t>
      </w:r>
    </w:p>
    <w:p w14:paraId="71174F18" w14:textId="77777777" w:rsidR="00956260" w:rsidRPr="00D06480" w:rsidRDefault="00000000">
      <w:pPr>
        <w:spacing w:after="80" w:line="480" w:lineRule="auto"/>
        <w:ind w:hanging="720"/>
        <w:jc w:val="both"/>
      </w:pPr>
      <w:r>
        <w:lastRenderedPageBreak/>
        <w:t>Renfrew, C. (2003). Figuring it out: What are we? Where do we come from? Thames &amp; Hudson.</w:t>
      </w:r>
    </w:p>
    <w:p w14:paraId="26424661" w14:textId="77777777" w:rsidR="00956260" w:rsidRPr="00D06480" w:rsidRDefault="00000000">
      <w:pPr>
        <w:spacing w:after="80" w:line="480" w:lineRule="auto"/>
        <w:ind w:hanging="720"/>
        <w:jc w:val="both"/>
      </w:pPr>
      <w:r>
        <w:t>Renfrew, C., &amp; Bahn, P. (2016). Archaeology: Theories, methods, and practice (7th ed.). Thames &amp; Hudson.</w:t>
      </w:r>
    </w:p>
    <w:p w14:paraId="5792B80D" w14:textId="77777777" w:rsidR="00956260" w:rsidRPr="00D06480" w:rsidRDefault="00000000">
      <w:pPr>
        <w:spacing w:after="80" w:line="480" w:lineRule="auto"/>
        <w:ind w:hanging="720"/>
        <w:jc w:val="both"/>
      </w:pPr>
      <w:r>
        <w:t>Renfrew, C., et al. (2021). Ritual, materiality, and cognition in prehistory. Cambridge Archaeological Journal, 31(1), 1–18.</w:t>
      </w:r>
    </w:p>
    <w:p w14:paraId="32ABA922" w14:textId="77777777" w:rsidR="00956260" w:rsidRPr="00D06480" w:rsidRDefault="00000000">
      <w:pPr>
        <w:spacing w:after="80" w:line="480" w:lineRule="auto"/>
        <w:ind w:hanging="720"/>
        <w:jc w:val="both"/>
      </w:pPr>
      <w:r>
        <w:t>Richerson, P., Baldini, R., Bell, A. V., et al. (2016). Cultural group selection plays an essential role in explaining human cooperation. Behavioral and Brain Sciences, 39, e30.</w:t>
      </w:r>
    </w:p>
    <w:p w14:paraId="7E845218" w14:textId="77777777" w:rsidR="00956260" w:rsidRPr="00D06480" w:rsidRDefault="00000000">
      <w:pPr>
        <w:spacing w:after="80" w:line="480" w:lineRule="auto"/>
        <w:ind w:hanging="720"/>
        <w:jc w:val="both"/>
      </w:pPr>
      <w:r>
        <w:t>Scarre, C. (2020). The megalithic monuments of Britain and Ireland. Thames &amp; Hudson.</w:t>
      </w:r>
    </w:p>
    <w:p w14:paraId="354E4D45" w14:textId="77777777" w:rsidR="00956260" w:rsidRPr="00D06480" w:rsidRDefault="00000000">
      <w:pPr>
        <w:spacing w:after="80" w:line="480" w:lineRule="auto"/>
        <w:ind w:hanging="720"/>
        <w:jc w:val="both"/>
      </w:pPr>
      <w:r>
        <w:t>Scott, J. C. (2017). Against the grain: A deep history of the earliest states. Yale University Press.</w:t>
      </w:r>
    </w:p>
    <w:p w14:paraId="17F70EC9" w14:textId="77777777" w:rsidR="00956260" w:rsidRPr="00D06480" w:rsidRDefault="00000000">
      <w:pPr>
        <w:spacing w:after="80" w:line="480" w:lineRule="auto"/>
        <w:ind w:hanging="720"/>
        <w:jc w:val="both"/>
      </w:pPr>
      <w:r>
        <w:t>Stauder, A. (2018). Staging restricted knowledge. In V. Davies &amp; D. Laboury (Eds.), The Oxford handbook of Egyptian epigraphy and palaeography. Oxford University Press.</w:t>
      </w:r>
    </w:p>
    <w:p w14:paraId="7BFEE9C4" w14:textId="77777777" w:rsidR="00956260" w:rsidRPr="00D06480" w:rsidRDefault="00000000">
      <w:pPr>
        <w:spacing w:after="80" w:line="480" w:lineRule="auto"/>
        <w:ind w:hanging="720"/>
        <w:jc w:val="both"/>
      </w:pPr>
      <w:r>
        <w:t>Storemyr, P. (2012). Prehistoric geometric rock art at Gharb Aswan, Upper Egypt. Sahara, 23, 67–76.</w:t>
      </w:r>
    </w:p>
    <w:p w14:paraId="7D5AFF9B" w14:textId="77777777" w:rsidR="00956260" w:rsidRPr="00D06480" w:rsidRDefault="00000000">
      <w:pPr>
        <w:spacing w:after="80" w:line="480" w:lineRule="auto"/>
        <w:ind w:hanging="720"/>
        <w:jc w:val="both"/>
      </w:pPr>
      <w:r>
        <w:t>Stout, D., Hecht, E., &amp; Chaminade, T. (2018). Cognitive foundations of tool use. Current Anthropology, 59(2), 205–227.</w:t>
      </w:r>
    </w:p>
    <w:p w14:paraId="270CE3CF" w14:textId="77777777" w:rsidR="00956260" w:rsidRPr="00D06480" w:rsidRDefault="00000000">
      <w:pPr>
        <w:spacing w:after="80" w:line="480" w:lineRule="auto"/>
        <w:ind w:hanging="720"/>
        <w:jc w:val="both"/>
      </w:pPr>
      <w:r>
        <w:t>Stout, D., et al. (2021). Neural plasticity and cultural repetition in Paleolithic toolmaking. Science Advances, 7(6), eabe3956.</w:t>
      </w:r>
    </w:p>
    <w:p w14:paraId="348C3179" w14:textId="77777777" w:rsidR="00956260" w:rsidRPr="00D06480" w:rsidRDefault="00000000">
      <w:pPr>
        <w:spacing w:after="80" w:line="480" w:lineRule="auto"/>
        <w:ind w:hanging="720"/>
        <w:jc w:val="both"/>
      </w:pPr>
      <w:r>
        <w:t>Trigger, B. G. (2003). Understanding early civilizations: A comparative study. Cambridge University Press.</w:t>
      </w:r>
    </w:p>
    <w:p w14:paraId="0152CE6B" w14:textId="77777777" w:rsidR="00956260" w:rsidRPr="00D06480" w:rsidRDefault="00000000">
      <w:pPr>
        <w:spacing w:after="80" w:line="480" w:lineRule="auto"/>
        <w:ind w:hanging="720"/>
        <w:jc w:val="both"/>
      </w:pPr>
      <w:r>
        <w:t>Trigger, B. G. (2006). A history of archaeological thought (2nd ed.). Cambridge University Press.</w:t>
      </w:r>
    </w:p>
    <w:p w14:paraId="60C5A215" w14:textId="77777777" w:rsidR="00956260" w:rsidRPr="00D06480" w:rsidRDefault="00000000">
      <w:pPr>
        <w:spacing w:after="80" w:line="480" w:lineRule="auto"/>
        <w:ind w:hanging="720"/>
        <w:jc w:val="both"/>
      </w:pPr>
      <w:r>
        <w:t>Wendorf, F., &amp; Schild, R. (1974). A Middle Stone Age sequence from the Central Rift Valley, Ethiopia. Polska Akademia Nauk.</w:t>
      </w:r>
    </w:p>
    <w:p w14:paraId="18E7D6D9" w14:textId="77777777" w:rsidR="00956260" w:rsidRPr="00D06480" w:rsidRDefault="00000000">
      <w:pPr>
        <w:spacing w:after="80" w:line="480" w:lineRule="auto"/>
        <w:ind w:hanging="720"/>
        <w:jc w:val="both"/>
      </w:pPr>
      <w:r>
        <w:t>Wendorf, F., &amp; Schild, R. (2001). Holocene settlement of the Egyptian Sahara, Volume 1: The archaeology of Nabta Playa. Springer. https://doi.org/10.1007/978-1-4615-0653-9</w:t>
      </w:r>
    </w:p>
    <w:p w14:paraId="112A1242" w14:textId="77777777" w:rsidR="00956260" w:rsidRPr="00D06480" w:rsidRDefault="00000000">
      <w:pPr>
        <w:spacing w:after="80" w:line="480" w:lineRule="auto"/>
        <w:ind w:hanging="720"/>
        <w:jc w:val="both"/>
      </w:pPr>
      <w:r>
        <w:lastRenderedPageBreak/>
        <w:t>Whitehouse, H. (2004). Modes of religiosity: A cognitive theory of religious transmission. AltaMira Press.</w:t>
      </w:r>
    </w:p>
    <w:p w14:paraId="160B3623" w14:textId="77777777" w:rsidR="00956260" w:rsidRPr="00D06480" w:rsidRDefault="00000000">
      <w:pPr>
        <w:spacing w:after="80" w:line="480" w:lineRule="auto"/>
        <w:ind w:hanging="720"/>
        <w:jc w:val="both"/>
      </w:pPr>
      <w:r>
        <w:t>Whitehouse, H., François, P., Savage, P. E., et al. (2019). Complex societies precede moralizing gods throughout world history. Nature, 568, 226–229.</w:t>
      </w:r>
    </w:p>
    <w:p w14:paraId="47288D1E" w14:textId="77777777" w:rsidR="00956260" w:rsidRPr="00D06480" w:rsidRDefault="00000000">
      <w:pPr>
        <w:spacing w:after="80" w:line="480" w:lineRule="auto"/>
        <w:ind w:hanging="720"/>
        <w:jc w:val="both"/>
      </w:pPr>
      <w:r>
        <w:t>Yin, H. H., &amp; Knowlton, B. J. (2006). The role of the basal ganglia in habit formation. Nature Reviews Neuroscience, 7, 464–472.</w:t>
      </w:r>
    </w:p>
    <w:p w14:paraId="79BA9EC6" w14:textId="77777777" w:rsidR="00956260" w:rsidRPr="00D06480" w:rsidRDefault="00000000">
      <w:pPr>
        <w:spacing w:after="80" w:line="480" w:lineRule="auto"/>
        <w:ind w:hanging="720"/>
        <w:jc w:val="both"/>
      </w:pPr>
      <w:r>
        <w:t>Author. (2025). [Title redacted for review]. [Repository redacted].</w:t>
      </w:r>
    </w:p>
    <w:sectPr w:rsidR="00956260" w:rsidRPr="00D06480">
      <w:footerReference w:type="even" r:id="rId8"/>
      <w:footerReference w:type="default" r:id="rId9"/>
      <w:pgSz w:w="12240" w:h="15840"/>
      <w:pgMar w:top="1440" w:right="1296" w:bottom="1440" w:left="129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1630" w14:textId="77777777" w:rsidR="0028785F" w:rsidRDefault="0028785F" w:rsidP="00D06480">
      <w:r>
        <w:separator/>
      </w:r>
    </w:p>
  </w:endnote>
  <w:endnote w:type="continuationSeparator" w:id="0">
    <w:p w14:paraId="3BAD03FB" w14:textId="77777777" w:rsidR="0028785F" w:rsidRDefault="0028785F" w:rsidP="00D0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0346564"/>
      <w:docPartObj>
        <w:docPartGallery w:val="Page Numbers (Bottom of Page)"/>
        <w:docPartUnique/>
      </w:docPartObj>
    </w:sdtPr>
    <w:sdtContent>
      <w:p w14:paraId="2A9DF76D" w14:textId="77777777" w:rsidR="00D06480" w:rsidRDefault="00D06480" w:rsidP="009A0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29DFE0" w14:textId="77777777" w:rsidR="00D06480" w:rsidRDefault="00D06480" w:rsidP="00D064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56861"/>
      <w:docPartObj>
        <w:docPartGallery w:val="Page Numbers (Bottom of Page)"/>
        <w:docPartUnique/>
      </w:docPartObj>
    </w:sdtPr>
    <w:sdtContent>
      <w:p w14:paraId="5699FC3A" w14:textId="77777777" w:rsidR="00D06480" w:rsidRDefault="00D06480" w:rsidP="009A0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6E2332" w14:textId="77777777" w:rsidR="00D06480" w:rsidRDefault="00D06480" w:rsidP="00D064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55D2D" w14:textId="77777777" w:rsidR="0028785F" w:rsidRDefault="0028785F" w:rsidP="00D06480">
      <w:r>
        <w:separator/>
      </w:r>
    </w:p>
  </w:footnote>
  <w:footnote w:type="continuationSeparator" w:id="0">
    <w:p w14:paraId="02A0475B" w14:textId="77777777" w:rsidR="0028785F" w:rsidRDefault="0028785F" w:rsidP="00D06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32A26"/>
    <w:multiLevelType w:val="hybridMultilevel"/>
    <w:tmpl w:val="553C6DB6"/>
    <w:lvl w:ilvl="0" w:tplc="42926F56">
      <w:start w:val="1"/>
      <w:numFmt w:val="bullet"/>
      <w:lvlText w:val="•"/>
      <w:lvlJc w:val="left"/>
      <w:pPr>
        <w:ind w:left="720" w:hanging="360"/>
      </w:pPr>
    </w:lvl>
    <w:lvl w:ilvl="1" w:tplc="90186A3C">
      <w:numFmt w:val="decimal"/>
      <w:lvlText w:val=""/>
      <w:lvlJc w:val="left"/>
    </w:lvl>
    <w:lvl w:ilvl="2" w:tplc="F9EC6C8C">
      <w:numFmt w:val="decimal"/>
      <w:lvlText w:val=""/>
      <w:lvlJc w:val="left"/>
    </w:lvl>
    <w:lvl w:ilvl="3" w:tplc="B9F2FBF6">
      <w:numFmt w:val="decimal"/>
      <w:lvlText w:val=""/>
      <w:lvlJc w:val="left"/>
    </w:lvl>
    <w:lvl w:ilvl="4" w:tplc="AFB6584A">
      <w:numFmt w:val="decimal"/>
      <w:lvlText w:val=""/>
      <w:lvlJc w:val="left"/>
    </w:lvl>
    <w:lvl w:ilvl="5" w:tplc="7512B9F2">
      <w:numFmt w:val="decimal"/>
      <w:lvlText w:val=""/>
      <w:lvlJc w:val="left"/>
    </w:lvl>
    <w:lvl w:ilvl="6" w:tplc="2FE843A8">
      <w:numFmt w:val="decimal"/>
      <w:lvlText w:val=""/>
      <w:lvlJc w:val="left"/>
    </w:lvl>
    <w:lvl w:ilvl="7" w:tplc="0A640000">
      <w:numFmt w:val="decimal"/>
      <w:lvlText w:val=""/>
      <w:lvlJc w:val="left"/>
    </w:lvl>
    <w:lvl w:ilvl="8" w:tplc="518CF3D6">
      <w:numFmt w:val="decimal"/>
      <w:lvlText w:val=""/>
      <w:lvlJc w:val="left"/>
    </w:lvl>
  </w:abstractNum>
  <w:abstractNum w:abstractNumId="1" w15:restartNumberingAfterBreak="0">
    <w:nsid w:val="401403D7"/>
    <w:multiLevelType w:val="hybridMultilevel"/>
    <w:tmpl w:val="DC74EBC2"/>
    <w:lvl w:ilvl="0" w:tplc="27DA2284">
      <w:start w:val="1"/>
      <w:numFmt w:val="decimal"/>
      <w:lvlText w:val="%1."/>
      <w:lvlJc w:val="left"/>
      <w:pPr>
        <w:ind w:left="720" w:hanging="360"/>
      </w:pPr>
    </w:lvl>
    <w:lvl w:ilvl="1" w:tplc="7E1EC9B2">
      <w:numFmt w:val="decimal"/>
      <w:lvlText w:val=""/>
      <w:lvlJc w:val="left"/>
    </w:lvl>
    <w:lvl w:ilvl="2" w:tplc="5492E51E">
      <w:numFmt w:val="decimal"/>
      <w:lvlText w:val=""/>
      <w:lvlJc w:val="left"/>
    </w:lvl>
    <w:lvl w:ilvl="3" w:tplc="5064A3D8">
      <w:numFmt w:val="decimal"/>
      <w:lvlText w:val=""/>
      <w:lvlJc w:val="left"/>
    </w:lvl>
    <w:lvl w:ilvl="4" w:tplc="13DA05C4">
      <w:numFmt w:val="decimal"/>
      <w:lvlText w:val=""/>
      <w:lvlJc w:val="left"/>
    </w:lvl>
    <w:lvl w:ilvl="5" w:tplc="755E24EC">
      <w:numFmt w:val="decimal"/>
      <w:lvlText w:val=""/>
      <w:lvlJc w:val="left"/>
    </w:lvl>
    <w:lvl w:ilvl="6" w:tplc="D1C4ECEE">
      <w:numFmt w:val="decimal"/>
      <w:lvlText w:val=""/>
      <w:lvlJc w:val="left"/>
    </w:lvl>
    <w:lvl w:ilvl="7" w:tplc="26725334">
      <w:numFmt w:val="decimal"/>
      <w:lvlText w:val=""/>
      <w:lvlJc w:val="left"/>
    </w:lvl>
    <w:lvl w:ilvl="8" w:tplc="72B6541E">
      <w:numFmt w:val="decimal"/>
      <w:lvlText w:val=""/>
      <w:lvlJc w:val="left"/>
    </w:lvl>
  </w:abstractNum>
  <w:abstractNum w:abstractNumId="2" w15:restartNumberingAfterBreak="0">
    <w:nsid w:val="7E38731C"/>
    <w:multiLevelType w:val="hybridMultilevel"/>
    <w:tmpl w:val="B7027742"/>
    <w:lvl w:ilvl="0" w:tplc="9B92D024">
      <w:start w:val="1"/>
      <w:numFmt w:val="bullet"/>
      <w:lvlText w:val="●"/>
      <w:lvlJc w:val="left"/>
      <w:pPr>
        <w:ind w:left="720" w:hanging="360"/>
      </w:pPr>
    </w:lvl>
    <w:lvl w:ilvl="1" w:tplc="AD66D51E">
      <w:start w:val="1"/>
      <w:numFmt w:val="bullet"/>
      <w:lvlText w:val="○"/>
      <w:lvlJc w:val="left"/>
      <w:pPr>
        <w:ind w:left="1440" w:hanging="360"/>
      </w:pPr>
    </w:lvl>
    <w:lvl w:ilvl="2" w:tplc="9F120A54">
      <w:start w:val="1"/>
      <w:numFmt w:val="bullet"/>
      <w:lvlText w:val="■"/>
      <w:lvlJc w:val="left"/>
      <w:pPr>
        <w:ind w:left="2160" w:hanging="360"/>
      </w:pPr>
    </w:lvl>
    <w:lvl w:ilvl="3" w:tplc="96804E30">
      <w:start w:val="1"/>
      <w:numFmt w:val="bullet"/>
      <w:lvlText w:val="●"/>
      <w:lvlJc w:val="left"/>
      <w:pPr>
        <w:ind w:left="2880" w:hanging="360"/>
      </w:pPr>
    </w:lvl>
    <w:lvl w:ilvl="4" w:tplc="D944C678">
      <w:start w:val="1"/>
      <w:numFmt w:val="bullet"/>
      <w:lvlText w:val="○"/>
      <w:lvlJc w:val="left"/>
      <w:pPr>
        <w:ind w:left="3600" w:hanging="360"/>
      </w:pPr>
    </w:lvl>
    <w:lvl w:ilvl="5" w:tplc="711842B4">
      <w:start w:val="1"/>
      <w:numFmt w:val="bullet"/>
      <w:lvlText w:val="■"/>
      <w:lvlJc w:val="left"/>
      <w:pPr>
        <w:ind w:left="4320" w:hanging="360"/>
      </w:pPr>
    </w:lvl>
    <w:lvl w:ilvl="6" w:tplc="6EC861E2">
      <w:start w:val="1"/>
      <w:numFmt w:val="bullet"/>
      <w:lvlText w:val="●"/>
      <w:lvlJc w:val="left"/>
      <w:pPr>
        <w:ind w:left="5040" w:hanging="360"/>
      </w:pPr>
    </w:lvl>
    <w:lvl w:ilvl="7" w:tplc="951E2474">
      <w:start w:val="1"/>
      <w:numFmt w:val="bullet"/>
      <w:lvlText w:val="●"/>
      <w:lvlJc w:val="left"/>
      <w:pPr>
        <w:ind w:left="5760" w:hanging="360"/>
      </w:pPr>
    </w:lvl>
    <w:lvl w:ilvl="8" w:tplc="FA8A188C">
      <w:start w:val="1"/>
      <w:numFmt w:val="bullet"/>
      <w:lvlText w:val="●"/>
      <w:lvlJc w:val="left"/>
      <w:pPr>
        <w:ind w:left="6480" w:hanging="360"/>
      </w:pPr>
    </w:lvl>
  </w:abstractNum>
  <w:num w:numId="1" w16cid:durableId="114342884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260"/>
    <w:rsid w:val="00257D7F"/>
    <w:rsid w:val="0028785F"/>
    <w:rsid w:val="002E611D"/>
    <w:rsid w:val="00672BFB"/>
    <w:rsid w:val="0077649C"/>
    <w:rsid w:val="00956260"/>
    <w:rsid w:val="00D06480"/>
    <w:rsid w:val="00FF2B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BA6F"/>
  <w15:docId w15:val="{A05B2D55-BF03-5D44-ABA0-5961590D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aps/>
    </w:rPr>
  </w:style>
  <w:style w:type="paragraph" w:styleId="Heading2">
    <w:name w:val="heading 2"/>
    <w:uiPriority w:val="9"/>
    <w:unhideWhenUsed/>
    <w:qFormat/>
    <w:pPr>
      <w:spacing w:before="280" w:after="140"/>
      <w:outlineLvl w:val="1"/>
    </w:pPr>
    <w:rPr>
      <w:b/>
      <w:bCs/>
    </w:rPr>
  </w:style>
  <w:style w:type="paragraph" w:styleId="Heading3">
    <w:name w:val="heading 3"/>
    <w:uiPriority w:val="9"/>
    <w:semiHidden/>
    <w:unhideWhenUsed/>
    <w:qFormat/>
    <w:pPr>
      <w:spacing w:before="200" w:after="100"/>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4"/>
      <w:szCs w:val="24"/>
    </w:rPr>
  </w:style>
  <w:style w:type="paragraph" w:styleId="Footer">
    <w:name w:val="footer"/>
    <w:basedOn w:val="Normal"/>
    <w:link w:val="FooterChar"/>
    <w:uiPriority w:val="99"/>
    <w:unhideWhenUsed/>
    <w:rsid w:val="00D06480"/>
    <w:pPr>
      <w:tabs>
        <w:tab w:val="center" w:pos="4513"/>
        <w:tab w:val="right" w:pos="9026"/>
      </w:tabs>
    </w:pPr>
  </w:style>
  <w:style w:type="character" w:customStyle="1" w:styleId="FooterChar">
    <w:name w:val="Footer Char"/>
    <w:basedOn w:val="DefaultParagraphFont"/>
    <w:link w:val="Footer"/>
    <w:uiPriority w:val="99"/>
    <w:rsid w:val="00D06480"/>
  </w:style>
  <w:style w:type="character" w:styleId="PageNumber">
    <w:name w:val="page number"/>
    <w:basedOn w:val="DefaultParagraphFont"/>
    <w:uiPriority w:val="99"/>
    <w:semiHidden/>
    <w:unhideWhenUsed/>
    <w:rsid w:val="00D06480"/>
  </w:style>
  <w:style w:type="character" w:styleId="UnresolvedMention">
    <w:name w:val="Unresolved Mention"/>
    <w:basedOn w:val="DefaultParagraphFont"/>
    <w:uiPriority w:val="99"/>
    <w:semiHidden/>
    <w:unhideWhenUsed/>
    <w:rsid w:val="00FF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55F1E-E13B-7B45-AFEB-9C47BB9EB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10972</Words>
  <Characters>70552</Characters>
  <Application>Microsoft Office Word</Application>
  <DocSecurity>0</DocSecurity>
  <Lines>1411</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2</cp:revision>
  <cp:lastPrinted>2026-03-22T21:36:00Z</cp:lastPrinted>
  <dcterms:created xsi:type="dcterms:W3CDTF">2026-05-05T21:47:00Z</dcterms:created>
  <dcterms:modified xsi:type="dcterms:W3CDTF">2026-05-05T21:47:00Z</dcterms:modified>
</cp:coreProperties>
</file>