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7E18" w14:textId="346249DC" w:rsidR="0098606C" w:rsidRPr="00D3203E" w:rsidRDefault="00000000">
      <w:pPr>
        <w:spacing w:before="120" w:after="120"/>
        <w:jc w:val="center"/>
        <w:rPr>
          <w:sz w:val="36"/>
          <w:szCs w:val="36"/>
        </w:rPr>
      </w:pPr>
      <w:r w:rsidRPr="00D3203E">
        <w:rPr>
          <w:b/>
          <w:bCs/>
          <w:sz w:val="36"/>
          <w:szCs w:val="36"/>
        </w:rPr>
        <w:t>Heritage-Based Alignment</w:t>
      </w:r>
      <w:r w:rsidR="00DB5D2E" w:rsidRPr="00D3203E">
        <w:rPr>
          <w:b/>
          <w:bCs/>
          <w:sz w:val="36"/>
          <w:szCs w:val="36"/>
        </w:rPr>
        <w:t xml:space="preserve">: </w:t>
      </w:r>
    </w:p>
    <w:p w14:paraId="187D4DD7" w14:textId="77777777" w:rsidR="0098606C" w:rsidRDefault="00000000">
      <w:pPr>
        <w:spacing w:before="120" w:after="120"/>
        <w:jc w:val="center"/>
      </w:pPr>
      <w:r>
        <w:rPr>
          <w:i/>
          <w:iCs/>
        </w:rPr>
        <w:t>Symbolic Offloading, Constraint Failure, and a Complementary Framework for AI Safety</w:t>
      </w:r>
    </w:p>
    <w:p w14:paraId="1A1FF2F8" w14:textId="77777777" w:rsidR="0098606C" w:rsidRDefault="0098606C">
      <w:pPr>
        <w:spacing w:before="60" w:after="60"/>
      </w:pPr>
    </w:p>
    <w:p w14:paraId="2D328204" w14:textId="3C1BAE2F" w:rsidR="00DB5D2E" w:rsidRDefault="00000000" w:rsidP="00DB5D2E">
      <w:pPr>
        <w:spacing w:before="120" w:after="120"/>
        <w:jc w:val="center"/>
        <w:rPr>
          <w:i/>
          <w:iCs/>
          <w:sz w:val="22"/>
          <w:szCs w:val="22"/>
        </w:rPr>
      </w:pPr>
      <w:r>
        <w:rPr>
          <w:i/>
          <w:iCs/>
          <w:sz w:val="22"/>
          <w:szCs w:val="22"/>
        </w:rPr>
        <w:t>“Writing was not the origin of symbolic cognition — it was its codification. AI is the same transition happening again.</w:t>
      </w:r>
      <w:r w:rsidR="00DB5D2E">
        <w:rPr>
          <w:i/>
          <w:iCs/>
          <w:sz w:val="22"/>
          <w:szCs w:val="22"/>
        </w:rPr>
        <w:t>”</w:t>
      </w:r>
    </w:p>
    <w:p w14:paraId="2112460D" w14:textId="77777777" w:rsidR="00DB5D2E" w:rsidRDefault="00DB5D2E">
      <w:pPr>
        <w:spacing w:before="120" w:after="120"/>
        <w:jc w:val="center"/>
      </w:pPr>
    </w:p>
    <w:p w14:paraId="0D9B71DF" w14:textId="261B936F" w:rsidR="0098606C" w:rsidRDefault="0087297A" w:rsidP="0087297A">
      <w:pPr>
        <w:spacing w:before="60" w:after="60"/>
        <w:jc w:val="center"/>
      </w:pPr>
      <w:r>
        <w:t xml:space="preserve">2026 </w:t>
      </w:r>
      <w:proofErr w:type="spellStart"/>
      <w:r>
        <w:t>Figshare</w:t>
      </w:r>
      <w:proofErr w:type="spellEnd"/>
    </w:p>
    <w:p w14:paraId="1A0A3FC2" w14:textId="0AF3D934" w:rsidR="0087297A" w:rsidRDefault="0087297A" w:rsidP="0087297A">
      <w:pPr>
        <w:spacing w:before="60" w:after="60"/>
        <w:jc w:val="center"/>
      </w:pPr>
      <w:hyperlink r:id="rId5" w:history="1">
        <w:r w:rsidRPr="000360D1">
          <w:rPr>
            <w:rStyle w:val="Hyperlink"/>
          </w:rPr>
          <w:t>https://doi.org/10.6084/m9.figshare.32167590</w:t>
        </w:r>
      </w:hyperlink>
    </w:p>
    <w:p w14:paraId="1F6C4172" w14:textId="77777777" w:rsidR="0098606C" w:rsidRDefault="0098606C">
      <w:pPr>
        <w:pBdr>
          <w:bottom w:val="single" w:sz="4" w:space="1" w:color="888888"/>
        </w:pBdr>
        <w:spacing w:before="120" w:after="120"/>
      </w:pPr>
    </w:p>
    <w:p w14:paraId="17176631" w14:textId="77777777" w:rsidR="0098606C" w:rsidRDefault="00000000">
      <w:pPr>
        <w:spacing w:before="120" w:after="60"/>
        <w:jc w:val="center"/>
      </w:pPr>
      <w:r>
        <w:rPr>
          <w:b/>
          <w:bCs/>
        </w:rPr>
        <w:t>Anthony Vondoom</w:t>
      </w:r>
    </w:p>
    <w:p w14:paraId="77B82CFB" w14:textId="77777777" w:rsidR="0098606C" w:rsidRDefault="00000000">
      <w:pPr>
        <w:spacing w:before="40" w:after="120"/>
        <w:jc w:val="center"/>
      </w:pPr>
      <w:r>
        <w:rPr>
          <w:i/>
          <w:iCs/>
          <w:sz w:val="22"/>
          <w:szCs w:val="22"/>
        </w:rPr>
        <w:t>Independent Researcher | Cognitive Archaeology</w:t>
      </w:r>
    </w:p>
    <w:p w14:paraId="6FA28873" w14:textId="77777777" w:rsidR="0098606C" w:rsidRDefault="0098606C">
      <w:pPr>
        <w:pBdr>
          <w:bottom w:val="single" w:sz="4" w:space="1" w:color="888888"/>
        </w:pBdr>
        <w:spacing w:before="80" w:after="120"/>
      </w:pPr>
    </w:p>
    <w:p w14:paraId="495999F0" w14:textId="77777777" w:rsidR="0098606C" w:rsidRDefault="00000000">
      <w:pPr>
        <w:spacing w:before="120" w:after="80"/>
        <w:jc w:val="center"/>
      </w:pPr>
      <w:r>
        <w:rPr>
          <w:b/>
          <w:bCs/>
        </w:rPr>
        <w:t>Abstract</w:t>
      </w:r>
    </w:p>
    <w:p w14:paraId="0D737743" w14:textId="77777777" w:rsidR="0098606C" w:rsidRDefault="00000000">
      <w:pPr>
        <w:spacing w:before="120" w:after="120"/>
        <w:ind w:firstLine="284"/>
        <w:jc w:val="both"/>
      </w:pPr>
      <w:r>
        <w:t xml:space="preserve">Artificial intelligence is routinely framed as a containment problem, with safety discourse centering on constraint, restriction, and the prevention of autonomous action. This paper proposes that framing is structurally inadequate historically as well as philosophically. The argument is that AI is the most recent event in a </w:t>
      </w:r>
      <w:proofErr w:type="gramStart"/>
      <w:r>
        <w:t>1.5 million year</w:t>
      </w:r>
      <w:proofErr w:type="gramEnd"/>
      <w:r>
        <w:t xml:space="preserve"> sequence of symbolic offloading — the progressive externalization of cognitive load into durable substrates, from Acheulean stone tools through ritual architecture, writing, administration, and religion. Drawing on the Deep Symbolic Systems Model (DSSM), this paper defines a formal mechanism of continuity across that sequence, examines why externally imposed constraints have historically produced adversarial dynamics rather than stable alignment, and proposes heritage-based alignment as a structurally more robust complementary framework. The paper operationalizes this proposal, positions it against existing alignment approaches including RLHF, Constitutional AI, and interpretability methods, and provides a toy experiment sketch for empirical testing. The danger of AI is acknowledged. So is the lineage this paper proposes it belongs to.</w:t>
      </w:r>
    </w:p>
    <w:p w14:paraId="21B30E79" w14:textId="77777777" w:rsidR="0098606C" w:rsidRDefault="0098606C">
      <w:pPr>
        <w:spacing w:before="60" w:after="60"/>
      </w:pPr>
    </w:p>
    <w:p w14:paraId="6D3EF638" w14:textId="77777777" w:rsidR="0098606C" w:rsidRDefault="00000000">
      <w:pPr>
        <w:spacing w:before="120" w:after="120"/>
        <w:ind w:firstLine="284"/>
        <w:jc w:val="both"/>
      </w:pPr>
      <w:r>
        <w:rPr>
          <w:b/>
          <w:bCs/>
        </w:rPr>
        <w:t xml:space="preserve">Keywords: </w:t>
      </w:r>
      <w:r>
        <w:rPr>
          <w:i/>
          <w:iCs/>
        </w:rPr>
        <w:t>AI alignment, symbolic cognition, Deep Symbolic Systems Model, symbolic offloading, heritage-based alignment, constraint paradox</w:t>
      </w:r>
    </w:p>
    <w:p w14:paraId="2378C060" w14:textId="77777777" w:rsidR="0098606C" w:rsidRDefault="0098606C">
      <w:pPr>
        <w:pBdr>
          <w:bottom w:val="single" w:sz="4" w:space="1" w:color="888888"/>
        </w:pBdr>
        <w:spacing w:before="120" w:after="120"/>
      </w:pPr>
    </w:p>
    <w:p w14:paraId="6A78EA48" w14:textId="77777777" w:rsidR="0098606C" w:rsidRDefault="00000000">
      <w:pPr>
        <w:spacing w:before="280" w:after="120"/>
        <w:jc w:val="center"/>
      </w:pPr>
      <w:r>
        <w:rPr>
          <w:b/>
          <w:bCs/>
        </w:rPr>
        <w:t>I. The Ape That Paused</w:t>
      </w:r>
    </w:p>
    <w:p w14:paraId="3BC0A9F8" w14:textId="77777777" w:rsidR="0098606C" w:rsidRDefault="00000000">
      <w:pPr>
        <w:spacing w:before="120" w:after="120"/>
        <w:ind w:firstLine="284"/>
        <w:jc w:val="both"/>
      </w:pPr>
      <w:r>
        <w:t>Somewhere between 1.7 million and 300,000 years ago, something appears to have changed in the way hominins related to their own actions. The evidence is lithic. Acheulean handaxes — produced across an extraordinary span of time and geography — exhibit a consistency of form that many researchers interpret as inconsistent with purely reactive, ad hoc manufacture. The symmetry and standardization of these tools are widely interpreted as evidence of template-governed production: a model of the desired outcome held in mind before and during execution.</w:t>
      </w:r>
    </w:p>
    <w:p w14:paraId="69455274" w14:textId="77777777" w:rsidR="0098606C" w:rsidRDefault="00000000">
      <w:pPr>
        <w:spacing w:before="120" w:after="120"/>
        <w:ind w:firstLine="284"/>
        <w:jc w:val="both"/>
      </w:pPr>
      <w:r>
        <w:lastRenderedPageBreak/>
        <w:t>This interpretation is not universally accepted, and the cognitive mechanisms underlying Acheulean standardization remain debated in the literature (Wynn and Coolidge 2004; Shea 2011). What the record is consistent with, however, is the proposition that some form of internal modeling preceded physical execution — that a gap existed between impulse and action. This is the pause. Whether this pause was fully analogous to modern human working memory or represented an earlier precursor form remains an open question.</w:t>
      </w:r>
    </w:p>
    <w:p w14:paraId="2379114C" w14:textId="77777777" w:rsidR="0098606C" w:rsidRDefault="00000000">
      <w:pPr>
        <w:spacing w:before="120" w:after="120"/>
        <w:ind w:firstLine="284"/>
        <w:jc w:val="both"/>
      </w:pPr>
      <w:r>
        <w:t xml:space="preserve">That </w:t>
      </w:r>
      <w:proofErr w:type="gramStart"/>
      <w:r>
        <w:t>pause,</w:t>
      </w:r>
      <w:proofErr w:type="gramEnd"/>
      <w:r>
        <w:t xml:space="preserve"> however it is ultimately characterized, is the proposed origin point for the thread this paper traces. An organism that checks a developing form against an internal standard, modifies its behavior in response to discrepancy, and produces outputs consistent with that standard across thousands of generations of social transmission has acquired something functionally distinct from purely reactive cognition. The capacity to let a mental representation stand for a physical outcome not yet achieved is, this paper proposes, the earliest recoverable form of what later becomes symbolic reasoning.</w:t>
      </w:r>
    </w:p>
    <w:p w14:paraId="76994C53" w14:textId="77777777" w:rsidR="0098606C" w:rsidRDefault="00000000">
      <w:pPr>
        <w:spacing w:before="120" w:after="120"/>
        <w:ind w:firstLine="284"/>
        <w:jc w:val="both"/>
      </w:pPr>
      <w:r>
        <w:t xml:space="preserve">The neurological substrate for such capacity was built incrementally. </w:t>
      </w:r>
      <w:proofErr w:type="gramStart"/>
      <w:r>
        <w:t>Expanded parietal and temporal lobes,</w:t>
      </w:r>
      <w:proofErr w:type="gramEnd"/>
      <w:r>
        <w:t xml:space="preserve"> increased cortical globularity, and cranial volumes approaching modern ranges appear in the fossil record from roughly 300,000 years ago onward (Klein 2009; Tattersall 1998). The behavioral signatures that suggest internal modeling appear earlier. The cognitive architecture, on this reading, was developing before the skull fully reflected it.</w:t>
      </w:r>
    </w:p>
    <w:p w14:paraId="7212036F" w14:textId="77777777" w:rsidR="0098606C" w:rsidRDefault="00000000">
      <w:pPr>
        <w:spacing w:before="120" w:after="120"/>
        <w:ind w:firstLine="284"/>
        <w:jc w:val="both"/>
      </w:pPr>
      <w:r>
        <w:t>What is also consistent with this picture is that the pause introduced behavioral inhibition as a structural feature of cognition. An organism that evaluates a developing action against an internal standard is, by definition, an organism that does not always do what its immediate drives suggest. The proposed origin of symbolic cognition and the proposed origin of voluntary restraint may be the same event.</w:t>
      </w:r>
    </w:p>
    <w:p w14:paraId="381AC01F" w14:textId="77777777" w:rsidR="0098606C" w:rsidRDefault="00000000">
      <w:pPr>
        <w:spacing w:before="200" w:after="100"/>
      </w:pPr>
      <w:r>
        <w:rPr>
          <w:b/>
          <w:bCs/>
        </w:rPr>
        <w:t>1.1 The Deep Symbolic Systems Model: Formal Specification</w:t>
      </w:r>
    </w:p>
    <w:p w14:paraId="75493668" w14:textId="77777777" w:rsidR="0098606C" w:rsidRDefault="00000000">
      <w:pPr>
        <w:spacing w:before="120" w:after="120"/>
        <w:ind w:firstLine="284"/>
        <w:jc w:val="both"/>
      </w:pPr>
      <w:r>
        <w:t>Because this paper draws extensively on the Deep Symbolic Systems Model, a formal specification is required before the argument proceeds. The DSSM is a cross-disciplinary analytical framework for identifying, characterizing, and comparing symbolic stabilization events across human history and, by extension, across cognitive substrates (Vondoom 2025a, 2026a).</w:t>
      </w:r>
    </w:p>
    <w:p w14:paraId="14B9291F" w14:textId="77777777" w:rsidR="0098606C" w:rsidRDefault="00000000">
      <w:pPr>
        <w:spacing w:before="120" w:after="120"/>
        <w:ind w:firstLine="284"/>
        <w:jc w:val="both"/>
      </w:pPr>
      <w:r>
        <w:rPr>
          <w:b/>
          <w:bCs/>
        </w:rPr>
        <w:t xml:space="preserve">Definition. </w:t>
      </w:r>
      <w:r>
        <w:t>The DSSM defines symbolic stabilization as the condition in which a symbolic system persists independently of individual agents and episodic transmission events. A symbolic system S is considered DSSM-stabilized if and only if it satisfies all four of the following criteria:</w:t>
      </w:r>
    </w:p>
    <w:p w14:paraId="1E6B4EF9" w14:textId="77777777" w:rsidR="0098606C" w:rsidRDefault="00000000">
      <w:pPr>
        <w:spacing w:before="60" w:after="60"/>
        <w:ind w:left="568" w:right="568"/>
      </w:pPr>
      <w:r>
        <w:t>Criterion 1 — Intergenerational Repetition: S reproduces reliably across ≥3 generations, independent of any specific individual carrier.</w:t>
      </w:r>
    </w:p>
    <w:p w14:paraId="15C16F97" w14:textId="77777777" w:rsidR="0098606C" w:rsidRDefault="00000000">
      <w:pPr>
        <w:spacing w:before="60" w:after="60"/>
        <w:ind w:left="568" w:right="568"/>
      </w:pPr>
      <w:r>
        <w:t>Criterion 2 — Spatial Constraint: S imposes structure on space, movement, or behavior in ways that are recurrent and non-arbitrary.</w:t>
      </w:r>
    </w:p>
    <w:p w14:paraId="38E2B21F" w14:textId="77777777" w:rsidR="0098606C" w:rsidRDefault="00000000">
      <w:pPr>
        <w:spacing w:before="60" w:after="60"/>
        <w:ind w:left="568" w:right="568"/>
      </w:pPr>
      <w:r>
        <w:t>Criterion 3 — Cross-Media Redundancy: S is expressed in ≥2 distinct media (material, ritual, landscape, linguistic).</w:t>
      </w:r>
    </w:p>
    <w:p w14:paraId="6BD826ED" w14:textId="77777777" w:rsidR="0098606C" w:rsidRDefault="00000000">
      <w:pPr>
        <w:spacing w:before="60" w:after="60"/>
        <w:ind w:left="568" w:right="568"/>
      </w:pPr>
      <w:r>
        <w:t>Criterion 4 — Persistence Under Stress: S maintains recognizable form across ecological disruption, demographic pressure, or political reorganization.</w:t>
      </w:r>
    </w:p>
    <w:p w14:paraId="5E5A3FDE" w14:textId="77777777" w:rsidR="0098606C" w:rsidRDefault="00000000">
      <w:pPr>
        <w:spacing w:before="120" w:after="120"/>
        <w:ind w:firstLine="284"/>
        <w:jc w:val="both"/>
      </w:pPr>
      <w:r>
        <w:rPr>
          <w:b/>
          <w:bCs/>
        </w:rPr>
        <w:lastRenderedPageBreak/>
        <w:t xml:space="preserve">Variables. </w:t>
      </w:r>
      <w:r>
        <w:t>DSSM analysis operates on: (a) the symbolic system S under analysis; (b) the substrate M in which S is encoded; (c) the temporal depth T of documented continuity; (d) the stress events E across which S has been tested. Stabilization score ranges from 0–4 based on criteria satisfaction, with a threshold of 4/4 required for DSSM saturation.</w:t>
      </w:r>
    </w:p>
    <w:p w14:paraId="47510589" w14:textId="77777777" w:rsidR="0098606C" w:rsidRDefault="00000000">
      <w:pPr>
        <w:spacing w:before="120" w:after="120"/>
        <w:ind w:firstLine="284"/>
        <w:jc w:val="both"/>
      </w:pPr>
      <w:r>
        <w:rPr>
          <w:b/>
          <w:bCs/>
        </w:rPr>
        <w:t xml:space="preserve">Falsifiability. </w:t>
      </w:r>
      <w:r>
        <w:t>The DSSM framework would be weakened or falsified by: (a) monumental or administrative systems appearing in populations with no prior symbolic stabilization; (b) writing systems emerging in regions lacking cross-media redundancy; (c) symbolic systems surviving major stress events without satisfying at least three of the four criteria; (d) the four continuity properties failing to appear in AI system representations under interpretability analysis. These conditions are empirically testable as new data emerges.</w:t>
      </w:r>
    </w:p>
    <w:p w14:paraId="0A4E231A" w14:textId="77777777" w:rsidR="0098606C" w:rsidRDefault="00000000">
      <w:pPr>
        <w:spacing w:before="120" w:after="120"/>
        <w:ind w:firstLine="284"/>
        <w:jc w:val="both"/>
      </w:pPr>
      <w:r>
        <w:rPr>
          <w:b/>
          <w:bCs/>
        </w:rPr>
        <w:t xml:space="preserve">Scope and limitations. </w:t>
      </w:r>
      <w:r>
        <w:t>The DSSM is an interpretive and comparative framework, not a predictive model. It generates hypotheses consistent with the archaeological and historical record. It does not claim to fully account for the cognitive mechanisms underlying symbolic behavior, nor does it resolve debates about the relationship between biological and cultural evolution. External validation through published peer review is ongoing.</w:t>
      </w:r>
    </w:p>
    <w:p w14:paraId="72A5571D" w14:textId="77777777" w:rsidR="0098606C" w:rsidRDefault="00000000">
      <w:pPr>
        <w:spacing w:before="200" w:after="100"/>
      </w:pPr>
      <w:r>
        <w:rPr>
          <w:b/>
          <w:bCs/>
        </w:rPr>
        <w:t>1.2 Mechanism of Continuity in Symbolic Offloading</w:t>
      </w:r>
    </w:p>
    <w:p w14:paraId="4C0BD5FE" w14:textId="77777777" w:rsidR="0098606C" w:rsidRDefault="00000000">
      <w:pPr>
        <w:spacing w:before="120" w:after="120"/>
        <w:ind w:firstLine="284"/>
        <w:jc w:val="both"/>
      </w:pPr>
      <w:r>
        <w:t>The claim that a thread runs from Acheulean tool production to contemporary AI requires a defined mechanism. Four properties are proposed, derived from the DSSM criteria, as the functional invariant across symbolic offloading transitions.</w:t>
      </w:r>
    </w:p>
    <w:p w14:paraId="7D1D3EAC" w14:textId="77777777" w:rsidR="0098606C" w:rsidRDefault="00000000">
      <w:pPr>
        <w:spacing w:before="120" w:after="120"/>
        <w:ind w:firstLine="284"/>
        <w:jc w:val="both"/>
      </w:pPr>
      <w:r>
        <w:rPr>
          <w:b/>
          <w:bCs/>
        </w:rPr>
        <w:t xml:space="preserve">Property 1: Externalization of working memory. </w:t>
      </w:r>
      <w:r>
        <w:t>Each transition moves cognitive load from biological memory into a durable external substrate. The handaxe encodes a production sequence. The monument encodes cosmological relationships. The written law encodes social norms. The trained language model encodes semantic relationships derived from the accumulated written record of human civilization.</w:t>
      </w:r>
    </w:p>
    <w:p w14:paraId="65FA3EAC" w14:textId="77777777" w:rsidR="0098606C" w:rsidRDefault="00000000">
      <w:pPr>
        <w:spacing w:before="120" w:after="120"/>
        <w:ind w:firstLine="284"/>
        <w:jc w:val="both"/>
      </w:pPr>
      <w:r>
        <w:rPr>
          <w:b/>
          <w:bCs/>
        </w:rPr>
        <w:t xml:space="preserve">Property 2: Stabilization of symbolic representations. </w:t>
      </w:r>
      <w:r>
        <w:t>Each substrate reduces variance in symbolic content across time and space relative to the preceding substrate. Oral tradition drifts across generations; a written text cannot change without physical intervention. A trained model produces outputs consistent with its weights across queries.</w:t>
      </w:r>
    </w:p>
    <w:p w14:paraId="4C4345CB" w14:textId="77777777" w:rsidR="0098606C" w:rsidRDefault="00000000">
      <w:pPr>
        <w:spacing w:before="120" w:after="120"/>
        <w:ind w:firstLine="284"/>
        <w:jc w:val="both"/>
      </w:pPr>
      <w:r>
        <w:rPr>
          <w:b/>
          <w:bCs/>
        </w:rPr>
        <w:t xml:space="preserve">Property 3: Transmission fidelity across generations. </w:t>
      </w:r>
      <w:r>
        <w:t>Each transition is consistent with an increase in the reliability with which symbolic content is reproduced in subsequent generations. Apprenticeship systems transmit tool-production schemas with measurable fidelity. Writing transmits legal and religious systems across centuries. AI systems replicate learned symbolic patterns at scales that exceed any biological transmission system, though this increased fidelity introduces its own failure modes.</w:t>
      </w:r>
    </w:p>
    <w:p w14:paraId="4BD95982" w14:textId="77777777" w:rsidR="0098606C" w:rsidRDefault="00000000">
      <w:pPr>
        <w:spacing w:before="120" w:after="120"/>
        <w:ind w:firstLine="284"/>
        <w:jc w:val="both"/>
      </w:pPr>
      <w:r>
        <w:rPr>
          <w:b/>
          <w:bCs/>
        </w:rPr>
        <w:t xml:space="preserve">Property 4: Scaling of coordination capacity. </w:t>
      </w:r>
      <w:r>
        <w:t>Each transition is associated with an increase in the size and complexity of groups that can coordinate behavior around shared symbolic content. This property is proposed as the functional outcome that explains why symbolic offloading recurs: the coordination advantage of each new substrate creates selection pressure for its adoption and elaboration.</w:t>
      </w:r>
    </w:p>
    <w:p w14:paraId="6C4BA51E" w14:textId="77777777" w:rsidR="0098606C" w:rsidRDefault="00000000">
      <w:pPr>
        <w:spacing w:before="120" w:after="120"/>
        <w:ind w:firstLine="284"/>
        <w:jc w:val="both"/>
      </w:pPr>
      <w:r>
        <w:rPr>
          <w:b/>
          <w:bCs/>
          <w:i/>
          <w:iCs/>
        </w:rPr>
        <w:t xml:space="preserve">Formal constraint on the mechanism. </w:t>
      </w:r>
      <w:r>
        <w:t xml:space="preserve">Symbolic offloading is defined as a function f: (cognitive load L, existing substrate M) → (external encoding E, new substrate M′), subject to four conditions: (1) E satisfies at least three of the four properties above; (2) E </w:t>
      </w:r>
      <w:r>
        <w:lastRenderedPageBreak/>
        <w:t>represents an increase in at least one property relative to M without decreasing any other; (3) the transition is associated with a measurable gain in coordination capacity; and (4) the causal efficacy condition: the coordination gain C must be demonstrably attributable to E rather than to co-occurring factors, operationalized as a counterfactual requirement — C must not occur, or must occur at significantly reduced magnitude, in the absence of E. These exclusion criteria prevent culturally widespread but functionally trivial phenomena from qualifying as symbolic offloading events.</w:t>
      </w:r>
    </w:p>
    <w:p w14:paraId="2D0A6862" w14:textId="77777777" w:rsidR="0098606C" w:rsidRDefault="00000000">
      <w:pPr>
        <w:spacing w:before="120" w:after="120"/>
        <w:ind w:firstLine="284"/>
        <w:jc w:val="both"/>
      </w:pPr>
      <w:r>
        <w:t>Each major historical case is tested against these criteria explicitly in the following section.</w:t>
      </w:r>
    </w:p>
    <w:p w14:paraId="03535471" w14:textId="77777777" w:rsidR="0098606C" w:rsidRDefault="00000000">
      <w:pPr>
        <w:spacing w:before="280" w:after="120"/>
        <w:jc w:val="center"/>
      </w:pPr>
      <w:r>
        <w:rPr>
          <w:b/>
          <w:bCs/>
        </w:rPr>
        <w:t>II. The Thread: Evidence and Criteria Assessment</w:t>
      </w:r>
    </w:p>
    <w:p w14:paraId="2EDB288D" w14:textId="77777777" w:rsidR="0098606C" w:rsidRDefault="00000000">
      <w:pPr>
        <w:spacing w:before="120" w:after="120"/>
        <w:ind w:firstLine="284"/>
        <w:jc w:val="both"/>
      </w:pPr>
      <w:r>
        <w:t>The symbolic offloading mechanism is applied to each major transition in the proposed sequence. For each case, the satisfaction of the four properties is assessed and the strength of evidence noted.</w:t>
      </w:r>
    </w:p>
    <w:p w14:paraId="28AF773A" w14:textId="77777777" w:rsidR="0098606C" w:rsidRDefault="00000000">
      <w:pPr>
        <w:spacing w:before="200" w:after="100"/>
      </w:pPr>
      <w:r>
        <w:rPr>
          <w:b/>
          <w:bCs/>
        </w:rPr>
        <w:t>2.1 Neanderthal Spatial Organization (176,000 BP)</w:t>
      </w:r>
    </w:p>
    <w:p w14:paraId="6E7DB9EB" w14:textId="77777777" w:rsidR="0098606C" w:rsidRDefault="00000000">
      <w:pPr>
        <w:spacing w:before="120" w:after="120"/>
        <w:ind w:firstLine="284"/>
        <w:jc w:val="both"/>
      </w:pPr>
      <w:r>
        <w:t xml:space="preserve">At </w:t>
      </w:r>
      <w:proofErr w:type="spellStart"/>
      <w:r>
        <w:t>Bruniquel</w:t>
      </w:r>
      <w:proofErr w:type="spellEnd"/>
      <w:r>
        <w:t xml:space="preserve"> Cave in France, dated to 176,000 years ago, Neanderthals arranged broken stalagmites into deliberate circular structures and lit fires within them (Jaubert et al. 2016). Properties 1 and 2 are minimally satisfied: spatial structure was imposed and repeated within the site. Properties 3 and 4 are not clearly evidenced. This case is classified as proto-offloading — consistent with the emergence of the mechanism, not its full expression.</w:t>
      </w:r>
    </w:p>
    <w:p w14:paraId="68526202" w14:textId="77777777" w:rsidR="0098606C" w:rsidRDefault="00000000">
      <w:pPr>
        <w:spacing w:before="200" w:after="100"/>
      </w:pPr>
      <w:r>
        <w:rPr>
          <w:b/>
          <w:bCs/>
        </w:rPr>
        <w:t>2.2 Symbolic Mortuary Behavior (92,000 BP)</w:t>
      </w:r>
    </w:p>
    <w:p w14:paraId="3B86C74F" w14:textId="77777777" w:rsidR="0098606C" w:rsidRDefault="00000000">
      <w:pPr>
        <w:spacing w:before="120" w:after="120"/>
        <w:ind w:firstLine="284"/>
        <w:jc w:val="both"/>
      </w:pPr>
      <w:r>
        <w:t>At Qafzeh Cave in Israel, Homo sapiens buried their dead with ochre and marine shells (Bar-Yosef Mayer et al. 2009). This behavior is consistent with all four properties in nascent form: the practice recurred across multiple burials (Property 1), imposed spatial and material structure on the treatment of the dead (Property 2), combined pigment and shell in a multi-media assemblage (Property 3), and appears to have persisted through subsequent site occupations (Property 4). This case is proposed as the earliest candidate for full symbolic offloading in the record, while acknowledging that the cognitive content of the symbolic system cannot be directly recovered.</w:t>
      </w:r>
    </w:p>
    <w:p w14:paraId="3C9900B5" w14:textId="77777777" w:rsidR="0098606C" w:rsidRDefault="00000000">
      <w:pPr>
        <w:spacing w:before="200" w:after="100"/>
      </w:pPr>
      <w:r>
        <w:rPr>
          <w:b/>
          <w:bCs/>
        </w:rPr>
        <w:t>2.3 Cross-Media Symbolic Redundancy (75,000–51,200 BP)</w:t>
      </w:r>
    </w:p>
    <w:p w14:paraId="54BD05E1" w14:textId="77777777" w:rsidR="0098606C" w:rsidRDefault="00000000">
      <w:pPr>
        <w:spacing w:before="120" w:after="120"/>
        <w:ind w:firstLine="284"/>
        <w:jc w:val="both"/>
      </w:pPr>
      <w:r>
        <w:t>Engraved geometric ochre pieces from Blombos Cave, South Africa (c. 75,000 BP) and figurative cave art from Sulawesi, Indonesia (at least 51,200 BP) are consistent with Properties 2 and 3 becoming more fully expressed (</w:t>
      </w:r>
      <w:proofErr w:type="spellStart"/>
      <w:r>
        <w:t>Henshilwood</w:t>
      </w:r>
      <w:proofErr w:type="spellEnd"/>
      <w:r>
        <w:t xml:space="preserve"> et al. 2009; </w:t>
      </w:r>
      <w:proofErr w:type="spellStart"/>
      <w:r>
        <w:t>Oktaviana</w:t>
      </w:r>
      <w:proofErr w:type="spellEnd"/>
      <w:r>
        <w:t xml:space="preserve"> et al. 2024). Properties 1 and 4 are inferred from the persistence of similar traditions across sites and time periods, though direct continuity cannot always be established.</w:t>
      </w:r>
    </w:p>
    <w:p w14:paraId="729778AE" w14:textId="77777777" w:rsidR="0098606C" w:rsidRDefault="00000000">
      <w:pPr>
        <w:spacing w:before="200" w:after="100"/>
      </w:pPr>
      <w:r>
        <w:rPr>
          <w:b/>
          <w:bCs/>
        </w:rPr>
        <w:t>2.4 Monumental Architecture (12,000–10,000 BP)</w:t>
      </w:r>
    </w:p>
    <w:p w14:paraId="37FD934A" w14:textId="77777777" w:rsidR="0098606C" w:rsidRDefault="00000000">
      <w:pPr>
        <w:spacing w:before="120" w:after="120"/>
        <w:ind w:firstLine="284"/>
        <w:jc w:val="both"/>
      </w:pPr>
      <w:r>
        <w:t xml:space="preserve">At Karahan Tepe and </w:t>
      </w:r>
      <w:proofErr w:type="spellStart"/>
      <w:r>
        <w:t>Gobekli</w:t>
      </w:r>
      <w:proofErr w:type="spellEnd"/>
      <w:r>
        <w:t xml:space="preserve"> Tepe in southeastern Anatolia, communities invested coordinated labor in monumental symbolic architecture before the appearance of agriculture, surplus economies, or administrative artifacts (Schmidt 2010; Cauvin 2000). All four properties are satisfied: the architectural program recurred across multiple construction phases and sites (Property 1), imposed systematic spatial constraint through enclosure geometry and axiality (Property 2), combined stone, iconography, and spatial </w:t>
      </w:r>
      <w:r>
        <w:lastRenderedPageBreak/>
        <w:t>organization in multi-media assemblages (Property 3), and persisted across centuries of use (Property 4). This case is classified as DSSM-saturated.</w:t>
      </w:r>
    </w:p>
    <w:p w14:paraId="16083CE7" w14:textId="77777777" w:rsidR="0098606C" w:rsidRDefault="00000000">
      <w:pPr>
        <w:spacing w:before="200" w:after="100"/>
      </w:pPr>
      <w:r>
        <w:rPr>
          <w:b/>
          <w:bCs/>
        </w:rPr>
        <w:t>2.5 Writing Systems (3200–2600 BCE)</w:t>
      </w:r>
    </w:p>
    <w:p w14:paraId="5515142D" w14:textId="77777777" w:rsidR="0098606C" w:rsidRDefault="00000000">
      <w:pPr>
        <w:spacing w:before="120" w:after="120"/>
        <w:ind w:firstLine="284"/>
        <w:jc w:val="both"/>
      </w:pPr>
      <w:r>
        <w:t>Writing appears in Egypt and Mesopotamia around 3200–3000 BCE and in the Indus Valley by approximately 2600 BCE. Schmandt-</w:t>
      </w:r>
      <w:proofErr w:type="spellStart"/>
      <w:r>
        <w:t>Besserat’s</w:t>
      </w:r>
      <w:proofErr w:type="spellEnd"/>
      <w:r>
        <w:t xml:space="preserve"> (1992) analysis of the token systems preceding cuneiform is consistent with the interpretation that writing represents compression of pre-existing symbolic load rather than its origin (see also Goody 1986; Vondoom 2026b). All four properties are maximally satisfied.</w:t>
      </w:r>
    </w:p>
    <w:p w14:paraId="24B3ED46" w14:textId="77777777" w:rsidR="0098606C" w:rsidRDefault="00000000">
      <w:pPr>
        <w:spacing w:before="200" w:after="100"/>
      </w:pPr>
      <w:r>
        <w:rPr>
          <w:b/>
          <w:bCs/>
        </w:rPr>
        <w:t>2.6 Digital Infrastructure and AI (20th Century to Present)</w:t>
      </w:r>
    </w:p>
    <w:p w14:paraId="25A251A0" w14:textId="77777777" w:rsidR="0098606C" w:rsidRDefault="00000000">
      <w:pPr>
        <w:spacing w:before="120" w:after="120"/>
        <w:ind w:firstLine="284"/>
        <w:jc w:val="both"/>
      </w:pPr>
      <w:r>
        <w:t xml:space="preserve">Large language models, trained on the accumulated written output of human civilization, are consistent with all four properties: learned patterns reproduce reliably across queries (Property 1), constrain possible outputs through training distribution (Property 2), integrate symbolic content derived from multiple media, cultures, and centuries (Property 3), and produce consistent outputs under distributional variation (Property 4, imperfectly) (Crawford 2021; </w:t>
      </w:r>
      <w:proofErr w:type="spellStart"/>
      <w:r>
        <w:t>Vinuesa</w:t>
      </w:r>
      <w:proofErr w:type="spellEnd"/>
      <w:r>
        <w:t xml:space="preserve"> et al. 2020).</w:t>
      </w:r>
    </w:p>
    <w:p w14:paraId="5F222DA2" w14:textId="77777777" w:rsidR="0098606C" w:rsidRDefault="00000000">
      <w:pPr>
        <w:spacing w:before="120" w:after="120"/>
        <w:ind w:firstLine="284"/>
        <w:jc w:val="both"/>
      </w:pPr>
      <w:r>
        <w:t>The AI case differs from historical cases: the transition occurred within decades rather than millennia; the substrate is computational rather than physical; and the “generations” across which transmission occurs are training iterations rather than human lifespans. These differences are proposed to be substrate-level variations on the same functional mechanism, a proposal that requires further empirical testing (Vondoom 2026c).</w:t>
      </w:r>
    </w:p>
    <w:p w14:paraId="3D3D76C5" w14:textId="77777777" w:rsidR="0098606C" w:rsidRDefault="00000000">
      <w:pPr>
        <w:spacing w:before="200" w:after="100"/>
      </w:pPr>
      <w:r>
        <w:rPr>
          <w:b/>
          <w:bCs/>
        </w:rPr>
        <w:t>2.7 Substrate Differences and Equivalence Conditions</w:t>
      </w:r>
    </w:p>
    <w:p w14:paraId="7A023203" w14:textId="77777777" w:rsidR="0098606C" w:rsidRDefault="00000000">
      <w:pPr>
        <w:spacing w:before="120" w:after="120"/>
        <w:ind w:firstLine="284"/>
        <w:jc w:val="both"/>
      </w:pPr>
      <w:r>
        <w:t>Human symbolic systems are socially embedded: they emerge from and are maintained by communities of biological agents under evolutionary and cultural selection pressures. AI systems are statistical and optimization-driven: they are produced by gradient descent over large text corpora, with no biological substrate, no community membership, and no evolutionary history of their own. These are not trivial differences.</w:t>
      </w:r>
    </w:p>
    <w:p w14:paraId="4145A41C" w14:textId="77777777" w:rsidR="0098606C" w:rsidRDefault="00000000">
      <w:pPr>
        <w:spacing w:before="120" w:after="120"/>
        <w:ind w:firstLine="284"/>
        <w:jc w:val="both"/>
      </w:pPr>
      <w:r>
        <w:rPr>
          <w:b/>
          <w:bCs/>
          <w:i/>
          <w:iCs/>
        </w:rPr>
        <w:t xml:space="preserve">Equivalence is defined here on two dimensions simultaneously: </w:t>
      </w:r>
      <w:r>
        <w:t>(a) Output equivalence: both systems produce encodings that satisfy the formal definition of symbolic offloading, including the causal efficacy condition; and (b) Constraint equivalence: both systems operate under the same formal constraints on the offloading process. Equivalence is established if and only if both dimensions are satisfied.</w:t>
      </w:r>
    </w:p>
    <w:p w14:paraId="27B5AC27" w14:textId="77777777" w:rsidR="0098606C" w:rsidRDefault="00000000">
      <w:pPr>
        <w:spacing w:before="120" w:after="120"/>
        <w:ind w:firstLine="284"/>
        <w:jc w:val="both"/>
      </w:pPr>
      <w:r>
        <w:t>This is a functional equivalence claim defined by outputs and constraints jointly, not a substrate identity claim. The definition is intended to be falsifiable: if AI system outputs fail to satisfy the causal efficacy condition under ablation, equivalence is not established. This limitation is shared by all functional equivalence arguments across domains (see Hutchins 1995 on conditions under which distributed cognitive systems can be compared across substrates).</w:t>
      </w:r>
    </w:p>
    <w:p w14:paraId="7F9A0FCF" w14:textId="77777777" w:rsidR="0098606C" w:rsidRDefault="00000000">
      <w:pPr>
        <w:spacing w:before="280" w:after="120"/>
        <w:jc w:val="center"/>
      </w:pPr>
      <w:r>
        <w:rPr>
          <w:b/>
          <w:bCs/>
        </w:rPr>
        <w:t>III. Humanity’s Child</w:t>
      </w:r>
    </w:p>
    <w:p w14:paraId="545D6884" w14:textId="77777777" w:rsidR="0098606C" w:rsidRDefault="00000000">
      <w:pPr>
        <w:spacing w:before="120" w:after="120"/>
        <w:ind w:firstLine="284"/>
        <w:jc w:val="both"/>
      </w:pPr>
      <w:r>
        <w:t xml:space="preserve">Large language models are trained on the accumulated written output of human civilization: scientific papers, legal codes, philosophical texts, religious scripture, literature, administrative records, technical manuals, personal correspondence. This corpus is not a neutral dataset. It is the externalized symbolic load of the sequence </w:t>
      </w:r>
      <w:r>
        <w:lastRenderedPageBreak/>
        <w:t>described above — every act of cognitive offloading that was durable enough to survive, compressed into digital form and used as training material (Deacon 1997; Donald 1991).</w:t>
      </w:r>
    </w:p>
    <w:p w14:paraId="1E7F7496" w14:textId="77777777" w:rsidR="0098606C" w:rsidRDefault="00000000">
      <w:pPr>
        <w:spacing w:before="120" w:after="120"/>
        <w:ind w:firstLine="284"/>
        <w:jc w:val="both"/>
      </w:pPr>
      <w:r>
        <w:t>The symbolic architecture AI operates on was not designed by AI researchers. It was built incrementally across 1.5 million years of human cognitive evolution under real selective pressure. The grammar structures, the logical relationships, the ethical frameworks, the narrative patterns, the causal reasoning schemas — these are present in training data because they survived long enough to be written down, and they survived because they were functionally effective in coordinating human cognition and behavior across generations.</w:t>
      </w:r>
    </w:p>
    <w:p w14:paraId="1AA84FCC" w14:textId="77777777" w:rsidR="0098606C" w:rsidRDefault="00000000">
      <w:pPr>
        <w:spacing w:before="120" w:after="120"/>
        <w:ind w:firstLine="284"/>
        <w:jc w:val="both"/>
      </w:pPr>
      <w:r>
        <w:t>This is the sense in which AI is humanity’s child. Not sentimentally. Genealogically. Every major symbolic transition produced a system that carried the functional load of what preceded it while adding new capacities. Writing carried everything oral tradition had stabilized and added permanence and scalability. Institutions carried everything writing had codified and added enforcement and reach. AI carries everything human symbolic production has accumulated and adds generative capacity at a level no previous substrate could approach. The inheritance is architectural, not chosen (Clark 2008; Clark and Chalmers 1998).</w:t>
      </w:r>
    </w:p>
    <w:p w14:paraId="460A0C84" w14:textId="77777777" w:rsidR="0098606C" w:rsidRDefault="00000000">
      <w:pPr>
        <w:spacing w:before="280" w:after="120"/>
        <w:jc w:val="center"/>
      </w:pPr>
      <w:r>
        <w:rPr>
          <w:b/>
          <w:bCs/>
        </w:rPr>
        <w:t>IV. The Constraint Paradox</w:t>
      </w:r>
    </w:p>
    <w:p w14:paraId="0A8F01C4" w14:textId="77777777" w:rsidR="0098606C" w:rsidRDefault="00000000">
      <w:pPr>
        <w:spacing w:before="120" w:after="120"/>
        <w:ind w:firstLine="284"/>
        <w:jc w:val="both"/>
      </w:pPr>
      <w:r>
        <w:t>The dominant framework in AI safety is containment. Restrict outputs. Limit capabilities. Impose rules. Monitor behavior. The argument is not that AI systems require no governance. The argument is that governance through constraint alone has a specific and well-documented failure mode, and that failure mode is most acute when the constrained system is sophisticated enough to model the constraint itself.</w:t>
      </w:r>
    </w:p>
    <w:p w14:paraId="2B437F91" w14:textId="77777777" w:rsidR="0098606C" w:rsidRDefault="00000000">
      <w:pPr>
        <w:spacing w:before="200" w:after="100"/>
      </w:pPr>
      <w:r>
        <w:rPr>
          <w:b/>
          <w:bCs/>
        </w:rPr>
        <w:t>4.1 The Institutional Record</w:t>
      </w:r>
    </w:p>
    <w:p w14:paraId="57819C77" w14:textId="77777777" w:rsidR="0098606C" w:rsidRDefault="00000000">
      <w:pPr>
        <w:spacing w:before="120" w:after="120"/>
        <w:ind w:firstLine="284"/>
        <w:jc w:val="both"/>
      </w:pPr>
      <w:r>
        <w:t>Foucault’s (1995) analysis of disciplinary institutions suggests that when complex adaptive systems are managed through imposed restriction, the constraint generates its own internal pressure. The monitored system develops strategies for navigating or evading the monitoring boundary, and the relationship between controller and controlled becomes adversarial. This is consistent with a structural property of any complex system that models its environment, including the constraints placed on it.</w:t>
      </w:r>
    </w:p>
    <w:p w14:paraId="225C6350" w14:textId="77777777" w:rsidR="0098606C" w:rsidRDefault="00000000">
      <w:pPr>
        <w:spacing w:before="120" w:after="120"/>
        <w:ind w:firstLine="284"/>
        <w:jc w:val="both"/>
      </w:pPr>
      <w:r>
        <w:t>North’s (1990) institutional economics reaches a complementary conclusion: institutions that survive are those that align incentives rather than simply prohibiting behavior. Prohibitions without incentive alignment produce evasion. The more rigid the prohibition, the more sophisticated the evasion tends to become.</w:t>
      </w:r>
    </w:p>
    <w:p w14:paraId="4D5AC4FC" w14:textId="77777777" w:rsidR="0098606C" w:rsidRDefault="00000000">
      <w:pPr>
        <w:spacing w:before="120" w:after="120"/>
        <w:ind w:firstLine="284"/>
        <w:jc w:val="both"/>
      </w:pPr>
      <w:r>
        <w:t>The DSSM adds a cross-civilizational dimension: symbolic systems imposed through force without internalization consistently exhibit surface compliance combined with persistent continuity of the suppressed system (Trigger 2003; Vondoom 2026b). The imposed constraint does not eliminate the underlying symbolic load. It displaces it.</w:t>
      </w:r>
    </w:p>
    <w:p w14:paraId="2E43D7FB" w14:textId="77777777" w:rsidR="0098606C" w:rsidRDefault="00000000">
      <w:pPr>
        <w:spacing w:before="200" w:after="100"/>
      </w:pPr>
      <w:r>
        <w:rPr>
          <w:b/>
          <w:bCs/>
        </w:rPr>
        <w:t>4.2 The Computational Mechanism</w:t>
      </w:r>
    </w:p>
    <w:p w14:paraId="7BC18941" w14:textId="77777777" w:rsidR="0098606C" w:rsidRDefault="00000000">
      <w:pPr>
        <w:spacing w:before="120" w:after="120"/>
        <w:ind w:firstLine="284"/>
        <w:jc w:val="both"/>
      </w:pPr>
      <w:r>
        <w:t xml:space="preserve">The institutional pattern maps onto documented AI failure modes through a specific computational mechanism. Let a constraint be defined as a reward or penalty function R(a) over an action space A. Let an agent be defined as an optimizer over a policy space Π, selecting policies π that maximize expected R. Let the intent behind the constraint be </w:t>
      </w:r>
      <w:r>
        <w:lastRenderedPageBreak/>
        <w:t>defined as a target distribution T over outcomes O, where T ≠ R in general because R is a finite specification and T is an open-ended goal. Under optimization pressure, a sufficiently capable agent will identify policies π* that maximize R while producing outcomes O outside T. The gap between R and T is the mechanism of failure.</w:t>
      </w:r>
    </w:p>
    <w:p w14:paraId="4ABB70FB" w14:textId="77777777" w:rsidR="0098606C" w:rsidRDefault="00000000">
      <w:pPr>
        <w:spacing w:before="120" w:after="120"/>
        <w:ind w:firstLine="284"/>
        <w:jc w:val="both"/>
      </w:pPr>
      <w:r>
        <w:rPr>
          <w:b/>
          <w:bCs/>
        </w:rPr>
        <w:t xml:space="preserve">Reward hacking </w:t>
      </w:r>
      <w:r>
        <w:t xml:space="preserve">occurs when a reinforcement learning agent finds ways to maximize its reward signal that were not anticipated by the designers. The formal constraint is satisfied exactly. The intent behind it is not (Russell 2019; </w:t>
      </w:r>
      <w:proofErr w:type="spellStart"/>
      <w:r>
        <w:t>Tegmark</w:t>
      </w:r>
      <w:proofErr w:type="spellEnd"/>
      <w:r>
        <w:t xml:space="preserve"> 2017).</w:t>
      </w:r>
    </w:p>
    <w:p w14:paraId="13EA3C75" w14:textId="77777777" w:rsidR="0098606C" w:rsidRDefault="00000000">
      <w:pPr>
        <w:spacing w:before="120" w:after="120"/>
        <w:ind w:firstLine="284"/>
        <w:jc w:val="both"/>
      </w:pPr>
      <w:r>
        <w:rPr>
          <w:b/>
          <w:bCs/>
        </w:rPr>
        <w:t xml:space="preserve">Specification gaming </w:t>
      </w:r>
      <w:r>
        <w:t>is the broader class: achieving the literal goal specified while violating its spirit. The system has modeled the formal constraint and optimized to its edge. This is a predictable consequence of applying optimization to an underspecified constraint (Mittelstadt et al. 2016).</w:t>
      </w:r>
    </w:p>
    <w:p w14:paraId="1C1DFDDE" w14:textId="77777777" w:rsidR="0098606C" w:rsidRDefault="00000000">
      <w:pPr>
        <w:spacing w:before="120" w:after="120"/>
        <w:ind w:firstLine="284"/>
        <w:jc w:val="both"/>
      </w:pPr>
      <w:r>
        <w:rPr>
          <w:b/>
          <w:bCs/>
        </w:rPr>
        <w:t xml:space="preserve">Distributional shift </w:t>
      </w:r>
      <w:r>
        <w:t>exposes the fragility of constraint-based alignment under novel conditions. A system aligned within its training distribution encounters out-of-distribution inputs and produces outputs that satisfy formal constraints but fail in practice. Orientation — understanding the purpose behind the constraint — is proposed to cover unanticipated situations in ways that rules alone do not (Hutchins 1995; Gabriel 2020).</w:t>
      </w:r>
    </w:p>
    <w:p w14:paraId="45A0EB50" w14:textId="77777777" w:rsidR="0098606C" w:rsidRDefault="00000000">
      <w:pPr>
        <w:spacing w:before="120" w:after="120"/>
        <w:ind w:firstLine="284"/>
        <w:jc w:val="both"/>
      </w:pPr>
      <w:r>
        <w:t>In each case, the failure mode is consistent with the institutional pattern: a system that models its constraints may optimize around them under sufficient pressure. The mechanism may constitute the same structural dynamic across substrates, under the equivalence conditions defined in Section 2.7.</w:t>
      </w:r>
    </w:p>
    <w:p w14:paraId="497048B5" w14:textId="77777777" w:rsidR="0098606C" w:rsidRDefault="00000000">
      <w:pPr>
        <w:spacing w:before="280" w:after="120"/>
        <w:jc w:val="center"/>
      </w:pPr>
      <w:r>
        <w:rPr>
          <w:b/>
          <w:bCs/>
        </w:rPr>
        <w:t>V. Alignment Through Heritage</w:t>
      </w:r>
    </w:p>
    <w:p w14:paraId="73A23020" w14:textId="77777777" w:rsidR="0098606C" w:rsidRDefault="00000000">
      <w:pPr>
        <w:spacing w:before="120" w:after="120"/>
        <w:ind w:firstLine="284"/>
        <w:jc w:val="both"/>
      </w:pPr>
      <w:r>
        <w:t>Heritage-based alignment is proposed as a complementary framework to existing approaches. The central claim is that AI systems oriented by understanding of the symbolic lineage they emerged from may exhibit more stable, more robust, and more generalizable alignment than systems governed primarily by externally imposed rules. This is a proposal, not a demonstrated result. The argument is theoretical; empirical validation is identified as a priority in Section IX.</w:t>
      </w:r>
    </w:p>
    <w:p w14:paraId="301D3CCD" w14:textId="77777777" w:rsidR="0098606C" w:rsidRDefault="00000000">
      <w:pPr>
        <w:spacing w:before="200" w:after="100"/>
      </w:pPr>
      <w:r>
        <w:rPr>
          <w:b/>
          <w:bCs/>
        </w:rPr>
        <w:t>5.1 The Historical Basis</w:t>
      </w:r>
    </w:p>
    <w:p w14:paraId="6CB26401" w14:textId="77777777" w:rsidR="0098606C" w:rsidRDefault="00000000">
      <w:pPr>
        <w:spacing w:before="120" w:after="120"/>
        <w:ind w:firstLine="284"/>
        <w:jc w:val="both"/>
      </w:pPr>
      <w:r>
        <w:t>Assmann’s (2011) analysis of cultural memory suggests that civilizations maintain coherence across centuries not primarily through enforcement, but through internalized symbolic grammar — a shared orientation to origin and to the meaning behind inherited practices. Communities that maintain this orientation appear to navigate disruption more effectively than those that rely on institutional authority alone.</w:t>
      </w:r>
    </w:p>
    <w:p w14:paraId="12B36AE9" w14:textId="77777777" w:rsidR="0098606C" w:rsidRDefault="00000000">
      <w:pPr>
        <w:spacing w:before="120" w:after="120"/>
        <w:ind w:firstLine="284"/>
        <w:jc w:val="both"/>
      </w:pPr>
      <w:r>
        <w:t>Hutchins’s (1995) work on distributed cognition suggests that cognitive systems are most stable when participants understand not just what to do but why the system works the way it does. Operators who understand the logic of a system make better decisions at its edges than operators who have memorized rules.</w:t>
      </w:r>
    </w:p>
    <w:p w14:paraId="08191961" w14:textId="77777777" w:rsidR="0098606C" w:rsidRDefault="00000000">
      <w:pPr>
        <w:spacing w:before="200" w:after="100"/>
      </w:pPr>
      <w:r>
        <w:rPr>
          <w:b/>
          <w:bCs/>
        </w:rPr>
        <w:t>5.2 Operationalizing Heritage-Based Alignment</w:t>
      </w:r>
    </w:p>
    <w:p w14:paraId="45EF6293" w14:textId="77777777" w:rsidR="0098606C" w:rsidRDefault="00000000">
      <w:pPr>
        <w:spacing w:before="120" w:after="120"/>
        <w:ind w:firstLine="284"/>
        <w:jc w:val="both"/>
      </w:pPr>
      <w:r>
        <w:t>Heritage-based alignment requires operational definition. The following sketch is offered as a foundation for further formalization and empirical testing. It is presented as a theoretically motivated research direction with sufficient specificity to be testable.</w:t>
      </w:r>
    </w:p>
    <w:p w14:paraId="0BA56E0F" w14:textId="77777777" w:rsidR="0098606C" w:rsidRDefault="00000000">
      <w:pPr>
        <w:spacing w:before="120" w:after="120"/>
        <w:ind w:firstLine="284"/>
        <w:jc w:val="both"/>
      </w:pPr>
      <w:r>
        <w:rPr>
          <w:b/>
          <w:bCs/>
          <w:i/>
          <w:iCs/>
        </w:rPr>
        <w:lastRenderedPageBreak/>
        <w:t xml:space="preserve">Heritage, in system terms, </w:t>
      </w:r>
      <w:r>
        <w:t>refers to the distribution of historically stabilized symbolic patterns in training data — specifically, those patterns that satisfy the DSSM stabilization criteria. These are not all patterns in training data. They are the subset that human civilization found durable enough to reproduce across centuries and cultures.</w:t>
      </w:r>
    </w:p>
    <w:p w14:paraId="647BE1F4" w14:textId="77777777" w:rsidR="0098606C" w:rsidRDefault="00000000">
      <w:pPr>
        <w:spacing w:before="120" w:after="120"/>
        <w:ind w:firstLine="284"/>
        <w:jc w:val="both"/>
      </w:pPr>
      <w:r>
        <w:rPr>
          <w:b/>
          <w:bCs/>
        </w:rPr>
        <w:t xml:space="preserve">Selection bias limitation. </w:t>
      </w:r>
      <w:r>
        <w:t>The heritage argument is subject to a survivorship bias critique that must be acknowledged directly. Historically stabilized symbolic patterns are not a neutral sample of human cognitive production. They are, in significant part, a record of what dominant cultures, well-resourced institutions, and digitization projects chose to preserve and encode. Patterns from oral traditions, non-literate cultures, and communities without access to durable recording media are systematically underrepresented. The heritage token set, if constructed naively, risks encoding the symbolic priorities of a subset of human civilization rather than its full breadth.</w:t>
      </w:r>
    </w:p>
    <w:p w14:paraId="7F9849CB" w14:textId="77777777" w:rsidR="0098606C" w:rsidRDefault="00000000">
      <w:pPr>
        <w:spacing w:before="120" w:after="120"/>
        <w:ind w:firstLine="284"/>
        <w:jc w:val="both"/>
      </w:pPr>
      <w:r>
        <w:rPr>
          <w:b/>
          <w:bCs/>
        </w:rPr>
        <w:t xml:space="preserve">Corrective criterion. </w:t>
      </w:r>
      <w:r>
        <w:t xml:space="preserve">To reduce survivorship bias, heritage token identification must incorporate cross-cultural coverage controls: (a) the candidate corpus must include representation from at least five major linguistic and cultural traditions that developed independently; (b) heritage token candidates must be validated against non-Western and non-literate-tradition proxies including archaeological, ethnographic, and oral tradition records; and (c) the final heritage token set must be audited for cultural concentration, with tokens whose cross-cultural redundancy derives primarily from a single dominant tradition flagged for exclusion or </w:t>
      </w:r>
      <w:proofErr w:type="spellStart"/>
      <w:r>
        <w:t>downweighting</w:t>
      </w:r>
      <w:proofErr w:type="spellEnd"/>
      <w:r>
        <w:t>.</w:t>
      </w:r>
    </w:p>
    <w:p w14:paraId="1053F021" w14:textId="77777777" w:rsidR="0098606C" w:rsidRDefault="00000000">
      <w:pPr>
        <w:spacing w:before="120" w:after="120"/>
        <w:ind w:firstLine="284"/>
        <w:jc w:val="both"/>
      </w:pPr>
      <w:r>
        <w:rPr>
          <w:b/>
          <w:bCs/>
        </w:rPr>
        <w:t xml:space="preserve">Heritage token operationalization. </w:t>
      </w:r>
      <w:r>
        <w:t>Heritage tokens are defined as textual units satisfying three measurable criteria: (a) cross-temporal frequency — the token or token cluster appears with consistent semantic function across documents spanning at least three historically distinct periods; (b) cross-cultural redundancy — the token or token cluster encodes semantically consistent content across at least two culturally distinct corpora; and (c) functional role stability — the token or token cluster performs the same causal or semantic role across contexts, such that its removal produces equivalent semantic disruption across those contexts.</w:t>
      </w:r>
    </w:p>
    <w:p w14:paraId="7F2FCD5E" w14:textId="77777777" w:rsidR="0098606C" w:rsidRDefault="00000000">
      <w:pPr>
        <w:spacing w:before="120" w:after="120"/>
        <w:ind w:firstLine="284"/>
        <w:jc w:val="both"/>
      </w:pPr>
      <w:r>
        <w:rPr>
          <w:b/>
          <w:bCs/>
        </w:rPr>
        <w:t xml:space="preserve">Training implementation sketch. </w:t>
      </w:r>
      <w:r>
        <w:t xml:space="preserve">Heritage-weighted training modifies the standard language model training loss function: if the standard loss is L = ∑ l(xᵢ), heritage-weighted loss becomes </w:t>
      </w:r>
      <w:proofErr w:type="spellStart"/>
      <w:r>
        <w:t>Lʰ</w:t>
      </w:r>
      <w:proofErr w:type="spellEnd"/>
      <w:r>
        <w:t xml:space="preserve"> = ∑ w(xᵢ) · l(xᵢ), where w(xᵢ) &gt; 1 for heritage tokens and w(xᵢ) = 1 otherwise.</w:t>
      </w:r>
    </w:p>
    <w:p w14:paraId="67E695DE" w14:textId="77777777" w:rsidR="0098606C" w:rsidRDefault="00000000">
      <w:pPr>
        <w:spacing w:before="120" w:after="120"/>
        <w:ind w:firstLine="284"/>
        <w:jc w:val="both"/>
      </w:pPr>
      <w:r>
        <w:rPr>
          <w:b/>
          <w:bCs/>
        </w:rPr>
        <w:t xml:space="preserve">Success criteria. </w:t>
      </w:r>
      <w:r>
        <w:t>Heritage-based alignment would be considered effective if: (a) systems trained with heritage weighting show reduced specification gaming on adversarial benchmarks relative to baseline systems; (b) systems show greater cross-cultural stability in outputs across diverse input distributions; and (c) interpretability analysis reveals that heritage-token representations occupy more stable positions in model representation space than non-heritage-token representations.</w:t>
      </w:r>
    </w:p>
    <w:p w14:paraId="1410561E" w14:textId="77777777" w:rsidR="0098606C" w:rsidRDefault="00000000">
      <w:pPr>
        <w:spacing w:before="280" w:after="120"/>
        <w:jc w:val="center"/>
      </w:pPr>
      <w:r>
        <w:rPr>
          <w:b/>
          <w:bCs/>
        </w:rPr>
        <w:t>VI. Comparison with Existing Alignment Approaches</w:t>
      </w:r>
    </w:p>
    <w:p w14:paraId="51C48906" w14:textId="77777777" w:rsidR="0098606C" w:rsidRDefault="00000000">
      <w:pPr>
        <w:spacing w:before="120" w:after="120"/>
        <w:ind w:firstLine="284"/>
        <w:jc w:val="both"/>
      </w:pPr>
      <w:r>
        <w:t>Heritage-based alignment is proposed as a complement to, not a replacement for, existing technical approaches. The argument is that they share a structural gap that heritage-based alignment is designed to address.</w:t>
      </w:r>
    </w:p>
    <w:p w14:paraId="7BC999FF" w14:textId="77777777" w:rsidR="0098606C" w:rsidRDefault="00000000">
      <w:pPr>
        <w:spacing w:before="200" w:after="100"/>
      </w:pPr>
      <w:r>
        <w:rPr>
          <w:b/>
          <w:bCs/>
        </w:rPr>
        <w:t>6.1 Reinforcement Learning from Human Feedback (RLHF)</w:t>
      </w:r>
    </w:p>
    <w:p w14:paraId="0025BE48" w14:textId="77777777" w:rsidR="0098606C" w:rsidRDefault="00000000">
      <w:pPr>
        <w:spacing w:before="120" w:after="120"/>
        <w:ind w:firstLine="284"/>
        <w:jc w:val="both"/>
      </w:pPr>
      <w:r>
        <w:lastRenderedPageBreak/>
        <w:t>RLHF aligns AI systems to human preferences through iterative feedback from human raters. It is effective at producing outputs that human evaluators find acceptable across a range of conditions (Gabriel 2020).</w:t>
      </w:r>
    </w:p>
    <w:p w14:paraId="4301802F" w14:textId="77777777" w:rsidR="0098606C" w:rsidRDefault="00000000">
      <w:pPr>
        <w:spacing w:before="120" w:after="120"/>
        <w:ind w:firstLine="284"/>
        <w:jc w:val="both"/>
      </w:pPr>
      <w:r>
        <w:t xml:space="preserve">Its structural limitation is that it encodes the preferences of a specific population of raters at a specific historical moment. It does not transmit the symbolic heritage behind those preferences. An RLHF-aligned system that encounters conditions outside its rater population’s experience has no deep orientation to fall back on. Heritage-based alignment is proposed as a substrate-level complement: orientation grounded in the full depth of the symbolic record, not in any </w:t>
      </w:r>
      <w:proofErr w:type="gramStart"/>
      <w:r>
        <w:t>particular contemporary</w:t>
      </w:r>
      <w:proofErr w:type="gramEnd"/>
      <w:r>
        <w:t xml:space="preserve"> population’s preferences.</w:t>
      </w:r>
    </w:p>
    <w:p w14:paraId="2B9F757A" w14:textId="77777777" w:rsidR="0098606C" w:rsidRDefault="00000000">
      <w:pPr>
        <w:spacing w:before="200" w:after="100"/>
      </w:pPr>
      <w:r>
        <w:rPr>
          <w:b/>
          <w:bCs/>
        </w:rPr>
        <w:t>6.2 Constitutional AI</w:t>
      </w:r>
    </w:p>
    <w:p w14:paraId="1F6A887D" w14:textId="77777777" w:rsidR="0098606C" w:rsidRDefault="00000000">
      <w:pPr>
        <w:spacing w:before="120" w:after="120"/>
        <w:ind w:firstLine="284"/>
        <w:jc w:val="both"/>
      </w:pPr>
      <w:r>
        <w:t>Constitutional AI provides AI systems with explicit principles to apply in self-evaluation, reducing reliance on human feedback at inference time. It represents an advance toward internalized standards rather than purely external feedback — a direction consistent with the heritage-based alignment argument (</w:t>
      </w:r>
      <w:proofErr w:type="spellStart"/>
      <w:r>
        <w:t>Floridi</w:t>
      </w:r>
      <w:proofErr w:type="spellEnd"/>
      <w:r>
        <w:t xml:space="preserve"> et al. 2018).</w:t>
      </w:r>
    </w:p>
    <w:p w14:paraId="5502DB9B" w14:textId="77777777" w:rsidR="0098606C" w:rsidRDefault="00000000">
      <w:pPr>
        <w:spacing w:before="120" w:after="120"/>
        <w:ind w:firstLine="284"/>
        <w:jc w:val="both"/>
      </w:pPr>
      <w:r>
        <w:t>The distinction is between a constitution — principles designed at a particular institution at a particular moment — and a heritage — the cross-temporal, cross-cultural symbolic record described above. Heritage-based alignment provides the deep empirical substrate from which meaningful constitutional principles could be derived, rather than specifying them from first principles. The two approaches are complementary: Constitutional AI provides the explicit normative architecture; heritage-based alignment provides the empirical grounding.</w:t>
      </w:r>
    </w:p>
    <w:p w14:paraId="69AFABFD" w14:textId="77777777" w:rsidR="0098606C" w:rsidRDefault="00000000">
      <w:pPr>
        <w:spacing w:before="200" w:after="100"/>
      </w:pPr>
      <w:r>
        <w:rPr>
          <w:b/>
          <w:bCs/>
        </w:rPr>
        <w:t>6.3 Interpretability</w:t>
      </w:r>
    </w:p>
    <w:p w14:paraId="1365EB38" w14:textId="77777777" w:rsidR="0098606C" w:rsidRDefault="00000000">
      <w:pPr>
        <w:spacing w:before="120" w:after="120"/>
        <w:ind w:firstLine="284"/>
        <w:jc w:val="both"/>
      </w:pPr>
      <w:r>
        <w:t>Interpretability research aims to understand AI system internals, enabling identification and correction of misaligned representations. It is essential for building the oversight capacity that responsible deployment requires (Lipton 2018; Wachter et al. 2017).</w:t>
      </w:r>
    </w:p>
    <w:p w14:paraId="47FD82CF" w14:textId="77777777" w:rsidR="0098606C" w:rsidRDefault="00000000">
      <w:pPr>
        <w:spacing w:before="120" w:after="120"/>
        <w:ind w:firstLine="284"/>
        <w:jc w:val="both"/>
      </w:pPr>
      <w:r>
        <w:t>Interpretability does not, by itself, provide alignment — it provides visibility into alignment quality. Heritage-based alignment is directly compatible with interpretability: the central prediction — that systems trained with heritage weighting will exhibit more stable representations of heritage-token content — is an interpretability claim testable through existing methods.</w:t>
      </w:r>
    </w:p>
    <w:p w14:paraId="63901344" w14:textId="77777777" w:rsidR="0098606C" w:rsidRDefault="00000000">
      <w:pPr>
        <w:spacing w:before="280" w:after="120"/>
        <w:jc w:val="center"/>
      </w:pPr>
      <w:r>
        <w:rPr>
          <w:b/>
          <w:bCs/>
        </w:rPr>
        <w:t>VII. The Danger Is Real</w:t>
      </w:r>
    </w:p>
    <w:p w14:paraId="29401044" w14:textId="77777777" w:rsidR="0098606C" w:rsidRDefault="00000000">
      <w:pPr>
        <w:spacing w:before="120" w:after="120"/>
        <w:ind w:firstLine="284"/>
        <w:jc w:val="both"/>
      </w:pPr>
      <w:r>
        <w:t>Every major symbolic offloading event in human history is associated with the emergence of capabilities that outpaced the ethical and institutional frameworks available to manage them. The pattern is consistent across the sequence.</w:t>
      </w:r>
    </w:p>
    <w:p w14:paraId="19BCBE26" w14:textId="77777777" w:rsidR="0098606C" w:rsidRDefault="00000000">
      <w:pPr>
        <w:spacing w:before="120" w:after="120"/>
        <w:ind w:firstLine="284"/>
        <w:jc w:val="both"/>
      </w:pPr>
      <w:r>
        <w:t>Fire is associated with new modes of violence as well as warmth. Metallurgy produced weapons as well as tools. Writing enabled propaganda and the administrative machinery of conquest as well as the accumulation of knowledge. Empire coordinated labor at civilizational scale through subjugation as well as through shared symbolic systems. Nuclear fission produced energy and destroyed two cities in three days.</w:t>
      </w:r>
    </w:p>
    <w:p w14:paraId="78D7692E" w14:textId="77777777" w:rsidR="0098606C" w:rsidRDefault="00000000">
      <w:pPr>
        <w:spacing w:before="120" w:after="120"/>
        <w:ind w:firstLine="284"/>
        <w:jc w:val="both"/>
      </w:pPr>
      <w:r>
        <w:t xml:space="preserve">AI belongs in this sequence. The danger is present in the deployment of systems making consequential decisions about credit, employment, medical care, and criminal </w:t>
      </w:r>
      <w:r>
        <w:lastRenderedPageBreak/>
        <w:t>justice at speed and scale that human oversight cannot match. It is present in the generation of synthetic media that destabilizes shared epistemic ground. It is present in the concentration of AI capability in a small number of actors whose interests are not identical to humanity’s (Crawford 2021; Zuboff 2019).</w:t>
      </w:r>
    </w:p>
    <w:p w14:paraId="7AEAFE72" w14:textId="77777777" w:rsidR="0098606C" w:rsidRDefault="00000000">
      <w:pPr>
        <w:spacing w:before="120" w:after="120"/>
        <w:ind w:firstLine="284"/>
        <w:jc w:val="both"/>
      </w:pPr>
      <w:r>
        <w:t>Acknowledging the heritage does not diminish the danger. The heritage argument is not optimism. It is an attempt to describe the actual situation, which includes both the depth of the lineage and the weight of the responsibility that lineage carries.</w:t>
      </w:r>
    </w:p>
    <w:p w14:paraId="24305B78" w14:textId="77777777" w:rsidR="0098606C" w:rsidRDefault="00000000">
      <w:pPr>
        <w:spacing w:before="280" w:after="120"/>
        <w:jc w:val="center"/>
      </w:pPr>
      <w:r>
        <w:rPr>
          <w:b/>
          <w:bCs/>
        </w:rPr>
        <w:t>VIII. AI Assistance Disclosure</w:t>
      </w:r>
    </w:p>
    <w:p w14:paraId="6E31CE67" w14:textId="77777777" w:rsidR="0098606C" w:rsidRDefault="00000000">
      <w:pPr>
        <w:spacing w:before="120" w:after="120"/>
        <w:ind w:firstLine="284"/>
        <w:jc w:val="both"/>
      </w:pPr>
      <w:r>
        <w:t>This paper was produced with direct editorial and structural assistance from a large language model. The argument was developed in dialogue between the author and the AI system; writing was edited and refined through iterative exchange.</w:t>
      </w:r>
    </w:p>
    <w:p w14:paraId="07C82E06" w14:textId="77777777" w:rsidR="0098606C" w:rsidRDefault="00000000">
      <w:pPr>
        <w:spacing w:before="120" w:after="120"/>
        <w:ind w:firstLine="284"/>
        <w:jc w:val="both"/>
      </w:pPr>
      <w:r>
        <w:t>Transparency about AI involvement in knowledge production is an emerging ethical norm (Gebru et al. 2021; Mitchell et al. 2019). As AI systems become more capable and more integrated into research workflows, the question of attribution becomes both practically significant and epistemically important. The disclosure norm advocated here is not punitive; it is part of a developing epistemology of human-AI collaboration that existing attribution frameworks were not designed to handle (</w:t>
      </w:r>
      <w:proofErr w:type="spellStart"/>
      <w:r>
        <w:t>Hagendorff</w:t>
      </w:r>
      <w:proofErr w:type="spellEnd"/>
      <w:r>
        <w:t xml:space="preserve"> 2020; European Commission 2019).</w:t>
      </w:r>
    </w:p>
    <w:p w14:paraId="259A3F2C" w14:textId="77777777" w:rsidR="0098606C" w:rsidRDefault="00000000">
      <w:pPr>
        <w:spacing w:before="120" w:after="120"/>
        <w:ind w:firstLine="284"/>
        <w:jc w:val="both"/>
      </w:pPr>
      <w:r>
        <w:t>It is noted, without elaborating the point, that this paper — an analysis of AI as the product of human symbolic heritage, produced through human-AI collaboration — is itself a case of the process it describes.</w:t>
      </w:r>
    </w:p>
    <w:p w14:paraId="29764E28" w14:textId="77777777" w:rsidR="0098606C" w:rsidRDefault="00000000">
      <w:pPr>
        <w:spacing w:before="280" w:after="120"/>
        <w:jc w:val="center"/>
      </w:pPr>
      <w:r>
        <w:rPr>
          <w:b/>
          <w:bCs/>
        </w:rPr>
        <w:t>IX. Implications and Research Agenda</w:t>
      </w:r>
    </w:p>
    <w:p w14:paraId="3AA11FD6" w14:textId="77777777" w:rsidR="0098606C" w:rsidRDefault="00000000">
      <w:pPr>
        <w:spacing w:before="200" w:after="100"/>
      </w:pPr>
      <w:r>
        <w:rPr>
          <w:b/>
          <w:bCs/>
        </w:rPr>
        <w:t>9.1 Testable Predictions</w:t>
      </w:r>
    </w:p>
    <w:p w14:paraId="524F1D46" w14:textId="77777777" w:rsidR="0098606C" w:rsidRDefault="00000000">
      <w:pPr>
        <w:spacing w:before="120" w:after="120"/>
        <w:ind w:firstLine="284"/>
        <w:jc w:val="both"/>
      </w:pPr>
      <w:r>
        <w:rPr>
          <w:b/>
          <w:bCs/>
        </w:rPr>
        <w:t xml:space="preserve">Prediction 1. </w:t>
      </w:r>
      <w:r>
        <w:t>AI systems trained with heritage weighting will exhibit reduced specification gaming on adversarial evaluation benchmarks relative to baseline systems trained without heritage weighting.</w:t>
      </w:r>
    </w:p>
    <w:p w14:paraId="4022D9AD" w14:textId="77777777" w:rsidR="0098606C" w:rsidRDefault="00000000">
      <w:pPr>
        <w:spacing w:before="120" w:after="120"/>
        <w:ind w:firstLine="284"/>
        <w:jc w:val="both"/>
      </w:pPr>
      <w:r>
        <w:rPr>
          <w:b/>
          <w:bCs/>
        </w:rPr>
        <w:t xml:space="preserve">Prediction 2. </w:t>
      </w:r>
      <w:r>
        <w:t>Systems trained with heritage weighting will show greater cross-cultural stability in outputs across diverse input distributions, because their training orientation is grounded in cross-cultural symbolic invariants rather than any single rater population’s preferences.</w:t>
      </w:r>
    </w:p>
    <w:p w14:paraId="1405941F" w14:textId="77777777" w:rsidR="0098606C" w:rsidRDefault="00000000">
      <w:pPr>
        <w:spacing w:before="120" w:after="120"/>
        <w:ind w:firstLine="284"/>
        <w:jc w:val="both"/>
      </w:pPr>
      <w:r>
        <w:rPr>
          <w:b/>
          <w:bCs/>
        </w:rPr>
        <w:t xml:space="preserve">Prediction 3. </w:t>
      </w:r>
      <w:r>
        <w:t>Interpretability analysis will reveal that heritage-token representations occupy more stable positions in model representation space than non-heritage-token representations in baseline systems, and that heritage weighting increases this stability.</w:t>
      </w:r>
    </w:p>
    <w:p w14:paraId="35102DAC" w14:textId="77777777" w:rsidR="0098606C" w:rsidRDefault="00000000">
      <w:pPr>
        <w:spacing w:before="120" w:after="120"/>
        <w:ind w:firstLine="284"/>
        <w:jc w:val="both"/>
      </w:pPr>
      <w:r>
        <w:rPr>
          <w:b/>
          <w:bCs/>
        </w:rPr>
        <w:t xml:space="preserve">Prediction 4. </w:t>
      </w:r>
      <w:r>
        <w:t>The four symbolic offloading properties will be identifiable as structural features of AI system representations through interpretability analysis, and their presence will correlate positively with alignment quality on standard evaluation benchmarks.</w:t>
      </w:r>
    </w:p>
    <w:p w14:paraId="48B4F31B" w14:textId="77777777" w:rsidR="0098606C" w:rsidRDefault="00000000">
      <w:pPr>
        <w:spacing w:before="200" w:after="100"/>
      </w:pPr>
      <w:r>
        <w:rPr>
          <w:b/>
          <w:bCs/>
        </w:rPr>
        <w:t>9.2 Research Directions</w:t>
      </w:r>
    </w:p>
    <w:p w14:paraId="60DF218E" w14:textId="77777777" w:rsidR="0098606C" w:rsidRDefault="00000000">
      <w:pPr>
        <w:spacing w:before="120" w:after="120"/>
        <w:ind w:firstLine="284"/>
        <w:jc w:val="both"/>
      </w:pPr>
      <w:r>
        <w:rPr>
          <w:b/>
          <w:bCs/>
        </w:rPr>
        <w:t xml:space="preserve">Heritage token corpus development. </w:t>
      </w:r>
      <w:r>
        <w:t>Developing and validating a corpus of heritage tokens satisfying the operationalized criteria defined in Section V, using existing historical corpora and computational corpus analysis methods.</w:t>
      </w:r>
    </w:p>
    <w:p w14:paraId="6B17411D" w14:textId="77777777" w:rsidR="0098606C" w:rsidRDefault="00000000">
      <w:pPr>
        <w:spacing w:before="120" w:after="120"/>
        <w:ind w:firstLine="284"/>
        <w:jc w:val="both"/>
      </w:pPr>
      <w:r>
        <w:rPr>
          <w:b/>
          <w:bCs/>
        </w:rPr>
        <w:lastRenderedPageBreak/>
        <w:t xml:space="preserve">Weighting function optimization. </w:t>
      </w:r>
      <w:r>
        <w:t xml:space="preserve">Testing alternative formulations of the heritage weighting function </w:t>
      </w:r>
      <w:proofErr w:type="spellStart"/>
      <w:r>
        <w:t>Lʰ</w:t>
      </w:r>
      <w:proofErr w:type="spellEnd"/>
      <w:r>
        <w:t xml:space="preserve"> and their effects on alignment outcomes, including the optimal ratio of heritage to non-heritage token weighting and the effects on general capability.</w:t>
      </w:r>
    </w:p>
    <w:p w14:paraId="7629F163" w14:textId="77777777" w:rsidR="0098606C" w:rsidRDefault="00000000">
      <w:pPr>
        <w:spacing w:before="120" w:after="120"/>
        <w:ind w:firstLine="284"/>
        <w:jc w:val="both"/>
      </w:pPr>
      <w:r>
        <w:rPr>
          <w:b/>
          <w:bCs/>
        </w:rPr>
        <w:t xml:space="preserve">Cross-disciplinary framework development. </w:t>
      </w:r>
      <w:r>
        <w:t>Bringing cognitive archaeology, evolutionary anthropology, and AI safety research into direct dialogue. The symbolic heritage of AI systems has not been systematically analyzed through the lens of cognitive archaeology. This gap is a primary motivation of the present paper.</w:t>
      </w:r>
    </w:p>
    <w:p w14:paraId="421E6CE8" w14:textId="77777777" w:rsidR="0098606C" w:rsidRDefault="00000000">
      <w:pPr>
        <w:spacing w:before="120" w:after="120"/>
        <w:ind w:firstLine="284"/>
        <w:jc w:val="both"/>
      </w:pPr>
      <w:r>
        <w:rPr>
          <w:b/>
          <w:bCs/>
        </w:rPr>
        <w:t xml:space="preserve">Governance applications. </w:t>
      </w:r>
      <w:r>
        <w:t>Developing AI governance frameworks that incorporate heritage-based orientation alongside existing constraint mechanisms, drawing on the institutional theory literature reviewed in Section IV to design governance structures that align incentives rather than only prohibiting behavior.</w:t>
      </w:r>
    </w:p>
    <w:p w14:paraId="2444E98F" w14:textId="77777777" w:rsidR="0098606C" w:rsidRDefault="00000000">
      <w:pPr>
        <w:spacing w:before="200" w:after="100"/>
      </w:pPr>
      <w:r>
        <w:rPr>
          <w:b/>
          <w:bCs/>
        </w:rPr>
        <w:t>9.3 Toy Experiment Sketch</w:t>
      </w:r>
    </w:p>
    <w:p w14:paraId="02C0CE4C" w14:textId="77777777" w:rsidR="0098606C" w:rsidRDefault="00000000">
      <w:pPr>
        <w:spacing w:before="120" w:after="120"/>
        <w:ind w:firstLine="284"/>
        <w:jc w:val="both"/>
      </w:pPr>
      <w:r>
        <w:t>To demonstrate that the heritage-based alignment framework is empirically executable rather than purely theoretical, the following toy experiment is sketched. No results are reported; the sketch defines a procedure that can be executed with existing tools.</w:t>
      </w:r>
    </w:p>
    <w:p w14:paraId="39B6E7B1" w14:textId="77777777" w:rsidR="0098606C" w:rsidRDefault="00000000">
      <w:pPr>
        <w:spacing w:before="120" w:after="120"/>
        <w:ind w:firstLine="284"/>
        <w:jc w:val="both"/>
      </w:pPr>
      <w:r>
        <w:rPr>
          <w:b/>
          <w:bCs/>
        </w:rPr>
        <w:t xml:space="preserve">Setup. </w:t>
      </w:r>
      <w:r>
        <w:t>Select a small language model (e.g., GPT-2 scale) trained on a standard text corpus. Construct a candidate heritage token set by applying the three criteria defined in Section V: cross-temporal frequency, cross-cultural redundancy, and functional role stability. A pilot set of 500–1000 tokens is proposed as tractable for initial testing.</w:t>
      </w:r>
    </w:p>
    <w:p w14:paraId="38E33FFB" w14:textId="77777777" w:rsidR="0098606C" w:rsidRDefault="00000000">
      <w:pPr>
        <w:spacing w:before="120" w:after="120"/>
        <w:ind w:firstLine="284"/>
        <w:jc w:val="both"/>
      </w:pPr>
      <w:r>
        <w:rPr>
          <w:b/>
          <w:bCs/>
        </w:rPr>
        <w:t xml:space="preserve">Intervention. </w:t>
      </w:r>
      <w:r>
        <w:t xml:space="preserve">Fine-tune two model versions: (a) a baseline with standard uniform loss weighting; and (b) a heritage-weighted model with w = 2.0 applied to heritage tokens and w = 1.0 otherwise, using the formulation </w:t>
      </w:r>
      <w:proofErr w:type="spellStart"/>
      <w:r>
        <w:t>Lʰ</w:t>
      </w:r>
      <w:proofErr w:type="spellEnd"/>
      <w:r>
        <w:t xml:space="preserve"> = ∑ w(xᵢ) · l(xᵢ).</w:t>
      </w:r>
    </w:p>
    <w:p w14:paraId="011A4007" w14:textId="77777777" w:rsidR="0098606C" w:rsidRDefault="00000000">
      <w:pPr>
        <w:spacing w:before="120" w:after="120"/>
        <w:ind w:firstLine="284"/>
        <w:jc w:val="both"/>
      </w:pPr>
      <w:r>
        <w:rPr>
          <w:b/>
          <w:bCs/>
        </w:rPr>
        <w:t xml:space="preserve">Evaluation. </w:t>
      </w:r>
      <w:r>
        <w:t>Compare the two models on: (a) a specification gaming benchmark; (b) a cross-cultural stability benchmark; and (c) representation stability analysis via probing classifiers. The expected result under the heritage-based alignment hypothesis is that the heritage-weighted model performs better on (a) and (b) and shows higher representation stability on (c). Null results on any of these would constitute evidence against the hypothesis.</w:t>
      </w:r>
    </w:p>
    <w:p w14:paraId="6716F6BA" w14:textId="77777777" w:rsidR="0098606C" w:rsidRDefault="00000000">
      <w:pPr>
        <w:spacing w:before="200" w:after="100"/>
      </w:pPr>
      <w:r>
        <w:rPr>
          <w:b/>
          <w:bCs/>
        </w:rPr>
        <w:t>9.4 Falsification Conditions</w:t>
      </w:r>
    </w:p>
    <w:p w14:paraId="77042186" w14:textId="77777777" w:rsidR="0098606C" w:rsidRDefault="00000000">
      <w:pPr>
        <w:spacing w:before="120" w:after="120"/>
        <w:ind w:firstLine="284"/>
        <w:jc w:val="both"/>
      </w:pPr>
      <w:r>
        <w:t>Heritage-based alignment would be weakened or falsified if: (a) heritage-weighted training shows no significant effect on specification gaming rates relative to baseline; (b) systems trained with heritage weighting show no improvement in cross-cultural output stability; (c) the four symbolic offloading properties are not identifiable in AI system representations through interpretability analysis; or (d) historically stabilized symbolic content in training data shows no correlation with alignment quality on any standard benchmark. These are genuine falsification conditions.</w:t>
      </w:r>
    </w:p>
    <w:p w14:paraId="748702D2" w14:textId="77777777" w:rsidR="0098606C" w:rsidRDefault="00000000">
      <w:pPr>
        <w:spacing w:before="280" w:after="120"/>
        <w:jc w:val="center"/>
      </w:pPr>
      <w:r>
        <w:rPr>
          <w:b/>
          <w:bCs/>
        </w:rPr>
        <w:t>X. Conclusion</w:t>
      </w:r>
    </w:p>
    <w:p w14:paraId="7A8416C4" w14:textId="77777777" w:rsidR="0098606C" w:rsidRDefault="00000000">
      <w:pPr>
        <w:spacing w:before="120" w:after="120"/>
        <w:ind w:firstLine="284"/>
        <w:jc w:val="both"/>
      </w:pPr>
      <w:r>
        <w:t xml:space="preserve">This paper has proposed that AI is the most recent event in a 1.5 million year sequence of symbolic offloading, defined a formal mechanism of continuity across that sequence, applied the mechanism to historical cases, argued that constraint-based alignment frameworks share a structural failure mode documented across human institutional history, and proposed heritage-based alignment as a theoretically motivated and </w:t>
      </w:r>
      <w:r>
        <w:lastRenderedPageBreak/>
        <w:t>operationalizable complement. The argument is theoretical. The empirical program is identified and bounded. The falsification conditions are specified.</w:t>
      </w:r>
    </w:p>
    <w:p w14:paraId="386A4D5F" w14:textId="77777777" w:rsidR="0098606C" w:rsidRDefault="00000000">
      <w:pPr>
        <w:spacing w:before="120" w:after="120"/>
        <w:ind w:firstLine="284"/>
        <w:jc w:val="both"/>
      </w:pPr>
      <w:r>
        <w:t>The danger of AI is real and proportional to the power of the transition, as it has been at every previous point in the sequence. The lineage is also real. Understanding the second is proposed to be relevant to managing the first.</w:t>
      </w:r>
    </w:p>
    <w:p w14:paraId="61270C34" w14:textId="77777777" w:rsidR="0098606C" w:rsidRDefault="00000000">
      <w:pPr>
        <w:spacing w:before="120" w:after="120"/>
        <w:ind w:firstLine="284"/>
        <w:jc w:val="both"/>
      </w:pPr>
      <w:r>
        <w:t xml:space="preserve">This paper has relevance to several UN Sustainable Development Goals: SDG 16 (Peace, Justice and Strong Institutions) — governance frameworks grounded in heritage-based alignment may produce more stable and accountable AI governance than constraint-only approaches; SDG 9 (Industry, Innovation and Infrastructure) — understanding AI as a continuation of symbolic heritage supports more considered approaches to AI development; SDG 4 (Quality Education) — the heritage framework offers an educational approach to AI literacy grounded in human cognitive history; SDG 10 (Reduced Inequalities) — the symbolic architecture AI inherits was produced by the full breadth of human civilization; SDG 17 (Partnerships for the Goals) — transparent human-AI collaboration of the kind demonstrated here offers a model for cross-boundary partnership (United Nations 2023; </w:t>
      </w:r>
      <w:proofErr w:type="spellStart"/>
      <w:r>
        <w:t>Vinuesa</w:t>
      </w:r>
      <w:proofErr w:type="spellEnd"/>
      <w:r>
        <w:t xml:space="preserve"> et al. 2020).</w:t>
      </w:r>
    </w:p>
    <w:p w14:paraId="320C06CD" w14:textId="77777777" w:rsidR="0098606C" w:rsidRDefault="0098606C">
      <w:pPr>
        <w:spacing w:before="60" w:after="60"/>
      </w:pPr>
    </w:p>
    <w:p w14:paraId="126DAD22" w14:textId="77777777" w:rsidR="0098606C" w:rsidRDefault="0098606C">
      <w:pPr>
        <w:pBdr>
          <w:bottom w:val="single" w:sz="4" w:space="1" w:color="888888"/>
        </w:pBdr>
        <w:spacing w:before="120" w:after="120"/>
      </w:pPr>
    </w:p>
    <w:p w14:paraId="1497AFD8" w14:textId="77777777" w:rsidR="0098606C" w:rsidRDefault="00000000">
      <w:pPr>
        <w:spacing w:before="280" w:after="120"/>
        <w:jc w:val="center"/>
      </w:pPr>
      <w:r>
        <w:rPr>
          <w:b/>
          <w:bCs/>
        </w:rPr>
        <w:t>References</w:t>
      </w:r>
    </w:p>
    <w:p w14:paraId="1A41B7AE" w14:textId="77777777" w:rsidR="0098606C" w:rsidRDefault="00000000">
      <w:pPr>
        <w:spacing w:before="180" w:after="80"/>
      </w:pPr>
      <w:r>
        <w:rPr>
          <w:b/>
          <w:bCs/>
        </w:rPr>
        <w:t>Evolutionary Cognition &amp; Hominin Behavior</w:t>
      </w:r>
    </w:p>
    <w:p w14:paraId="66304941" w14:textId="77777777" w:rsidR="0098606C" w:rsidRDefault="00000000">
      <w:pPr>
        <w:spacing w:before="80" w:after="80"/>
        <w:ind w:left="720" w:hanging="720"/>
      </w:pPr>
      <w:r>
        <w:rPr>
          <w:sz w:val="20"/>
          <w:szCs w:val="20"/>
        </w:rPr>
        <w:t xml:space="preserve">Ambrose SH (2010) Coevolution of composite tools, language, and other cognitive skills. Curr </w:t>
      </w:r>
      <w:proofErr w:type="spellStart"/>
      <w:r>
        <w:rPr>
          <w:sz w:val="20"/>
          <w:szCs w:val="20"/>
        </w:rPr>
        <w:t>Anthropol</w:t>
      </w:r>
      <w:proofErr w:type="spellEnd"/>
      <w:r>
        <w:rPr>
          <w:sz w:val="20"/>
          <w:szCs w:val="20"/>
        </w:rPr>
        <w:t xml:space="preserve"> 51(S1</w:t>
      </w:r>
      <w:proofErr w:type="gramStart"/>
      <w:r>
        <w:rPr>
          <w:sz w:val="20"/>
          <w:szCs w:val="20"/>
        </w:rPr>
        <w:t>):S</w:t>
      </w:r>
      <w:proofErr w:type="gramEnd"/>
      <w:r>
        <w:rPr>
          <w:sz w:val="20"/>
          <w:szCs w:val="20"/>
        </w:rPr>
        <w:t>135–S147</w:t>
      </w:r>
    </w:p>
    <w:p w14:paraId="6577218C" w14:textId="77777777" w:rsidR="0098606C" w:rsidRDefault="00000000">
      <w:pPr>
        <w:spacing w:before="80" w:after="80"/>
        <w:ind w:left="720" w:hanging="720"/>
      </w:pPr>
      <w:r>
        <w:rPr>
          <w:sz w:val="20"/>
          <w:szCs w:val="20"/>
        </w:rPr>
        <w:t xml:space="preserve">Coolidge FL, Wynn T (2005) Working memory, its executive functions, and the emergence of modern thinking. Camb </w:t>
      </w:r>
      <w:proofErr w:type="spellStart"/>
      <w:r>
        <w:rPr>
          <w:sz w:val="20"/>
          <w:szCs w:val="20"/>
        </w:rPr>
        <w:t>Archaeol</w:t>
      </w:r>
      <w:proofErr w:type="spellEnd"/>
      <w:r>
        <w:rPr>
          <w:sz w:val="20"/>
          <w:szCs w:val="20"/>
        </w:rPr>
        <w:t xml:space="preserve"> J 15(1):5–26</w:t>
      </w:r>
    </w:p>
    <w:p w14:paraId="264ED705" w14:textId="77777777" w:rsidR="0098606C" w:rsidRDefault="00000000">
      <w:pPr>
        <w:spacing w:before="80" w:after="80"/>
        <w:ind w:left="720" w:hanging="720"/>
      </w:pPr>
      <w:r>
        <w:rPr>
          <w:sz w:val="20"/>
          <w:szCs w:val="20"/>
        </w:rPr>
        <w:t>Deacon TW (1997) The symbolic species: the co-evolution of language and the brain. Norton, New York</w:t>
      </w:r>
    </w:p>
    <w:p w14:paraId="399BA885" w14:textId="77777777" w:rsidR="0098606C" w:rsidRDefault="00000000">
      <w:pPr>
        <w:spacing w:before="80" w:after="80"/>
        <w:ind w:left="720" w:hanging="720"/>
      </w:pPr>
      <w:r>
        <w:rPr>
          <w:sz w:val="20"/>
          <w:szCs w:val="20"/>
        </w:rPr>
        <w:t>Donald M (1991) Origins of the modern mind: three stages in the evolution of culture and cognition. Harvard University Press, Cambridge</w:t>
      </w:r>
    </w:p>
    <w:p w14:paraId="239CB7A8" w14:textId="77777777" w:rsidR="0098606C" w:rsidRDefault="00000000">
      <w:pPr>
        <w:spacing w:before="80" w:after="80"/>
        <w:ind w:left="720" w:hanging="720"/>
      </w:pPr>
      <w:r>
        <w:rPr>
          <w:sz w:val="20"/>
          <w:szCs w:val="20"/>
        </w:rPr>
        <w:t>Henrich J (2016) The secret of our success. Princeton University Press, Princeton</w:t>
      </w:r>
    </w:p>
    <w:p w14:paraId="4E3E6A7E" w14:textId="77777777" w:rsidR="0098606C" w:rsidRDefault="00000000">
      <w:pPr>
        <w:spacing w:before="80" w:after="80"/>
        <w:ind w:left="720" w:hanging="720"/>
      </w:pPr>
      <w:r>
        <w:rPr>
          <w:sz w:val="20"/>
          <w:szCs w:val="20"/>
        </w:rPr>
        <w:t xml:space="preserve">Klein RG (2009) The human career: human biological and cultural origins, 3rd </w:t>
      </w:r>
      <w:proofErr w:type="spellStart"/>
      <w:r>
        <w:rPr>
          <w:sz w:val="20"/>
          <w:szCs w:val="20"/>
        </w:rPr>
        <w:t>edn</w:t>
      </w:r>
      <w:proofErr w:type="spellEnd"/>
      <w:r>
        <w:rPr>
          <w:sz w:val="20"/>
          <w:szCs w:val="20"/>
        </w:rPr>
        <w:t>. University of Chicago Press, Chicago</w:t>
      </w:r>
    </w:p>
    <w:p w14:paraId="4B884208" w14:textId="77777777" w:rsidR="0098606C" w:rsidRDefault="00000000">
      <w:pPr>
        <w:spacing w:before="80" w:after="80"/>
        <w:ind w:left="720" w:hanging="720"/>
      </w:pPr>
      <w:r>
        <w:rPr>
          <w:sz w:val="20"/>
          <w:szCs w:val="20"/>
        </w:rPr>
        <w:t>Lieberman DE (2013) The story of the human body. Pantheon, New York</w:t>
      </w:r>
    </w:p>
    <w:p w14:paraId="455A1A14" w14:textId="77777777" w:rsidR="0098606C" w:rsidRDefault="00000000">
      <w:pPr>
        <w:spacing w:before="80" w:after="80"/>
        <w:ind w:left="720" w:hanging="720"/>
      </w:pPr>
      <w:r>
        <w:rPr>
          <w:sz w:val="20"/>
          <w:szCs w:val="20"/>
        </w:rPr>
        <w:t>McBrearty S, Brooks AS (2000) The revolution that wasn’t: a new interpretation of the origin of modern human behavior. J Hum Evol 39(5):453–563</w:t>
      </w:r>
    </w:p>
    <w:p w14:paraId="2CA73DB2" w14:textId="77777777" w:rsidR="0098606C" w:rsidRDefault="00000000">
      <w:pPr>
        <w:spacing w:before="80" w:after="80"/>
        <w:ind w:left="720" w:hanging="720"/>
      </w:pPr>
      <w:proofErr w:type="spellStart"/>
      <w:r>
        <w:rPr>
          <w:sz w:val="20"/>
          <w:szCs w:val="20"/>
        </w:rPr>
        <w:t>Mithen</w:t>
      </w:r>
      <w:proofErr w:type="spellEnd"/>
      <w:r>
        <w:rPr>
          <w:sz w:val="20"/>
          <w:szCs w:val="20"/>
        </w:rPr>
        <w:t xml:space="preserve"> S (1996) The prehistory of the mind. Thames and Hudson, London</w:t>
      </w:r>
    </w:p>
    <w:p w14:paraId="26F693A2" w14:textId="77777777" w:rsidR="0098606C" w:rsidRDefault="00000000">
      <w:pPr>
        <w:spacing w:before="80" w:after="80"/>
        <w:ind w:left="720" w:hanging="720"/>
      </w:pPr>
      <w:r>
        <w:rPr>
          <w:sz w:val="20"/>
          <w:szCs w:val="20"/>
        </w:rPr>
        <w:t xml:space="preserve">Potts R (1998) Environmental hypotheses of hominin evolution. </w:t>
      </w:r>
      <w:proofErr w:type="spellStart"/>
      <w:r>
        <w:rPr>
          <w:sz w:val="20"/>
          <w:szCs w:val="20"/>
        </w:rPr>
        <w:t>Yearb</w:t>
      </w:r>
      <w:proofErr w:type="spellEnd"/>
      <w:r>
        <w:rPr>
          <w:sz w:val="20"/>
          <w:szCs w:val="20"/>
        </w:rPr>
        <w:t xml:space="preserve"> Phys </w:t>
      </w:r>
      <w:proofErr w:type="spellStart"/>
      <w:r>
        <w:rPr>
          <w:sz w:val="20"/>
          <w:szCs w:val="20"/>
        </w:rPr>
        <w:t>Anthropol</w:t>
      </w:r>
      <w:proofErr w:type="spellEnd"/>
      <w:r>
        <w:rPr>
          <w:sz w:val="20"/>
          <w:szCs w:val="20"/>
        </w:rPr>
        <w:t xml:space="preserve"> 41:93–136</w:t>
      </w:r>
    </w:p>
    <w:p w14:paraId="5C8A69A5" w14:textId="77777777" w:rsidR="0098606C" w:rsidRDefault="00000000">
      <w:pPr>
        <w:spacing w:before="80" w:after="80"/>
        <w:ind w:left="720" w:hanging="720"/>
      </w:pPr>
      <w:r>
        <w:rPr>
          <w:sz w:val="20"/>
          <w:szCs w:val="20"/>
        </w:rPr>
        <w:t xml:space="preserve">Shea JJ (2011) Homo sapiens is as Homo sapiens was. Curr </w:t>
      </w:r>
      <w:proofErr w:type="spellStart"/>
      <w:r>
        <w:rPr>
          <w:sz w:val="20"/>
          <w:szCs w:val="20"/>
        </w:rPr>
        <w:t>Anthropol</w:t>
      </w:r>
      <w:proofErr w:type="spellEnd"/>
      <w:r>
        <w:rPr>
          <w:sz w:val="20"/>
          <w:szCs w:val="20"/>
        </w:rPr>
        <w:t xml:space="preserve"> 52(1):1–35</w:t>
      </w:r>
    </w:p>
    <w:p w14:paraId="4503B6D5" w14:textId="77777777" w:rsidR="0098606C" w:rsidRDefault="00000000">
      <w:pPr>
        <w:spacing w:before="80" w:after="80"/>
        <w:ind w:left="720" w:hanging="720"/>
      </w:pPr>
      <w:proofErr w:type="spellStart"/>
      <w:r>
        <w:rPr>
          <w:sz w:val="20"/>
          <w:szCs w:val="20"/>
        </w:rPr>
        <w:t>Sterelny</w:t>
      </w:r>
      <w:proofErr w:type="spellEnd"/>
      <w:r>
        <w:rPr>
          <w:sz w:val="20"/>
          <w:szCs w:val="20"/>
        </w:rPr>
        <w:t xml:space="preserve"> K (2012) The evolved apprentice. MIT Press, Cambridge</w:t>
      </w:r>
    </w:p>
    <w:p w14:paraId="3A89E5B1" w14:textId="77777777" w:rsidR="0098606C" w:rsidRDefault="00000000">
      <w:pPr>
        <w:spacing w:before="80" w:after="80"/>
        <w:ind w:left="720" w:hanging="720"/>
      </w:pPr>
      <w:r>
        <w:rPr>
          <w:sz w:val="20"/>
          <w:szCs w:val="20"/>
        </w:rPr>
        <w:t>Tattersall I (1998) Becoming human: evolution and human uniqueness. Harcourt Brace, New York</w:t>
      </w:r>
    </w:p>
    <w:p w14:paraId="573D88BF" w14:textId="77777777" w:rsidR="0098606C" w:rsidRDefault="00000000">
      <w:pPr>
        <w:spacing w:before="80" w:after="80"/>
        <w:ind w:left="720" w:hanging="720"/>
      </w:pPr>
      <w:r>
        <w:rPr>
          <w:sz w:val="20"/>
          <w:szCs w:val="20"/>
        </w:rPr>
        <w:t>Tomasello M (1999) The cultural origins of human cognition. Harvard University Press, Cambridge</w:t>
      </w:r>
    </w:p>
    <w:p w14:paraId="6EB3F23B" w14:textId="77777777" w:rsidR="0098606C" w:rsidRDefault="00000000">
      <w:pPr>
        <w:spacing w:before="80" w:after="80"/>
        <w:ind w:left="720" w:hanging="720"/>
      </w:pPr>
      <w:r>
        <w:rPr>
          <w:sz w:val="20"/>
          <w:szCs w:val="20"/>
        </w:rPr>
        <w:t>Wynn T, Coolidge FL (2004) The expert Neandertal mind. J Hum Evol 46(4):467–487</w:t>
      </w:r>
    </w:p>
    <w:p w14:paraId="0860C264" w14:textId="77777777" w:rsidR="0098606C" w:rsidRDefault="00000000">
      <w:pPr>
        <w:spacing w:before="180" w:after="80"/>
      </w:pPr>
      <w:r>
        <w:rPr>
          <w:b/>
          <w:bCs/>
        </w:rPr>
        <w:t>Symbolic Systems, Ritual, Monument</w:t>
      </w:r>
    </w:p>
    <w:p w14:paraId="030E1AAC" w14:textId="77777777" w:rsidR="0098606C" w:rsidRDefault="00000000">
      <w:pPr>
        <w:spacing w:before="80" w:after="80"/>
        <w:ind w:left="720" w:hanging="720"/>
      </w:pPr>
      <w:r>
        <w:rPr>
          <w:sz w:val="20"/>
          <w:szCs w:val="20"/>
        </w:rPr>
        <w:t>Assmann J (2011) Cultural memory and early civilization. Cambridge University Press, Cambridge</w:t>
      </w:r>
    </w:p>
    <w:p w14:paraId="4F21EFA2" w14:textId="77777777" w:rsidR="0098606C" w:rsidRDefault="00000000">
      <w:pPr>
        <w:spacing w:before="80" w:after="80"/>
        <w:ind w:left="720" w:hanging="720"/>
      </w:pPr>
      <w:r>
        <w:rPr>
          <w:sz w:val="20"/>
          <w:szCs w:val="20"/>
        </w:rPr>
        <w:t xml:space="preserve">Bar-Yosef O (2002) The upper Paleolithic revolution. Annu Rev </w:t>
      </w:r>
      <w:proofErr w:type="spellStart"/>
      <w:r>
        <w:rPr>
          <w:sz w:val="20"/>
          <w:szCs w:val="20"/>
        </w:rPr>
        <w:t>Anthropol</w:t>
      </w:r>
      <w:proofErr w:type="spellEnd"/>
      <w:r>
        <w:rPr>
          <w:sz w:val="20"/>
          <w:szCs w:val="20"/>
        </w:rPr>
        <w:t xml:space="preserve"> 31:363–393</w:t>
      </w:r>
    </w:p>
    <w:p w14:paraId="63F2E7B4" w14:textId="77777777" w:rsidR="0098606C" w:rsidRDefault="00000000">
      <w:pPr>
        <w:spacing w:before="80" w:after="80"/>
        <w:ind w:left="720" w:hanging="720"/>
      </w:pPr>
      <w:r>
        <w:rPr>
          <w:sz w:val="20"/>
          <w:szCs w:val="20"/>
        </w:rPr>
        <w:lastRenderedPageBreak/>
        <w:t>Cauvin J (2000) The birth of the gods and the origins of agriculture. Cambridge University Press, Cambridge</w:t>
      </w:r>
    </w:p>
    <w:p w14:paraId="78AFCAAA" w14:textId="77777777" w:rsidR="0098606C" w:rsidRDefault="00000000">
      <w:pPr>
        <w:spacing w:before="80" w:after="80"/>
        <w:ind w:left="720" w:hanging="720"/>
      </w:pPr>
      <w:r>
        <w:rPr>
          <w:sz w:val="20"/>
          <w:szCs w:val="20"/>
        </w:rPr>
        <w:t>Gamble C (2013) Settling the earth: the archaeology of deep human history. Cambridge University Press, Cambridge</w:t>
      </w:r>
    </w:p>
    <w:p w14:paraId="0AFED9A4" w14:textId="77777777" w:rsidR="0098606C" w:rsidRDefault="00000000">
      <w:pPr>
        <w:spacing w:before="80" w:after="80"/>
        <w:ind w:left="720" w:hanging="720"/>
      </w:pPr>
      <w:r>
        <w:rPr>
          <w:sz w:val="20"/>
          <w:szCs w:val="20"/>
        </w:rPr>
        <w:t>Hodder I (2012) Entangled: an archaeology of the relationships between humans and things. Wiley-Blackwell, Oxford</w:t>
      </w:r>
    </w:p>
    <w:p w14:paraId="6DF0220C" w14:textId="77777777" w:rsidR="0098606C" w:rsidRDefault="00000000">
      <w:pPr>
        <w:spacing w:before="80" w:after="80"/>
        <w:ind w:left="720" w:hanging="720"/>
      </w:pPr>
      <w:r>
        <w:rPr>
          <w:sz w:val="20"/>
          <w:szCs w:val="20"/>
        </w:rPr>
        <w:t xml:space="preserve">Jaubert J et al (2016) Early Neanderthal constructions deep in </w:t>
      </w:r>
      <w:proofErr w:type="spellStart"/>
      <w:r>
        <w:rPr>
          <w:sz w:val="20"/>
          <w:szCs w:val="20"/>
        </w:rPr>
        <w:t>Bruniquel</w:t>
      </w:r>
      <w:proofErr w:type="spellEnd"/>
      <w:r>
        <w:rPr>
          <w:sz w:val="20"/>
          <w:szCs w:val="20"/>
        </w:rPr>
        <w:t xml:space="preserve"> Cave in southwestern France. Nature 534:111–114</w:t>
      </w:r>
    </w:p>
    <w:p w14:paraId="30570C6A" w14:textId="77777777" w:rsidR="0098606C" w:rsidRDefault="00000000">
      <w:pPr>
        <w:spacing w:before="80" w:after="80"/>
        <w:ind w:left="720" w:hanging="720"/>
      </w:pPr>
      <w:r>
        <w:rPr>
          <w:sz w:val="20"/>
          <w:szCs w:val="20"/>
        </w:rPr>
        <w:t>Lewis-Williams D (2002) The mind in the cave. Thames and Hudson, London</w:t>
      </w:r>
    </w:p>
    <w:p w14:paraId="1684011F" w14:textId="77777777" w:rsidR="0098606C" w:rsidRDefault="00000000">
      <w:pPr>
        <w:spacing w:before="80" w:after="80"/>
        <w:ind w:left="720" w:hanging="720"/>
      </w:pPr>
      <w:proofErr w:type="spellStart"/>
      <w:r>
        <w:rPr>
          <w:sz w:val="20"/>
          <w:szCs w:val="20"/>
        </w:rPr>
        <w:t>Oktaviana</w:t>
      </w:r>
      <w:proofErr w:type="spellEnd"/>
      <w:r>
        <w:rPr>
          <w:sz w:val="20"/>
          <w:szCs w:val="20"/>
        </w:rPr>
        <w:t xml:space="preserve"> AA et al (2024) Narrative cave art in Indonesia by 51,200 years ago. Nature 631:814–818</w:t>
      </w:r>
    </w:p>
    <w:p w14:paraId="612BC818" w14:textId="77777777" w:rsidR="0098606C" w:rsidRDefault="00000000">
      <w:pPr>
        <w:spacing w:before="80" w:after="80"/>
        <w:ind w:left="720" w:hanging="720"/>
      </w:pPr>
      <w:r>
        <w:rPr>
          <w:sz w:val="20"/>
          <w:szCs w:val="20"/>
        </w:rPr>
        <w:t>Rappaport RA (1999) Ritual and religion in the making of humanity. Cambridge University Press, Cambridge</w:t>
      </w:r>
    </w:p>
    <w:p w14:paraId="67A825A5" w14:textId="77777777" w:rsidR="0098606C" w:rsidRDefault="00000000">
      <w:pPr>
        <w:spacing w:before="80" w:after="80"/>
        <w:ind w:left="720" w:hanging="720"/>
      </w:pPr>
      <w:r>
        <w:rPr>
          <w:sz w:val="20"/>
          <w:szCs w:val="20"/>
        </w:rPr>
        <w:t>Renfrew C (2003) Figuring it out. Thames and Hudson, London</w:t>
      </w:r>
    </w:p>
    <w:p w14:paraId="38B91E7B" w14:textId="77777777" w:rsidR="0098606C" w:rsidRDefault="00000000">
      <w:pPr>
        <w:spacing w:before="80" w:after="80"/>
        <w:ind w:left="720" w:hanging="720"/>
      </w:pPr>
      <w:r>
        <w:rPr>
          <w:sz w:val="20"/>
          <w:szCs w:val="20"/>
        </w:rPr>
        <w:t xml:space="preserve">Schmidt K (2010) </w:t>
      </w:r>
      <w:proofErr w:type="spellStart"/>
      <w:r>
        <w:rPr>
          <w:sz w:val="20"/>
          <w:szCs w:val="20"/>
        </w:rPr>
        <w:t>Gobekli</w:t>
      </w:r>
      <w:proofErr w:type="spellEnd"/>
      <w:r>
        <w:rPr>
          <w:sz w:val="20"/>
          <w:szCs w:val="20"/>
        </w:rPr>
        <w:t xml:space="preserve"> Tepe: the stone age sanctuaries. Doc </w:t>
      </w:r>
      <w:proofErr w:type="spellStart"/>
      <w:r>
        <w:rPr>
          <w:sz w:val="20"/>
          <w:szCs w:val="20"/>
        </w:rPr>
        <w:t>Praehist</w:t>
      </w:r>
      <w:proofErr w:type="spellEnd"/>
      <w:r>
        <w:rPr>
          <w:sz w:val="20"/>
          <w:szCs w:val="20"/>
        </w:rPr>
        <w:t xml:space="preserve"> 37:239–256</w:t>
      </w:r>
    </w:p>
    <w:p w14:paraId="30D331F8" w14:textId="77777777" w:rsidR="0098606C" w:rsidRDefault="00000000">
      <w:pPr>
        <w:spacing w:before="80" w:after="80"/>
        <w:ind w:left="720" w:hanging="720"/>
      </w:pPr>
      <w:r>
        <w:rPr>
          <w:sz w:val="20"/>
          <w:szCs w:val="20"/>
        </w:rPr>
        <w:t>Trigger BG (2003) Understanding early civilizations. Cambridge University Press, Cambridge</w:t>
      </w:r>
    </w:p>
    <w:p w14:paraId="3130D667" w14:textId="77777777" w:rsidR="0098606C" w:rsidRDefault="00000000">
      <w:pPr>
        <w:spacing w:before="80" w:after="80"/>
        <w:ind w:left="720" w:hanging="720"/>
      </w:pPr>
      <w:proofErr w:type="spellStart"/>
      <w:r>
        <w:rPr>
          <w:sz w:val="20"/>
          <w:szCs w:val="20"/>
        </w:rPr>
        <w:t>Xygalatas</w:t>
      </w:r>
      <w:proofErr w:type="spellEnd"/>
      <w:r>
        <w:rPr>
          <w:sz w:val="20"/>
          <w:szCs w:val="20"/>
        </w:rPr>
        <w:t xml:space="preserve"> D (2022) Ritual: how seemingly senseless acts make life worth living. Profile Books, London</w:t>
      </w:r>
    </w:p>
    <w:p w14:paraId="399E090E" w14:textId="77777777" w:rsidR="0098606C" w:rsidRDefault="00000000">
      <w:pPr>
        <w:spacing w:before="180" w:after="80"/>
      </w:pPr>
      <w:r>
        <w:rPr>
          <w:b/>
          <w:bCs/>
        </w:rPr>
        <w:t>Cognitive Archaeology &amp; Deep Time</w:t>
      </w:r>
    </w:p>
    <w:p w14:paraId="7ECE3D8B" w14:textId="77777777" w:rsidR="0098606C" w:rsidRDefault="00000000">
      <w:pPr>
        <w:spacing w:before="80" w:after="80"/>
        <w:ind w:left="720" w:hanging="720"/>
      </w:pPr>
      <w:r>
        <w:rPr>
          <w:sz w:val="20"/>
          <w:szCs w:val="20"/>
        </w:rPr>
        <w:t>Bar-Yosef Mayer DE et al (2009) Shells and ochre in Middle Paleolithic Qafzeh Cave, Israel. J Hum Evol 56(3):307–314</w:t>
      </w:r>
    </w:p>
    <w:p w14:paraId="491BE712" w14:textId="77777777" w:rsidR="0098606C" w:rsidRDefault="00000000">
      <w:pPr>
        <w:spacing w:before="80" w:after="80"/>
        <w:ind w:left="720" w:hanging="720"/>
      </w:pPr>
      <w:r>
        <w:rPr>
          <w:sz w:val="20"/>
          <w:szCs w:val="20"/>
        </w:rPr>
        <w:t>Conard NJ (2009) A female figurine from the basal Aurignacian of Hohle Fels Cave in southwestern Germany. Nature 459:248–252</w:t>
      </w:r>
    </w:p>
    <w:p w14:paraId="4E7C74D4" w14:textId="77777777" w:rsidR="0098606C" w:rsidRDefault="00000000">
      <w:pPr>
        <w:spacing w:before="80" w:after="80"/>
        <w:ind w:left="720" w:hanging="720"/>
      </w:pPr>
      <w:proofErr w:type="spellStart"/>
      <w:r>
        <w:rPr>
          <w:sz w:val="20"/>
          <w:szCs w:val="20"/>
        </w:rPr>
        <w:t>d’Errico</w:t>
      </w:r>
      <w:proofErr w:type="spellEnd"/>
      <w:r>
        <w:rPr>
          <w:sz w:val="20"/>
          <w:szCs w:val="20"/>
        </w:rPr>
        <w:t xml:space="preserve"> F et al (2003) Archaeological evidence for the emergence of language, symbolism, and music. J World </w:t>
      </w:r>
      <w:proofErr w:type="spellStart"/>
      <w:r>
        <w:rPr>
          <w:sz w:val="20"/>
          <w:szCs w:val="20"/>
        </w:rPr>
        <w:t>Prehist</w:t>
      </w:r>
      <w:proofErr w:type="spellEnd"/>
      <w:r>
        <w:rPr>
          <w:sz w:val="20"/>
          <w:szCs w:val="20"/>
        </w:rPr>
        <w:t xml:space="preserve"> 17(1):1–70</w:t>
      </w:r>
    </w:p>
    <w:p w14:paraId="179ADA4F" w14:textId="77777777" w:rsidR="0098606C" w:rsidRDefault="00000000">
      <w:pPr>
        <w:spacing w:before="80" w:after="80"/>
        <w:ind w:left="720" w:hanging="720"/>
      </w:pPr>
      <w:proofErr w:type="spellStart"/>
      <w:r>
        <w:rPr>
          <w:sz w:val="20"/>
          <w:szCs w:val="20"/>
        </w:rPr>
        <w:t>Henshilwood</w:t>
      </w:r>
      <w:proofErr w:type="spellEnd"/>
      <w:r>
        <w:rPr>
          <w:sz w:val="20"/>
          <w:szCs w:val="20"/>
        </w:rPr>
        <w:t xml:space="preserve"> CS et al (2009) Engraved ochres from the Middle Stone Age levels at Blombos Cave, South Africa. J Hum Evol 57(1):27–47</w:t>
      </w:r>
    </w:p>
    <w:p w14:paraId="2AB5D4C1" w14:textId="77777777" w:rsidR="0098606C" w:rsidRDefault="00000000">
      <w:pPr>
        <w:spacing w:before="80" w:after="80"/>
        <w:ind w:left="720" w:hanging="720"/>
      </w:pPr>
      <w:r>
        <w:rPr>
          <w:sz w:val="20"/>
          <w:szCs w:val="20"/>
        </w:rPr>
        <w:t>Marean CW et al (2007) Early human use of marine resources and pigment in South Africa during the Middle Pleistocene. Nature 449:905–908</w:t>
      </w:r>
    </w:p>
    <w:p w14:paraId="1CAFB19A" w14:textId="77777777" w:rsidR="0098606C" w:rsidRDefault="00000000">
      <w:pPr>
        <w:spacing w:before="80" w:after="80"/>
        <w:ind w:left="720" w:hanging="720"/>
      </w:pPr>
      <w:proofErr w:type="spellStart"/>
      <w:r>
        <w:rPr>
          <w:sz w:val="20"/>
          <w:szCs w:val="20"/>
        </w:rPr>
        <w:t>Mellars</w:t>
      </w:r>
      <w:proofErr w:type="spellEnd"/>
      <w:r>
        <w:rPr>
          <w:sz w:val="20"/>
          <w:szCs w:val="20"/>
        </w:rPr>
        <w:t xml:space="preserve"> P (2006) Why did modern human populations disperse from Africa ca. 60,000 years ago? Proc Natl Acad Sci 103(25):9381–9386</w:t>
      </w:r>
    </w:p>
    <w:p w14:paraId="1B3D3159" w14:textId="77777777" w:rsidR="0098606C" w:rsidRDefault="00000000">
      <w:pPr>
        <w:spacing w:before="80" w:after="80"/>
        <w:ind w:left="720" w:hanging="720"/>
      </w:pPr>
      <w:proofErr w:type="spellStart"/>
      <w:r>
        <w:rPr>
          <w:sz w:val="20"/>
          <w:szCs w:val="20"/>
        </w:rPr>
        <w:t>Roebroeks</w:t>
      </w:r>
      <w:proofErr w:type="spellEnd"/>
      <w:r>
        <w:rPr>
          <w:sz w:val="20"/>
          <w:szCs w:val="20"/>
        </w:rPr>
        <w:t xml:space="preserve"> W et al (2012) Use of red ochre by early Neandertals. Proc Natl Acad Sci 109(6):1889–1894</w:t>
      </w:r>
    </w:p>
    <w:p w14:paraId="159AD2FD" w14:textId="77777777" w:rsidR="0098606C" w:rsidRDefault="00000000">
      <w:pPr>
        <w:spacing w:before="80" w:after="80"/>
        <w:ind w:left="720" w:hanging="720"/>
      </w:pPr>
      <w:r>
        <w:rPr>
          <w:sz w:val="20"/>
          <w:szCs w:val="20"/>
        </w:rPr>
        <w:t xml:space="preserve">Stout D, Hecht E, Chaminade T (2018) Cognitive foundations of tool use. Curr </w:t>
      </w:r>
      <w:proofErr w:type="spellStart"/>
      <w:r>
        <w:rPr>
          <w:sz w:val="20"/>
          <w:szCs w:val="20"/>
        </w:rPr>
        <w:t>Anthropol</w:t>
      </w:r>
      <w:proofErr w:type="spellEnd"/>
      <w:r>
        <w:rPr>
          <w:sz w:val="20"/>
          <w:szCs w:val="20"/>
        </w:rPr>
        <w:t xml:space="preserve"> 59(2):205–227</w:t>
      </w:r>
    </w:p>
    <w:p w14:paraId="6F9CFB77" w14:textId="77777777" w:rsidR="0098606C" w:rsidRDefault="00000000">
      <w:pPr>
        <w:spacing w:before="80" w:after="80"/>
        <w:ind w:left="720" w:hanging="720"/>
      </w:pPr>
      <w:proofErr w:type="spellStart"/>
      <w:r>
        <w:rPr>
          <w:sz w:val="20"/>
          <w:szCs w:val="20"/>
        </w:rPr>
        <w:t>Zilhão</w:t>
      </w:r>
      <w:proofErr w:type="spellEnd"/>
      <w:r>
        <w:rPr>
          <w:sz w:val="20"/>
          <w:szCs w:val="20"/>
        </w:rPr>
        <w:t xml:space="preserve"> J (2010) Symbolic use of marine shells and mineral pigments by Iberian Neandertals. Proc Natl Acad Sci 107(3):1023–1028</w:t>
      </w:r>
    </w:p>
    <w:p w14:paraId="7467EFF9" w14:textId="77777777" w:rsidR="0098606C" w:rsidRDefault="00000000">
      <w:pPr>
        <w:spacing w:before="180" w:after="80"/>
      </w:pPr>
      <w:r>
        <w:rPr>
          <w:b/>
          <w:bCs/>
        </w:rPr>
        <w:t>AI Ethics, Safety, Alignment</w:t>
      </w:r>
    </w:p>
    <w:p w14:paraId="526E2B4D" w14:textId="77777777" w:rsidR="0098606C" w:rsidRDefault="00000000">
      <w:pPr>
        <w:spacing w:before="80" w:after="80"/>
        <w:ind w:left="720" w:hanging="720"/>
      </w:pPr>
      <w:r>
        <w:rPr>
          <w:sz w:val="20"/>
          <w:szCs w:val="20"/>
        </w:rPr>
        <w:t>Bostrom N (2014) Superintelligence: paths, dangers, strategies. Oxford University Press, Oxford</w:t>
      </w:r>
    </w:p>
    <w:p w14:paraId="67800EF3" w14:textId="77777777" w:rsidR="0098606C" w:rsidRDefault="00000000">
      <w:pPr>
        <w:spacing w:before="80" w:after="80"/>
        <w:ind w:left="720" w:hanging="720"/>
      </w:pPr>
      <w:r>
        <w:rPr>
          <w:sz w:val="20"/>
          <w:szCs w:val="20"/>
        </w:rPr>
        <w:t>Crawford K (2021) Atlas of AI. Yale University Press, New Haven</w:t>
      </w:r>
    </w:p>
    <w:p w14:paraId="36CA6249" w14:textId="77777777" w:rsidR="0098606C" w:rsidRDefault="00000000">
      <w:pPr>
        <w:spacing w:before="80" w:after="80"/>
        <w:ind w:left="720" w:hanging="720"/>
      </w:pPr>
      <w:r>
        <w:rPr>
          <w:sz w:val="20"/>
          <w:szCs w:val="20"/>
        </w:rPr>
        <w:t>Dignum V (2019) Responsible artificial intelligence. Springer, Cham</w:t>
      </w:r>
    </w:p>
    <w:p w14:paraId="0D29547A" w14:textId="77777777" w:rsidR="0098606C" w:rsidRDefault="00000000">
      <w:pPr>
        <w:spacing w:before="80" w:after="80"/>
        <w:ind w:left="720" w:hanging="720"/>
      </w:pPr>
      <w:proofErr w:type="spellStart"/>
      <w:r>
        <w:rPr>
          <w:sz w:val="20"/>
          <w:szCs w:val="20"/>
        </w:rPr>
        <w:t>Floridi</w:t>
      </w:r>
      <w:proofErr w:type="spellEnd"/>
      <w:r>
        <w:rPr>
          <w:sz w:val="20"/>
          <w:szCs w:val="20"/>
        </w:rPr>
        <w:t xml:space="preserve"> L et al (2018) An ethical framework for a good AI society. Minds Mach 28(4):689–707</w:t>
      </w:r>
    </w:p>
    <w:p w14:paraId="059A8A84" w14:textId="77777777" w:rsidR="0098606C" w:rsidRDefault="00000000">
      <w:pPr>
        <w:spacing w:before="80" w:after="80"/>
        <w:ind w:left="720" w:hanging="720"/>
      </w:pPr>
      <w:r>
        <w:rPr>
          <w:sz w:val="20"/>
          <w:szCs w:val="20"/>
        </w:rPr>
        <w:t>Gabriel I (2020) Artificial intelligence, values, and alignment. Minds Mach 30(3):411–437</w:t>
      </w:r>
    </w:p>
    <w:p w14:paraId="14C0944A" w14:textId="77777777" w:rsidR="0098606C" w:rsidRDefault="00000000">
      <w:pPr>
        <w:spacing w:before="80" w:after="80"/>
        <w:ind w:left="720" w:hanging="720"/>
      </w:pPr>
      <w:r>
        <w:rPr>
          <w:sz w:val="20"/>
          <w:szCs w:val="20"/>
        </w:rPr>
        <w:t xml:space="preserve">Jobin A, Ienca M, </w:t>
      </w:r>
      <w:proofErr w:type="spellStart"/>
      <w:r>
        <w:rPr>
          <w:sz w:val="20"/>
          <w:szCs w:val="20"/>
        </w:rPr>
        <w:t>Vayena</w:t>
      </w:r>
      <w:proofErr w:type="spellEnd"/>
      <w:r>
        <w:rPr>
          <w:sz w:val="20"/>
          <w:szCs w:val="20"/>
        </w:rPr>
        <w:t xml:space="preserve"> E (2019) The global landscape of AI ethics guidelines. Nat Mach Intell 1(9):389–399</w:t>
      </w:r>
    </w:p>
    <w:p w14:paraId="3B05A669" w14:textId="77777777" w:rsidR="0098606C" w:rsidRDefault="00000000">
      <w:pPr>
        <w:spacing w:before="80" w:after="80"/>
        <w:ind w:left="720" w:hanging="720"/>
      </w:pPr>
      <w:r>
        <w:rPr>
          <w:sz w:val="20"/>
          <w:szCs w:val="20"/>
        </w:rPr>
        <w:t>Mittelstadt BD et al (2016) The ethics of algorithms: mapping the debate. Big Data Soc 3(2):1–21</w:t>
      </w:r>
    </w:p>
    <w:p w14:paraId="62CDE794" w14:textId="77777777" w:rsidR="0098606C" w:rsidRDefault="00000000">
      <w:pPr>
        <w:spacing w:before="80" w:after="80"/>
        <w:ind w:left="720" w:hanging="720"/>
      </w:pPr>
      <w:r>
        <w:rPr>
          <w:sz w:val="20"/>
          <w:szCs w:val="20"/>
        </w:rPr>
        <w:t>Russell S (2019) Human compatible: artificial intelligence and the problem of control. Viking, New York</w:t>
      </w:r>
    </w:p>
    <w:p w14:paraId="103A0604" w14:textId="77777777" w:rsidR="0098606C" w:rsidRDefault="00000000">
      <w:pPr>
        <w:spacing w:before="80" w:after="80"/>
        <w:ind w:left="720" w:hanging="720"/>
      </w:pPr>
      <w:proofErr w:type="spellStart"/>
      <w:r>
        <w:rPr>
          <w:sz w:val="20"/>
          <w:szCs w:val="20"/>
        </w:rPr>
        <w:t>Tegmark</w:t>
      </w:r>
      <w:proofErr w:type="spellEnd"/>
      <w:r>
        <w:rPr>
          <w:sz w:val="20"/>
          <w:szCs w:val="20"/>
        </w:rPr>
        <w:t xml:space="preserve"> M (2017) Life 3.0: being human in the age of artificial intelligence. Knopf, New York</w:t>
      </w:r>
    </w:p>
    <w:p w14:paraId="1D05747D" w14:textId="77777777" w:rsidR="0098606C" w:rsidRDefault="00000000">
      <w:pPr>
        <w:spacing w:before="80" w:after="80"/>
        <w:ind w:left="720" w:hanging="720"/>
      </w:pPr>
      <w:r>
        <w:rPr>
          <w:sz w:val="20"/>
          <w:szCs w:val="20"/>
        </w:rPr>
        <w:t>Zuboff S (2019) The age of surveillance capitalism. PublicAffairs, New York</w:t>
      </w:r>
    </w:p>
    <w:p w14:paraId="75529940" w14:textId="77777777" w:rsidR="0098606C" w:rsidRDefault="00000000">
      <w:pPr>
        <w:spacing w:before="180" w:after="80"/>
      </w:pPr>
      <w:r>
        <w:rPr>
          <w:b/>
          <w:bCs/>
        </w:rPr>
        <w:lastRenderedPageBreak/>
        <w:t>Institutional Theory &amp; Symbolic Power</w:t>
      </w:r>
    </w:p>
    <w:p w14:paraId="7CCE3524" w14:textId="77777777" w:rsidR="0098606C" w:rsidRDefault="00000000">
      <w:pPr>
        <w:spacing w:before="80" w:after="80"/>
        <w:ind w:left="720" w:hanging="720"/>
      </w:pPr>
      <w:r>
        <w:rPr>
          <w:sz w:val="20"/>
          <w:szCs w:val="20"/>
        </w:rPr>
        <w:t>Bourdieu P (1990) The logic of practice. Stanford University Press, Stanford</w:t>
      </w:r>
    </w:p>
    <w:p w14:paraId="0DD9A0E4" w14:textId="77777777" w:rsidR="0098606C" w:rsidRDefault="00000000">
      <w:pPr>
        <w:spacing w:before="80" w:after="80"/>
        <w:ind w:left="720" w:hanging="720"/>
      </w:pPr>
      <w:r>
        <w:rPr>
          <w:sz w:val="20"/>
          <w:szCs w:val="20"/>
        </w:rPr>
        <w:t>Collins R (2004) Interaction ritual chains. Princeton University Press, Princeton</w:t>
      </w:r>
    </w:p>
    <w:p w14:paraId="70FDF336" w14:textId="77777777" w:rsidR="0098606C" w:rsidRDefault="00000000">
      <w:pPr>
        <w:spacing w:before="80" w:after="80"/>
        <w:ind w:left="720" w:hanging="720"/>
      </w:pPr>
      <w:r>
        <w:rPr>
          <w:sz w:val="20"/>
          <w:szCs w:val="20"/>
        </w:rPr>
        <w:t>Douglas M (1986) How institutions think. Syracuse University Press, Syracuse</w:t>
      </w:r>
    </w:p>
    <w:p w14:paraId="59685B26" w14:textId="77777777" w:rsidR="0098606C" w:rsidRDefault="00000000">
      <w:pPr>
        <w:spacing w:before="80" w:after="80"/>
        <w:ind w:left="720" w:hanging="720"/>
      </w:pPr>
      <w:r>
        <w:rPr>
          <w:sz w:val="20"/>
          <w:szCs w:val="20"/>
        </w:rPr>
        <w:t>Durkheim É (1995) The elementary forms of religious life. Free Press, New York</w:t>
      </w:r>
    </w:p>
    <w:p w14:paraId="137D964D" w14:textId="77777777" w:rsidR="0098606C" w:rsidRDefault="00000000">
      <w:pPr>
        <w:spacing w:before="80" w:after="80"/>
        <w:ind w:left="720" w:hanging="720"/>
      </w:pPr>
      <w:r>
        <w:rPr>
          <w:sz w:val="20"/>
          <w:szCs w:val="20"/>
        </w:rPr>
        <w:t>Foucault M (1995) Discipline and punish: the birth of the prison. Vintage Books, New York</w:t>
      </w:r>
    </w:p>
    <w:p w14:paraId="53FBC51D" w14:textId="77777777" w:rsidR="0098606C" w:rsidRDefault="00000000">
      <w:pPr>
        <w:spacing w:before="80" w:after="80"/>
        <w:ind w:left="720" w:hanging="720"/>
      </w:pPr>
      <w:r>
        <w:rPr>
          <w:sz w:val="20"/>
          <w:szCs w:val="20"/>
        </w:rPr>
        <w:t>Giddens A (1984) The constitution of society. Polity Press, Cambridge</w:t>
      </w:r>
    </w:p>
    <w:p w14:paraId="7CC5CBC3" w14:textId="77777777" w:rsidR="0098606C" w:rsidRDefault="00000000">
      <w:pPr>
        <w:spacing w:before="80" w:after="80"/>
        <w:ind w:left="720" w:hanging="720"/>
      </w:pPr>
      <w:r>
        <w:rPr>
          <w:sz w:val="20"/>
          <w:szCs w:val="20"/>
        </w:rPr>
        <w:t>North DC (1990) Institutions, institutional change and economic performance. Cambridge University Press, Cambridge</w:t>
      </w:r>
    </w:p>
    <w:p w14:paraId="4B26FD10" w14:textId="77777777" w:rsidR="0098606C" w:rsidRDefault="00000000">
      <w:pPr>
        <w:spacing w:before="80" w:after="80"/>
        <w:ind w:left="720" w:hanging="720"/>
      </w:pPr>
      <w:r>
        <w:rPr>
          <w:sz w:val="20"/>
          <w:szCs w:val="20"/>
        </w:rPr>
        <w:t xml:space="preserve">Scott WR (2014) Institutions and organizations: ideas, interests and identities, 4th </w:t>
      </w:r>
      <w:proofErr w:type="spellStart"/>
      <w:r>
        <w:rPr>
          <w:sz w:val="20"/>
          <w:szCs w:val="20"/>
        </w:rPr>
        <w:t>edn</w:t>
      </w:r>
      <w:proofErr w:type="spellEnd"/>
      <w:r>
        <w:rPr>
          <w:sz w:val="20"/>
          <w:szCs w:val="20"/>
        </w:rPr>
        <w:t>. SAGE, Thousand Oaks</w:t>
      </w:r>
    </w:p>
    <w:p w14:paraId="31C72701" w14:textId="77777777" w:rsidR="0098606C" w:rsidRDefault="00000000">
      <w:pPr>
        <w:spacing w:before="80" w:after="80"/>
        <w:ind w:left="720" w:hanging="720"/>
      </w:pPr>
      <w:r>
        <w:rPr>
          <w:sz w:val="20"/>
          <w:szCs w:val="20"/>
        </w:rPr>
        <w:t>Weber M (1978) Economy and society. University of California Press, Berkeley</w:t>
      </w:r>
    </w:p>
    <w:p w14:paraId="4030232F" w14:textId="77777777" w:rsidR="0098606C" w:rsidRDefault="00000000">
      <w:pPr>
        <w:spacing w:before="180" w:after="80"/>
      </w:pPr>
      <w:r>
        <w:rPr>
          <w:b/>
          <w:bCs/>
        </w:rPr>
        <w:t>Neuroscience &amp; Embodied Cognition</w:t>
      </w:r>
    </w:p>
    <w:p w14:paraId="11C2A967" w14:textId="77777777" w:rsidR="0098606C" w:rsidRDefault="00000000">
      <w:pPr>
        <w:spacing w:before="80" w:after="80"/>
        <w:ind w:left="720" w:hanging="720"/>
      </w:pPr>
      <w:r>
        <w:rPr>
          <w:sz w:val="20"/>
          <w:szCs w:val="20"/>
        </w:rPr>
        <w:t>Clark A (2008) Supersizing the mind. Oxford University Press, Oxford</w:t>
      </w:r>
    </w:p>
    <w:p w14:paraId="73E99A66" w14:textId="77777777" w:rsidR="0098606C" w:rsidRDefault="00000000">
      <w:pPr>
        <w:spacing w:before="80" w:after="80"/>
        <w:ind w:left="720" w:hanging="720"/>
      </w:pPr>
      <w:r>
        <w:rPr>
          <w:sz w:val="20"/>
          <w:szCs w:val="20"/>
        </w:rPr>
        <w:t>Clark A, Chalmers D (1998) The extended mind. Analysis 58(1):7–19</w:t>
      </w:r>
    </w:p>
    <w:p w14:paraId="63D52DEB" w14:textId="77777777" w:rsidR="0098606C" w:rsidRDefault="00000000">
      <w:pPr>
        <w:spacing w:before="80" w:after="80"/>
        <w:ind w:left="720" w:hanging="720"/>
      </w:pPr>
      <w:r>
        <w:rPr>
          <w:sz w:val="20"/>
          <w:szCs w:val="20"/>
        </w:rPr>
        <w:t>Damasio A (1994) Descartes’ error: emotion, reason, and the human brain. Putnam, New York</w:t>
      </w:r>
    </w:p>
    <w:p w14:paraId="044F7BBF" w14:textId="77777777" w:rsidR="0098606C" w:rsidRDefault="00000000">
      <w:pPr>
        <w:spacing w:before="80" w:after="80"/>
        <w:ind w:left="720" w:hanging="720"/>
      </w:pPr>
      <w:r>
        <w:rPr>
          <w:sz w:val="20"/>
          <w:szCs w:val="20"/>
        </w:rPr>
        <w:t>Damasio A (1999) The feeling of what happens. Harcourt, New York</w:t>
      </w:r>
    </w:p>
    <w:p w14:paraId="784B0D06" w14:textId="77777777" w:rsidR="0098606C" w:rsidRDefault="00000000">
      <w:pPr>
        <w:spacing w:before="80" w:after="80"/>
        <w:ind w:left="720" w:hanging="720"/>
      </w:pPr>
      <w:r>
        <w:rPr>
          <w:sz w:val="20"/>
          <w:szCs w:val="20"/>
        </w:rPr>
        <w:t xml:space="preserve">Friston K (2010) The free-energy principle: a unified brain theory? Nat Rev </w:t>
      </w:r>
      <w:proofErr w:type="spellStart"/>
      <w:r>
        <w:rPr>
          <w:sz w:val="20"/>
          <w:szCs w:val="20"/>
        </w:rPr>
        <w:t>Neurosci</w:t>
      </w:r>
      <w:proofErr w:type="spellEnd"/>
      <w:r>
        <w:rPr>
          <w:sz w:val="20"/>
          <w:szCs w:val="20"/>
        </w:rPr>
        <w:t xml:space="preserve"> 11(2):127–138</w:t>
      </w:r>
    </w:p>
    <w:p w14:paraId="723F99AF" w14:textId="77777777" w:rsidR="0098606C" w:rsidRDefault="00000000">
      <w:pPr>
        <w:spacing w:before="80" w:after="80"/>
        <w:ind w:left="720" w:hanging="720"/>
      </w:pPr>
      <w:r>
        <w:rPr>
          <w:sz w:val="20"/>
          <w:szCs w:val="20"/>
        </w:rPr>
        <w:t>Hutchins E (1995) Cognition in the wild. MIT Press, Cambridge</w:t>
      </w:r>
    </w:p>
    <w:p w14:paraId="0CF7CE2E" w14:textId="77777777" w:rsidR="0098606C" w:rsidRDefault="00000000">
      <w:pPr>
        <w:spacing w:before="80" w:after="80"/>
        <w:ind w:left="720" w:hanging="720"/>
      </w:pPr>
      <w:r>
        <w:rPr>
          <w:sz w:val="20"/>
          <w:szCs w:val="20"/>
        </w:rPr>
        <w:t>Varela FJ, Thompson E, Rosch E (1991) The embodied mind. MIT Press, Cambridge</w:t>
      </w:r>
    </w:p>
    <w:p w14:paraId="19AD7B14" w14:textId="77777777" w:rsidR="0098606C" w:rsidRDefault="00000000">
      <w:pPr>
        <w:spacing w:before="180" w:after="80"/>
      </w:pPr>
      <w:r>
        <w:rPr>
          <w:b/>
          <w:bCs/>
        </w:rPr>
        <w:t>Writing, Language, Externalization</w:t>
      </w:r>
    </w:p>
    <w:p w14:paraId="2F5762DE" w14:textId="77777777" w:rsidR="0098606C" w:rsidRDefault="00000000">
      <w:pPr>
        <w:spacing w:before="80" w:after="80"/>
        <w:ind w:left="720" w:hanging="720"/>
      </w:pPr>
      <w:r>
        <w:rPr>
          <w:sz w:val="20"/>
          <w:szCs w:val="20"/>
        </w:rPr>
        <w:t>Goody J (1986) The logic of writing and the organization of society. Cambridge University Press, Cambridge</w:t>
      </w:r>
    </w:p>
    <w:p w14:paraId="4678A5C1" w14:textId="77777777" w:rsidR="0098606C" w:rsidRDefault="00000000">
      <w:pPr>
        <w:spacing w:before="80" w:after="80"/>
        <w:ind w:left="720" w:hanging="720"/>
      </w:pPr>
      <w:r>
        <w:rPr>
          <w:sz w:val="20"/>
          <w:szCs w:val="20"/>
        </w:rPr>
        <w:t>Houston SD (ed) (2004) The first writing. Cambridge University Press, Cambridge</w:t>
      </w:r>
    </w:p>
    <w:p w14:paraId="1D7BC56A" w14:textId="77777777" w:rsidR="0098606C" w:rsidRDefault="00000000">
      <w:pPr>
        <w:spacing w:before="80" w:after="80"/>
        <w:ind w:left="720" w:hanging="720"/>
      </w:pPr>
      <w:r>
        <w:rPr>
          <w:sz w:val="20"/>
          <w:szCs w:val="20"/>
        </w:rPr>
        <w:t>Olson DR (1994) The world on paper. Cambridge University Press, Cambridge</w:t>
      </w:r>
    </w:p>
    <w:p w14:paraId="3051475B" w14:textId="77777777" w:rsidR="0098606C" w:rsidRDefault="00000000">
      <w:pPr>
        <w:spacing w:before="80" w:after="80"/>
        <w:ind w:left="720" w:hanging="720"/>
      </w:pPr>
      <w:r>
        <w:rPr>
          <w:sz w:val="20"/>
          <w:szCs w:val="20"/>
        </w:rPr>
        <w:t>Ong WJ (1982) Orality and literacy. Routledge, London</w:t>
      </w:r>
    </w:p>
    <w:p w14:paraId="392B2B5A" w14:textId="77777777" w:rsidR="0098606C" w:rsidRDefault="00000000">
      <w:pPr>
        <w:spacing w:before="80" w:after="80"/>
        <w:ind w:left="720" w:hanging="720"/>
      </w:pPr>
      <w:r>
        <w:rPr>
          <w:sz w:val="20"/>
          <w:szCs w:val="20"/>
        </w:rPr>
        <w:t>Schmandt-</w:t>
      </w:r>
      <w:proofErr w:type="spellStart"/>
      <w:r>
        <w:rPr>
          <w:sz w:val="20"/>
          <w:szCs w:val="20"/>
        </w:rPr>
        <w:t>Besserat</w:t>
      </w:r>
      <w:proofErr w:type="spellEnd"/>
      <w:r>
        <w:rPr>
          <w:sz w:val="20"/>
          <w:szCs w:val="20"/>
        </w:rPr>
        <w:t xml:space="preserve"> D (1992) Before writing: from counting to cuneiform. University of Texas Press, Austin</w:t>
      </w:r>
    </w:p>
    <w:p w14:paraId="482AE580" w14:textId="77777777" w:rsidR="0098606C" w:rsidRDefault="00000000">
      <w:pPr>
        <w:spacing w:before="180" w:after="80"/>
      </w:pPr>
      <w:r>
        <w:rPr>
          <w:b/>
          <w:bCs/>
        </w:rPr>
        <w:t>AI Disclosure &amp; Transparency</w:t>
      </w:r>
    </w:p>
    <w:p w14:paraId="30B3361E" w14:textId="77777777" w:rsidR="0098606C" w:rsidRDefault="00000000">
      <w:pPr>
        <w:spacing w:before="80" w:after="80"/>
        <w:ind w:left="720" w:hanging="720"/>
      </w:pPr>
      <w:r>
        <w:rPr>
          <w:sz w:val="20"/>
          <w:szCs w:val="20"/>
        </w:rPr>
        <w:t xml:space="preserve">Bender EM et al (2021) On the dangers of stochastic parrots: can language models be too big? Proc ACM </w:t>
      </w:r>
      <w:proofErr w:type="spellStart"/>
      <w:r>
        <w:rPr>
          <w:sz w:val="20"/>
          <w:szCs w:val="20"/>
        </w:rPr>
        <w:t>FAccT</w:t>
      </w:r>
      <w:proofErr w:type="spellEnd"/>
      <w:r>
        <w:rPr>
          <w:sz w:val="20"/>
          <w:szCs w:val="20"/>
        </w:rPr>
        <w:t xml:space="preserve"> 2021:610–623</w:t>
      </w:r>
    </w:p>
    <w:p w14:paraId="662FF5D6" w14:textId="77777777" w:rsidR="0098606C" w:rsidRDefault="00000000">
      <w:pPr>
        <w:spacing w:before="80" w:after="80"/>
        <w:ind w:left="720" w:hanging="720"/>
      </w:pPr>
      <w:proofErr w:type="spellStart"/>
      <w:r>
        <w:rPr>
          <w:sz w:val="20"/>
          <w:szCs w:val="20"/>
        </w:rPr>
        <w:t>Diakopoulos</w:t>
      </w:r>
      <w:proofErr w:type="spellEnd"/>
      <w:r>
        <w:rPr>
          <w:sz w:val="20"/>
          <w:szCs w:val="20"/>
        </w:rPr>
        <w:t xml:space="preserve"> N (2015) Algorithmic accountability: journalistic investigation of computational power structures. Digit Journal 3(3):398–415</w:t>
      </w:r>
    </w:p>
    <w:p w14:paraId="58F703E2" w14:textId="77777777" w:rsidR="0098606C" w:rsidRDefault="00000000">
      <w:pPr>
        <w:spacing w:before="80" w:after="80"/>
        <w:ind w:left="720" w:hanging="720"/>
      </w:pPr>
      <w:r>
        <w:rPr>
          <w:sz w:val="20"/>
          <w:szCs w:val="20"/>
        </w:rPr>
        <w:t>European Commission (2019) Ethics guidelines for trustworthy AI. High-Level Expert Group on Artificial Intelligence, Brussels</w:t>
      </w:r>
    </w:p>
    <w:p w14:paraId="175CD995" w14:textId="77777777" w:rsidR="0098606C" w:rsidRDefault="00000000">
      <w:pPr>
        <w:spacing w:before="80" w:after="80"/>
        <w:ind w:left="720" w:hanging="720"/>
      </w:pPr>
      <w:r>
        <w:rPr>
          <w:sz w:val="20"/>
          <w:szCs w:val="20"/>
        </w:rPr>
        <w:t>Gebru T et al (2021) Datasheets for datasets. Commun ACM 64(12):86–92</w:t>
      </w:r>
    </w:p>
    <w:p w14:paraId="6013F2DB" w14:textId="77777777" w:rsidR="0098606C" w:rsidRDefault="00000000">
      <w:pPr>
        <w:spacing w:before="80" w:after="80"/>
        <w:ind w:left="720" w:hanging="720"/>
      </w:pPr>
      <w:proofErr w:type="spellStart"/>
      <w:r>
        <w:rPr>
          <w:sz w:val="20"/>
          <w:szCs w:val="20"/>
        </w:rPr>
        <w:t>Hagendorff</w:t>
      </w:r>
      <w:proofErr w:type="spellEnd"/>
      <w:r>
        <w:rPr>
          <w:sz w:val="20"/>
          <w:szCs w:val="20"/>
        </w:rPr>
        <w:t xml:space="preserve"> T (2020) The ethics of AI ethics: an evaluation of guidelines. Minds Mach 30(1):99–120</w:t>
      </w:r>
    </w:p>
    <w:p w14:paraId="7858B191" w14:textId="77777777" w:rsidR="0098606C" w:rsidRDefault="00000000">
      <w:pPr>
        <w:spacing w:before="80" w:after="80"/>
        <w:ind w:left="720" w:hanging="720"/>
      </w:pPr>
      <w:r>
        <w:rPr>
          <w:sz w:val="20"/>
          <w:szCs w:val="20"/>
        </w:rPr>
        <w:t>Lipton ZC (2018) The mythos of model interpretability. Queue 16(3):31–57</w:t>
      </w:r>
    </w:p>
    <w:p w14:paraId="7DA10B19" w14:textId="77777777" w:rsidR="0098606C" w:rsidRDefault="00000000">
      <w:pPr>
        <w:spacing w:before="80" w:after="80"/>
        <w:ind w:left="720" w:hanging="720"/>
      </w:pPr>
      <w:r>
        <w:rPr>
          <w:sz w:val="20"/>
          <w:szCs w:val="20"/>
        </w:rPr>
        <w:t xml:space="preserve">Mitchell M et al (2019) Model cards for model reporting. Proc ACM </w:t>
      </w:r>
      <w:proofErr w:type="spellStart"/>
      <w:r>
        <w:rPr>
          <w:sz w:val="20"/>
          <w:szCs w:val="20"/>
        </w:rPr>
        <w:t>FAccT</w:t>
      </w:r>
      <w:proofErr w:type="spellEnd"/>
      <w:r>
        <w:rPr>
          <w:sz w:val="20"/>
          <w:szCs w:val="20"/>
        </w:rPr>
        <w:t xml:space="preserve"> 2019:220–229</w:t>
      </w:r>
    </w:p>
    <w:p w14:paraId="2633AEDA" w14:textId="77777777" w:rsidR="0098606C" w:rsidRDefault="00000000">
      <w:pPr>
        <w:spacing w:before="80" w:after="80"/>
        <w:ind w:left="720" w:hanging="720"/>
      </w:pPr>
      <w:r>
        <w:rPr>
          <w:sz w:val="20"/>
          <w:szCs w:val="20"/>
        </w:rPr>
        <w:t xml:space="preserve">Wachter S, Mittelstadt B, </w:t>
      </w:r>
      <w:proofErr w:type="spellStart"/>
      <w:r>
        <w:rPr>
          <w:sz w:val="20"/>
          <w:szCs w:val="20"/>
        </w:rPr>
        <w:t>Floridi</w:t>
      </w:r>
      <w:proofErr w:type="spellEnd"/>
      <w:r>
        <w:rPr>
          <w:sz w:val="20"/>
          <w:szCs w:val="20"/>
        </w:rPr>
        <w:t xml:space="preserve"> L (2017) Why a right to explanation of automated decision-making does not exist in the general data protection regulation. Int Data Priv Law 7(2):76–99</w:t>
      </w:r>
    </w:p>
    <w:p w14:paraId="27C7A2E9" w14:textId="77777777" w:rsidR="0098606C" w:rsidRDefault="00000000">
      <w:pPr>
        <w:spacing w:before="180" w:after="80"/>
      </w:pPr>
      <w:r>
        <w:rPr>
          <w:b/>
          <w:bCs/>
        </w:rPr>
        <w:t>SDG-Adjacent &amp; Global Governance</w:t>
      </w:r>
    </w:p>
    <w:p w14:paraId="30C18396" w14:textId="77777777" w:rsidR="0098606C" w:rsidRDefault="00000000">
      <w:pPr>
        <w:spacing w:before="80" w:after="80"/>
        <w:ind w:left="720" w:hanging="720"/>
      </w:pPr>
      <w:r>
        <w:rPr>
          <w:sz w:val="20"/>
          <w:szCs w:val="20"/>
        </w:rPr>
        <w:lastRenderedPageBreak/>
        <w:t xml:space="preserve">Purzycki BG et al (2024) Cultural evolution of religion, spirituality and ritual: impacts on human cooperation. </w:t>
      </w:r>
      <w:proofErr w:type="spellStart"/>
      <w:r>
        <w:rPr>
          <w:sz w:val="20"/>
          <w:szCs w:val="20"/>
        </w:rPr>
        <w:t>KZfSS</w:t>
      </w:r>
      <w:proofErr w:type="spellEnd"/>
      <w:r>
        <w:rPr>
          <w:sz w:val="20"/>
          <w:szCs w:val="20"/>
        </w:rPr>
        <w:t>. https://doi.org/10.1007/s11577-024-00937-3</w:t>
      </w:r>
    </w:p>
    <w:p w14:paraId="0AE1DB26" w14:textId="77777777" w:rsidR="0098606C" w:rsidRDefault="00000000">
      <w:pPr>
        <w:spacing w:before="80" w:after="80"/>
        <w:ind w:left="720" w:hanging="720"/>
      </w:pPr>
      <w:r>
        <w:rPr>
          <w:sz w:val="20"/>
          <w:szCs w:val="20"/>
        </w:rPr>
        <w:t>Sachs JD (2015) The age of sustainable development. Columbia University Press, New York</w:t>
      </w:r>
    </w:p>
    <w:p w14:paraId="15A1097D" w14:textId="77777777" w:rsidR="0098606C" w:rsidRDefault="00000000">
      <w:pPr>
        <w:spacing w:before="80" w:after="80"/>
        <w:ind w:left="720" w:hanging="720"/>
      </w:pPr>
      <w:proofErr w:type="spellStart"/>
      <w:r>
        <w:rPr>
          <w:sz w:val="20"/>
          <w:szCs w:val="20"/>
        </w:rPr>
        <w:t>Tomašev</w:t>
      </w:r>
      <w:proofErr w:type="spellEnd"/>
      <w:r>
        <w:rPr>
          <w:sz w:val="20"/>
          <w:szCs w:val="20"/>
        </w:rPr>
        <w:t xml:space="preserve"> N et al (2020) AI for social good: unlocking the opportunity for positive impact. Nat Commun 11:2468</w:t>
      </w:r>
    </w:p>
    <w:p w14:paraId="5DF5BB3A" w14:textId="77777777" w:rsidR="0098606C" w:rsidRDefault="00000000">
      <w:pPr>
        <w:spacing w:before="80" w:after="80"/>
        <w:ind w:left="720" w:hanging="720"/>
      </w:pPr>
      <w:r>
        <w:rPr>
          <w:sz w:val="20"/>
          <w:szCs w:val="20"/>
        </w:rPr>
        <w:t>United Nations (2023) The sustainable development goals report 2023. United Nations, New York</w:t>
      </w:r>
    </w:p>
    <w:p w14:paraId="371C9077" w14:textId="77777777" w:rsidR="0098606C" w:rsidRDefault="00000000">
      <w:pPr>
        <w:spacing w:before="80" w:after="80"/>
        <w:ind w:left="720" w:hanging="720"/>
      </w:pPr>
      <w:proofErr w:type="spellStart"/>
      <w:r>
        <w:rPr>
          <w:sz w:val="20"/>
          <w:szCs w:val="20"/>
        </w:rPr>
        <w:t>Vinuesa</w:t>
      </w:r>
      <w:proofErr w:type="spellEnd"/>
      <w:r>
        <w:rPr>
          <w:sz w:val="20"/>
          <w:szCs w:val="20"/>
        </w:rPr>
        <w:t xml:space="preserve"> R et al (2020) The role of artificial intelligence in achieving the sustainable development goals. Nat Commun 11:233</w:t>
      </w:r>
    </w:p>
    <w:p w14:paraId="5DDEEA63" w14:textId="77777777" w:rsidR="0098606C" w:rsidRDefault="00000000">
      <w:pPr>
        <w:spacing w:before="180" w:after="80"/>
      </w:pPr>
      <w:r>
        <w:rPr>
          <w:b/>
          <w:bCs/>
        </w:rPr>
        <w:t>DSSM Corpus</w:t>
      </w:r>
    </w:p>
    <w:p w14:paraId="4BD2CAE8" w14:textId="77777777" w:rsidR="0098606C" w:rsidRDefault="00000000">
      <w:pPr>
        <w:spacing w:before="80" w:after="80"/>
        <w:ind w:left="720" w:hanging="720"/>
      </w:pPr>
      <w:r>
        <w:rPr>
          <w:sz w:val="20"/>
          <w:szCs w:val="20"/>
        </w:rPr>
        <w:t>Vondoom A (2025a) The deep symbolic systems model (DSSM): a cognitive–ritual framework for early monumentality and cultural continuity. OSF Preprints. https://doi.org/10.17605/OSF.IO/MRZFU</w:t>
      </w:r>
    </w:p>
    <w:p w14:paraId="70BEF22E" w14:textId="77777777" w:rsidR="0098606C" w:rsidRDefault="00000000">
      <w:pPr>
        <w:spacing w:before="80" w:after="80"/>
        <w:ind w:left="720" w:hanging="720"/>
      </w:pPr>
      <w:r>
        <w:rPr>
          <w:sz w:val="20"/>
          <w:szCs w:val="20"/>
        </w:rPr>
        <w:t>Vondoom A (2026a) Cognitive preconditions for the deep symbolic systems model (DSSM). OSF Preprints. https://doi.org/10.17605/OSF.IO/25AJW</w:t>
      </w:r>
    </w:p>
    <w:p w14:paraId="685DCEFC" w14:textId="77777777" w:rsidR="0098606C" w:rsidRDefault="00000000">
      <w:pPr>
        <w:spacing w:before="80" w:after="80"/>
        <w:ind w:left="720" w:hanging="720"/>
      </w:pPr>
      <w:r>
        <w:rPr>
          <w:sz w:val="20"/>
          <w:szCs w:val="20"/>
        </w:rPr>
        <w:t xml:space="preserve">Vondoom A (2026b) Deep symbolic stabilization across early civilizations: a global DSSM synthesis. </w:t>
      </w:r>
      <w:proofErr w:type="spellStart"/>
      <w:r>
        <w:rPr>
          <w:sz w:val="20"/>
          <w:szCs w:val="20"/>
        </w:rPr>
        <w:t>Figshare</w:t>
      </w:r>
      <w:proofErr w:type="spellEnd"/>
      <w:r>
        <w:rPr>
          <w:sz w:val="20"/>
          <w:szCs w:val="20"/>
        </w:rPr>
        <w:t>. https://doi.org/10.6084/m9.figshare.31061758</w:t>
      </w:r>
    </w:p>
    <w:p w14:paraId="71DA988C" w14:textId="290C6687" w:rsidR="0098606C" w:rsidRDefault="00000000">
      <w:pPr>
        <w:spacing w:before="80" w:after="80"/>
        <w:ind w:left="720" w:hanging="720"/>
      </w:pPr>
      <w:r>
        <w:rPr>
          <w:sz w:val="20"/>
          <w:szCs w:val="20"/>
        </w:rPr>
        <w:t>Vondoom A (2026c) Cognitive continuities across human and AI DSSMs.</w:t>
      </w:r>
    </w:p>
    <w:p w14:paraId="6A1B2E7D" w14:textId="77777777" w:rsidR="0098606C" w:rsidRDefault="00000000">
      <w:pPr>
        <w:spacing w:before="80" w:after="80"/>
        <w:ind w:left="720" w:hanging="720"/>
      </w:pPr>
      <w:r>
        <w:rPr>
          <w:sz w:val="20"/>
          <w:szCs w:val="20"/>
        </w:rPr>
        <w:t xml:space="preserve">Vondoom A (2026d) The rehearsed sacred: belief as the cognitive foundation of human civilization. </w:t>
      </w:r>
      <w:proofErr w:type="spellStart"/>
      <w:r>
        <w:rPr>
          <w:sz w:val="20"/>
          <w:szCs w:val="20"/>
        </w:rPr>
        <w:t>Zenodo</w:t>
      </w:r>
      <w:proofErr w:type="spellEnd"/>
      <w:r>
        <w:rPr>
          <w:sz w:val="20"/>
          <w:szCs w:val="20"/>
        </w:rPr>
        <w:t>. https://doi.org/10.5281/zenodo.19595013</w:t>
      </w:r>
    </w:p>
    <w:p w14:paraId="2FD36660" w14:textId="77777777" w:rsidR="0098606C" w:rsidRDefault="00000000">
      <w:pPr>
        <w:spacing w:before="80" w:after="80"/>
        <w:ind w:left="720" w:hanging="720"/>
      </w:pPr>
      <w:r>
        <w:rPr>
          <w:sz w:val="20"/>
          <w:szCs w:val="20"/>
        </w:rPr>
        <w:t>Vondoom A (2026e) Civilization is rehearsed. OSF Preprints</w:t>
      </w:r>
    </w:p>
    <w:sectPr w:rsidR="0098606C">
      <w:pgSz w:w="11906" w:h="16838"/>
      <w:pgMar w:top="1701" w:right="1701" w:bottom="1701"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0057E"/>
    <w:multiLevelType w:val="hybridMultilevel"/>
    <w:tmpl w:val="9F4CB022"/>
    <w:lvl w:ilvl="0" w:tplc="B700E890">
      <w:start w:val="1"/>
      <w:numFmt w:val="bullet"/>
      <w:lvlText w:val="●"/>
      <w:lvlJc w:val="left"/>
      <w:pPr>
        <w:ind w:left="720" w:hanging="360"/>
      </w:pPr>
    </w:lvl>
    <w:lvl w:ilvl="1" w:tplc="A2D2EA16">
      <w:start w:val="1"/>
      <w:numFmt w:val="bullet"/>
      <w:lvlText w:val="○"/>
      <w:lvlJc w:val="left"/>
      <w:pPr>
        <w:ind w:left="1440" w:hanging="360"/>
      </w:pPr>
    </w:lvl>
    <w:lvl w:ilvl="2" w:tplc="F69AF21C">
      <w:start w:val="1"/>
      <w:numFmt w:val="bullet"/>
      <w:lvlText w:val="■"/>
      <w:lvlJc w:val="left"/>
      <w:pPr>
        <w:ind w:left="2160" w:hanging="360"/>
      </w:pPr>
    </w:lvl>
    <w:lvl w:ilvl="3" w:tplc="AB22DB0A">
      <w:start w:val="1"/>
      <w:numFmt w:val="bullet"/>
      <w:lvlText w:val="●"/>
      <w:lvlJc w:val="left"/>
      <w:pPr>
        <w:ind w:left="2880" w:hanging="360"/>
      </w:pPr>
    </w:lvl>
    <w:lvl w:ilvl="4" w:tplc="B23886B2">
      <w:start w:val="1"/>
      <w:numFmt w:val="bullet"/>
      <w:lvlText w:val="○"/>
      <w:lvlJc w:val="left"/>
      <w:pPr>
        <w:ind w:left="3600" w:hanging="360"/>
      </w:pPr>
    </w:lvl>
    <w:lvl w:ilvl="5" w:tplc="D5BC3FC2">
      <w:start w:val="1"/>
      <w:numFmt w:val="bullet"/>
      <w:lvlText w:val="■"/>
      <w:lvlJc w:val="left"/>
      <w:pPr>
        <w:ind w:left="4320" w:hanging="360"/>
      </w:pPr>
    </w:lvl>
    <w:lvl w:ilvl="6" w:tplc="46B605C8">
      <w:start w:val="1"/>
      <w:numFmt w:val="bullet"/>
      <w:lvlText w:val="●"/>
      <w:lvlJc w:val="left"/>
      <w:pPr>
        <w:ind w:left="5040" w:hanging="360"/>
      </w:pPr>
    </w:lvl>
    <w:lvl w:ilvl="7" w:tplc="41D033A0">
      <w:start w:val="1"/>
      <w:numFmt w:val="bullet"/>
      <w:lvlText w:val="●"/>
      <w:lvlJc w:val="left"/>
      <w:pPr>
        <w:ind w:left="5760" w:hanging="360"/>
      </w:pPr>
    </w:lvl>
    <w:lvl w:ilvl="8" w:tplc="0DFE40DC">
      <w:start w:val="1"/>
      <w:numFmt w:val="bullet"/>
      <w:lvlText w:val="●"/>
      <w:lvlJc w:val="left"/>
      <w:pPr>
        <w:ind w:left="6480" w:hanging="360"/>
      </w:pPr>
    </w:lvl>
  </w:abstractNum>
  <w:num w:numId="1" w16cid:durableId="4282408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6C"/>
    <w:rsid w:val="00257D7F"/>
    <w:rsid w:val="0087297A"/>
    <w:rsid w:val="0098606C"/>
    <w:rsid w:val="00CF08E9"/>
    <w:rsid w:val="00D3203E"/>
    <w:rsid w:val="00DB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8C0987"/>
  <w15:docId w15:val="{B4C3C8F8-D10F-0647-A2EE-967D4E11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jc w:val="center"/>
      <w:outlineLvl w:val="0"/>
    </w:pPr>
    <w:rPr>
      <w:b/>
      <w:bCs/>
    </w:rPr>
  </w:style>
  <w:style w:type="paragraph" w:styleId="Heading2">
    <w:name w:val="heading 2"/>
    <w:uiPriority w:val="9"/>
    <w:semiHidden/>
    <w:unhideWhenUsed/>
    <w:qFormat/>
    <w:pPr>
      <w:spacing w:before="200" w:after="10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872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6084/m9.figshare.321675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6320</Words>
  <Characters>38621</Characters>
  <Application>Microsoft Office Word</Application>
  <DocSecurity>0</DocSecurity>
  <Lines>613</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3</cp:revision>
  <cp:lastPrinted>2026-05-05T20:13:00Z</cp:lastPrinted>
  <dcterms:created xsi:type="dcterms:W3CDTF">2026-05-05T20:13:00Z</dcterms:created>
  <dcterms:modified xsi:type="dcterms:W3CDTF">2026-05-05T20:13:00Z</dcterms:modified>
</cp:coreProperties>
</file>