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187EFF8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11111"/>
            <w:tcMar>
              <w:top w:w="400" w:type="dxa"/>
              <w:left w:w="400" w:type="dxa"/>
              <w:bottom w:w="400" w:type="dxa"/>
              <w:right w:w="400" w:type="dxa"/>
            </w:tcMar>
          </w:tcPr>
          <w:p w14:paraId="6A032444" w14:textId="77777777" w:rsidR="009A2378" w:rsidRDefault="00000000">
            <w:pPr>
              <w:spacing w:after="120"/>
              <w:jc w:val="center"/>
            </w:pPr>
            <w:r>
              <w:rPr>
                <w:b/>
                <w:bCs/>
                <w:color w:val="FFFFFF"/>
                <w:sz w:val="46"/>
                <w:szCs w:val="46"/>
              </w:rPr>
              <w:t>Symbolic Depth Without Vessel:</w:t>
            </w:r>
          </w:p>
          <w:p w14:paraId="3EA741F0" w14:textId="2E902B52" w:rsidR="0095784F" w:rsidRDefault="00000000" w:rsidP="0095784F">
            <w:pPr>
              <w:spacing w:after="280"/>
              <w:jc w:val="center"/>
              <w:rPr>
                <w:i/>
                <w:iCs/>
                <w:color w:val="CCCCCC"/>
                <w:sz w:val="30"/>
                <w:szCs w:val="30"/>
              </w:rPr>
            </w:pPr>
            <w:r>
              <w:rPr>
                <w:i/>
                <w:iCs/>
                <w:color w:val="CCCCCC"/>
                <w:sz w:val="30"/>
                <w:szCs w:val="30"/>
              </w:rPr>
              <w:t>Why Cognitive Capacity Repeatedly Failed to Produce Civilization</w:t>
            </w:r>
          </w:p>
          <w:p w14:paraId="50963C2A" w14:textId="56F6AD65" w:rsidR="00F10DD1" w:rsidRDefault="00F10DD1" w:rsidP="0095784F">
            <w:pPr>
              <w:spacing w:after="280"/>
              <w:jc w:val="center"/>
              <w:rPr>
                <w:i/>
                <w:iCs/>
                <w:color w:val="CCCCCC"/>
                <w:sz w:val="30"/>
                <w:szCs w:val="30"/>
              </w:rPr>
            </w:pPr>
            <w:r>
              <w:rPr>
                <w:i/>
                <w:iCs/>
                <w:color w:val="CCCCCC"/>
                <w:sz w:val="30"/>
                <w:szCs w:val="30"/>
              </w:rPr>
              <w:t xml:space="preserve">2026 </w:t>
            </w:r>
            <w:proofErr w:type="spellStart"/>
            <w:r>
              <w:rPr>
                <w:i/>
                <w:iCs/>
                <w:color w:val="CCCCCC"/>
                <w:sz w:val="30"/>
                <w:szCs w:val="30"/>
              </w:rPr>
              <w:t>Figshare</w:t>
            </w:r>
            <w:proofErr w:type="spellEnd"/>
            <w:r>
              <w:rPr>
                <w:i/>
                <w:iCs/>
                <w:color w:val="CCCCCC"/>
                <w:sz w:val="30"/>
                <w:szCs w:val="30"/>
              </w:rPr>
              <w:t xml:space="preserve"> </w:t>
            </w:r>
          </w:p>
          <w:p w14:paraId="16597A37" w14:textId="11B860CA" w:rsidR="00F10DD1" w:rsidRDefault="00F10DD1" w:rsidP="0095784F">
            <w:pPr>
              <w:spacing w:after="280"/>
              <w:jc w:val="center"/>
              <w:rPr>
                <w:i/>
                <w:iCs/>
                <w:color w:val="CCCCCC"/>
                <w:sz w:val="30"/>
                <w:szCs w:val="30"/>
              </w:rPr>
            </w:pPr>
            <w:hyperlink r:id="rId5" w:history="1">
              <w:r w:rsidRPr="000360D1">
                <w:rPr>
                  <w:rStyle w:val="Hyperlink"/>
                  <w:i/>
                  <w:iCs/>
                  <w:sz w:val="30"/>
                  <w:szCs w:val="30"/>
                </w:rPr>
                <w:t>https://doi.org/10.6084/m9.figshare.32166894</w:t>
              </w:r>
            </w:hyperlink>
          </w:p>
          <w:p w14:paraId="0EACF9B8" w14:textId="77777777" w:rsidR="00F10DD1" w:rsidRDefault="00F10DD1" w:rsidP="0095784F">
            <w:pPr>
              <w:spacing w:after="280"/>
              <w:jc w:val="center"/>
              <w:rPr>
                <w:i/>
                <w:iCs/>
                <w:color w:val="CCCCCC"/>
                <w:sz w:val="30"/>
                <w:szCs w:val="30"/>
              </w:rPr>
            </w:pPr>
          </w:p>
          <w:p w14:paraId="677772C0" w14:textId="0052AB9B" w:rsidR="0095784F" w:rsidRPr="0095784F" w:rsidRDefault="00345744" w:rsidP="0095784F">
            <w:pPr>
              <w:spacing w:after="280"/>
              <w:jc w:val="center"/>
              <w:rPr>
                <w:i/>
                <w:iCs/>
                <w:color w:val="CCCCCC"/>
                <w:sz w:val="30"/>
                <w:szCs w:val="30"/>
              </w:rPr>
            </w:pPr>
            <w:r>
              <w:t>Companion to: Vondoom, A. (2026). Cognitive Preconditions for the Deep Symbolic Systems Model. OSF. DOI: 10.17605/OSF.IO/25AJW</w:t>
            </w:r>
          </w:p>
          <w:p w14:paraId="4B1568FE" w14:textId="77777777" w:rsidR="009A2378" w:rsidRDefault="00000000">
            <w:pPr>
              <w:spacing w:after="100"/>
              <w:jc w:val="center"/>
            </w:pPr>
            <w:r>
              <w:rPr>
                <w:b/>
                <w:bCs/>
                <w:color w:val="FFFFFF"/>
                <w:sz w:val="26"/>
                <w:szCs w:val="26"/>
              </w:rPr>
              <w:t>Anthony Vondoom</w:t>
            </w:r>
          </w:p>
          <w:p w14:paraId="0F69A946" w14:textId="77777777" w:rsidR="009A2378" w:rsidRDefault="00000000">
            <w:pPr>
              <w:spacing w:after="80"/>
              <w:jc w:val="center"/>
            </w:pPr>
            <w:r>
              <w:rPr>
                <w:color w:val="AAAAAA"/>
                <w:sz w:val="20"/>
                <w:szCs w:val="20"/>
              </w:rPr>
              <w:t xml:space="preserve">Independent Researcher, Cognitive </w:t>
            </w:r>
            <w:proofErr w:type="gramStart"/>
            <w:r>
              <w:rPr>
                <w:color w:val="AAAAAA"/>
                <w:sz w:val="20"/>
                <w:szCs w:val="20"/>
              </w:rPr>
              <w:t>Archaeology  |</w:t>
            </w:r>
            <w:proofErr w:type="gramEnd"/>
            <w:r>
              <w:rPr>
                <w:color w:val="AAAAAA"/>
                <w:sz w:val="20"/>
                <w:szCs w:val="20"/>
              </w:rPr>
              <w:t xml:space="preserve">  ORCID: 0009-0003-4953-1427</w:t>
            </w:r>
          </w:p>
          <w:p w14:paraId="638FA377" w14:textId="26EEC5B0" w:rsidR="009A2378" w:rsidRDefault="00000000">
            <w:pPr>
              <w:spacing w:after="80"/>
              <w:jc w:val="center"/>
            </w:pPr>
            <w:r>
              <w:rPr>
                <w:color w:val="AAAAAA"/>
                <w:sz w:val="18"/>
                <w:szCs w:val="18"/>
              </w:rPr>
              <w:t xml:space="preserve">April </w:t>
            </w:r>
            <w:proofErr w:type="gramStart"/>
            <w:r>
              <w:rPr>
                <w:color w:val="AAAAAA"/>
                <w:sz w:val="18"/>
                <w:szCs w:val="18"/>
              </w:rPr>
              <w:t>2026  |</w:t>
            </w:r>
            <w:proofErr w:type="gramEnd"/>
            <w:r>
              <w:rPr>
                <w:color w:val="AAAAAA"/>
                <w:sz w:val="18"/>
                <w:szCs w:val="18"/>
              </w:rPr>
              <w:t xml:space="preserve">  CC BY 4.0  </w:t>
            </w:r>
          </w:p>
        </w:tc>
      </w:tr>
    </w:tbl>
    <w:p w14:paraId="5B1E663D" w14:textId="77777777" w:rsidR="009A2378" w:rsidRDefault="009A2378">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0EE1041C"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38451DD5" w14:textId="77777777" w:rsidR="009A2378" w:rsidRDefault="00000000" w:rsidP="0095784F">
            <w:pPr>
              <w:spacing w:after="70"/>
              <w:jc w:val="center"/>
            </w:pPr>
            <w:r>
              <w:rPr>
                <w:b/>
                <w:bCs/>
                <w:color w:val="000000"/>
                <w:sz w:val="21"/>
                <w:szCs w:val="21"/>
              </w:rPr>
              <w:t>ABSTRACT</w:t>
            </w:r>
          </w:p>
          <w:p w14:paraId="4E964EE4" w14:textId="77777777" w:rsidR="009A2378" w:rsidRDefault="009A2378">
            <w:pPr>
              <w:spacing w:before="70" w:after="70"/>
            </w:pPr>
          </w:p>
          <w:p w14:paraId="775D6AD9" w14:textId="77777777" w:rsidR="009A2378" w:rsidRDefault="00000000">
            <w:pPr>
              <w:spacing w:before="70" w:after="70"/>
            </w:pPr>
            <w:r>
              <w:rPr>
                <w:color w:val="000000"/>
                <w:sz w:val="21"/>
                <w:szCs w:val="21"/>
              </w:rPr>
              <w:t xml:space="preserve">Archaeological evidence from </w:t>
            </w:r>
            <w:proofErr w:type="spellStart"/>
            <w:r>
              <w:rPr>
                <w:color w:val="000000"/>
                <w:sz w:val="21"/>
                <w:szCs w:val="21"/>
              </w:rPr>
              <w:t>Bruniquel</w:t>
            </w:r>
            <w:proofErr w:type="spellEnd"/>
            <w:r>
              <w:rPr>
                <w:color w:val="000000"/>
                <w:sz w:val="21"/>
                <w:szCs w:val="21"/>
              </w:rPr>
              <w:t xml:space="preserve"> Cave (176,000 BP), Blombos Cave (100,000-70,000 BP), and the Aurignacian figurine complex (~40,000 BP) demonstrates that cognitively complex symbolic behavior long predates the emergence of civilization. The Deep Symbolic Systems Model (DSSM) proposes that this gap is structural rather than cognitive: symbolic production capacity was present; what was repeatedly absent were the four stabilization criteria — intergenerational repetition, spatial constraint, cross-media redundancy, and persistence under stress — required to transmit symbolic systems across generational and disruption boundaries.</w:t>
            </w:r>
          </w:p>
          <w:p w14:paraId="55D907DC" w14:textId="77777777" w:rsidR="009A2378" w:rsidRDefault="009A2378">
            <w:pPr>
              <w:spacing w:before="70" w:after="70"/>
            </w:pPr>
          </w:p>
          <w:p w14:paraId="020F5486" w14:textId="77777777" w:rsidR="009A2378" w:rsidRDefault="00000000">
            <w:pPr>
              <w:spacing w:before="70" w:after="70"/>
            </w:pPr>
            <w:r>
              <w:rPr>
                <w:color w:val="000000"/>
                <w:sz w:val="21"/>
                <w:szCs w:val="21"/>
              </w:rPr>
              <w:t>This paper develops three analytical propositions. First, the Aurignacian figurine tradition displays a geographic containment pattern anomalous relative to known AMH dispersal behavior, warranting consideration of contact zone production at the Neanderthal-AMH boundary as an alternative hypothesis, though this remains speculative pending direct skeletal evidence. Second, the Vinca culture collapse (c. 5700-4500 BCE) — in approximately the same geographic region, 35,000 years later — instantiates an identical structural failure mode, suggesting a recurring regional pattern of high symbolic output without sufficient stabilization depth. Third, the Levantine Neolithic transition is interpreted as a convergence event in which incoming symbolic traditions encountered pre-existing Natufian stabilization infrastructure, providing for the first time the structural conditions required for civilizational emergence.</w:t>
            </w:r>
          </w:p>
          <w:p w14:paraId="212A44BD" w14:textId="77777777" w:rsidR="009A2378" w:rsidRDefault="009A2378">
            <w:pPr>
              <w:spacing w:before="70" w:after="70"/>
            </w:pPr>
          </w:p>
          <w:p w14:paraId="6D9BD902" w14:textId="77777777" w:rsidR="009A2378" w:rsidRDefault="00000000">
            <w:pPr>
              <w:spacing w:before="70" w:after="70"/>
            </w:pPr>
            <w:r>
              <w:rPr>
                <w:color w:val="000000"/>
                <w:sz w:val="21"/>
                <w:szCs w:val="21"/>
              </w:rPr>
              <w:t>The central claim is that the civilizational threshold is better understood as a structural convergence than as a cognitive advance.</w:t>
            </w:r>
          </w:p>
        </w:tc>
      </w:tr>
    </w:tbl>
    <w:p w14:paraId="6056F032" w14:textId="77777777" w:rsidR="0095784F" w:rsidRDefault="0095784F">
      <w:pPr>
        <w:spacing w:after="200"/>
      </w:pPr>
    </w:p>
    <w:p w14:paraId="3FC12621" w14:textId="77777777" w:rsidR="009A2378" w:rsidRDefault="00000000">
      <w:pPr>
        <w:pStyle w:val="Heading1"/>
        <w:pBdr>
          <w:bottom w:val="single" w:sz="6" w:space="1" w:color="000000"/>
        </w:pBdr>
      </w:pPr>
      <w:r>
        <w:t>1. Introduction</w:t>
      </w:r>
    </w:p>
    <w:p w14:paraId="6FE08E70" w14:textId="77777777" w:rsidR="009A2378" w:rsidRDefault="009A237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699650B0"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14C53F59" w14:textId="77777777" w:rsidR="009A2378" w:rsidRDefault="00000000">
            <w:pPr>
              <w:spacing w:after="70"/>
            </w:pPr>
            <w:r>
              <w:rPr>
                <w:b/>
                <w:bCs/>
                <w:color w:val="000000"/>
                <w:sz w:val="21"/>
                <w:szCs w:val="21"/>
              </w:rPr>
              <w:t>Key Idea</w:t>
            </w:r>
          </w:p>
          <w:p w14:paraId="6E1BF8F2" w14:textId="77777777" w:rsidR="009A2378" w:rsidRDefault="009A2378">
            <w:pPr>
              <w:spacing w:before="70" w:after="70"/>
            </w:pPr>
          </w:p>
          <w:p w14:paraId="422A3DEC" w14:textId="77777777" w:rsidR="009A2378" w:rsidRDefault="00000000">
            <w:pPr>
              <w:spacing w:before="70" w:after="70"/>
            </w:pPr>
            <w:r>
              <w:rPr>
                <w:color w:val="000000"/>
                <w:sz w:val="21"/>
                <w:szCs w:val="21"/>
              </w:rPr>
              <w:t xml:space="preserve">Humans — and Neanderthals — appear to have been cognitively capable of complex symbolic behavior for at least 130,000 years before anything resembling civilization appeared. This paper asks why the gap </w:t>
            </w:r>
            <w:proofErr w:type="gramStart"/>
            <w:r>
              <w:rPr>
                <w:color w:val="000000"/>
                <w:sz w:val="21"/>
                <w:szCs w:val="21"/>
              </w:rPr>
              <w:t>existed, and</w:t>
            </w:r>
            <w:proofErr w:type="gramEnd"/>
            <w:r>
              <w:rPr>
                <w:color w:val="000000"/>
                <w:sz w:val="21"/>
                <w:szCs w:val="21"/>
              </w:rPr>
              <w:t xml:space="preserve"> proposes that the answer lies not in cognitive limitations but in the structural conditions required to preserve and transmit symbolic systems across time.</w:t>
            </w:r>
          </w:p>
        </w:tc>
      </w:tr>
    </w:tbl>
    <w:p w14:paraId="46A2547E" w14:textId="77777777" w:rsidR="009A2378" w:rsidRDefault="009A2378">
      <w:pPr>
        <w:spacing w:after="120"/>
      </w:pPr>
    </w:p>
    <w:p w14:paraId="5C903678" w14:textId="77777777" w:rsidR="009A2378" w:rsidRDefault="00000000">
      <w:pPr>
        <w:spacing w:before="60" w:after="110"/>
        <w:jc w:val="both"/>
      </w:pPr>
      <w:r>
        <w:rPr>
          <w:color w:val="000000"/>
        </w:rPr>
        <w:t xml:space="preserve">A persistent puzzle in the archaeology of human cognition is the apparent disparity between the early emergence of symbolic behavior and the comparatively late appearance of civilization. Structured ritual at </w:t>
      </w:r>
      <w:proofErr w:type="spellStart"/>
      <w:r>
        <w:rPr>
          <w:color w:val="000000"/>
        </w:rPr>
        <w:t>Bruniquel</w:t>
      </w:r>
      <w:proofErr w:type="spellEnd"/>
      <w:r>
        <w:rPr>
          <w:color w:val="000000"/>
        </w:rPr>
        <w:t xml:space="preserve"> Cave dates to approximately 176,000 BP. Ochre processing workshops, engraved geometric notation, and shell bead production at Blombos Cave date to between 100,000 and 70,000 BP. Three-dimensional figurative art appears in the Aurignacian record by approximately 40,000 BP. The earliest urban civilizations, by contrast, do not appear until the fourth millennium BCE — a gap of tens of thousands of years even from the most conservative estimates of behavioral modernity.</w:t>
      </w:r>
    </w:p>
    <w:p w14:paraId="23868B7D" w14:textId="77777777" w:rsidR="009A2378" w:rsidRDefault="00000000">
      <w:pPr>
        <w:spacing w:before="60" w:after="110"/>
        <w:jc w:val="both"/>
      </w:pPr>
      <w:r>
        <w:rPr>
          <w:color w:val="000000"/>
        </w:rPr>
        <w:t xml:space="preserve">The conventional explanation invokes progressive cognitive evolution: something changed around 50,000 BP that enabled modern symbolic cognition, and civilization followed as its eventual downstream consequence. This explanation is increasingly difficult to sustain against the archaeological record. The </w:t>
      </w:r>
      <w:proofErr w:type="spellStart"/>
      <w:r>
        <w:rPr>
          <w:color w:val="000000"/>
        </w:rPr>
        <w:t>Bruniquel</w:t>
      </w:r>
      <w:proofErr w:type="spellEnd"/>
      <w:r>
        <w:rPr>
          <w:color w:val="000000"/>
        </w:rPr>
        <w:t xml:space="preserve"> evidence establishes that structurally complex spatial behavior was within Neanderthal capacity 130,000 years before the Aurignacian complex. Blombos demonstrates full symbolic system saturation by AMH populations in southern Africa well before the accepted window of behavioral modernity.</w:t>
      </w:r>
    </w:p>
    <w:p w14:paraId="7BA1F17B" w14:textId="77777777" w:rsidR="009A2378" w:rsidRDefault="00000000">
      <w:pPr>
        <w:spacing w:before="60" w:after="110"/>
        <w:jc w:val="both"/>
      </w:pPr>
      <w:r>
        <w:rPr>
          <w:color w:val="000000"/>
        </w:rPr>
        <w:t>The DSSM proposes an alternative framing. Cognitive capacity is not the bottleneck. What the record shows, repeatedly and across diverse geographic contexts, is symbolic production without the structural infrastructure required to make that production durable. This paper develops this argument through three case analyses and proposes that civilizational emergence is better understood as a structural convergence event than as a cognitive threshold crossing.</w:t>
      </w:r>
    </w:p>
    <w:p w14:paraId="0EB9E8EF" w14:textId="77777777" w:rsidR="009A2378" w:rsidRDefault="009A2378">
      <w:pPr>
        <w:spacing w:after="160"/>
      </w:pPr>
    </w:p>
    <w:p w14:paraId="5A215DF7" w14:textId="77777777" w:rsidR="0095784F" w:rsidRDefault="0095784F">
      <w:pPr>
        <w:pStyle w:val="Heading1"/>
        <w:pBdr>
          <w:bottom w:val="single" w:sz="6" w:space="1" w:color="000000"/>
        </w:pBdr>
      </w:pPr>
    </w:p>
    <w:p w14:paraId="2D75C5DE" w14:textId="77777777" w:rsidR="0095784F" w:rsidRDefault="0095784F">
      <w:pPr>
        <w:pStyle w:val="Heading1"/>
        <w:pBdr>
          <w:bottom w:val="single" w:sz="6" w:space="1" w:color="000000"/>
        </w:pBdr>
      </w:pPr>
    </w:p>
    <w:p w14:paraId="71D2C4DD" w14:textId="77777777" w:rsidR="0095784F" w:rsidRDefault="0095784F">
      <w:pPr>
        <w:pStyle w:val="Heading1"/>
        <w:pBdr>
          <w:bottom w:val="single" w:sz="6" w:space="1" w:color="000000"/>
        </w:pBdr>
      </w:pPr>
    </w:p>
    <w:p w14:paraId="084DB98B" w14:textId="77777777" w:rsidR="0095784F" w:rsidRDefault="0095784F">
      <w:pPr>
        <w:pStyle w:val="Heading1"/>
        <w:pBdr>
          <w:bottom w:val="single" w:sz="6" w:space="1" w:color="000000"/>
        </w:pBdr>
      </w:pPr>
    </w:p>
    <w:p w14:paraId="2CA62782" w14:textId="77777777" w:rsidR="0095784F" w:rsidRDefault="0095784F">
      <w:pPr>
        <w:pStyle w:val="Heading1"/>
        <w:pBdr>
          <w:bottom w:val="single" w:sz="6" w:space="1" w:color="000000"/>
        </w:pBdr>
      </w:pPr>
    </w:p>
    <w:p w14:paraId="0D29C5DC" w14:textId="077EF5BE" w:rsidR="009A2378" w:rsidRDefault="00000000">
      <w:pPr>
        <w:pStyle w:val="Heading1"/>
        <w:pBdr>
          <w:bottom w:val="single" w:sz="6" w:space="1" w:color="000000"/>
        </w:pBdr>
      </w:pPr>
      <w:r>
        <w:lastRenderedPageBreak/>
        <w:t>2. The DSSM Stabilization Framework</w:t>
      </w:r>
    </w:p>
    <w:p w14:paraId="169842C5" w14:textId="77777777" w:rsidR="009A2378" w:rsidRDefault="009A237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56122A56"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6A463BBB" w14:textId="77777777" w:rsidR="009A2378" w:rsidRDefault="00000000">
            <w:pPr>
              <w:spacing w:after="70"/>
            </w:pPr>
            <w:r>
              <w:rPr>
                <w:b/>
                <w:bCs/>
                <w:color w:val="000000"/>
                <w:sz w:val="21"/>
                <w:szCs w:val="21"/>
              </w:rPr>
              <w:t>Key Idea</w:t>
            </w:r>
          </w:p>
          <w:p w14:paraId="236E6FAB" w14:textId="77777777" w:rsidR="009A2378" w:rsidRDefault="009A2378">
            <w:pPr>
              <w:spacing w:before="70" w:after="70"/>
            </w:pPr>
          </w:p>
          <w:p w14:paraId="5EBEBAD3" w14:textId="77777777" w:rsidR="009A2378" w:rsidRDefault="00000000">
            <w:pPr>
              <w:spacing w:before="70" w:after="70"/>
            </w:pPr>
            <w:r>
              <w:rPr>
                <w:color w:val="000000"/>
                <w:sz w:val="21"/>
                <w:szCs w:val="21"/>
              </w:rPr>
              <w:t>The DSSM identifies four conditions a symbolic system must meet to persist across generations: it must repeat reliably, be tied to specific places, be encoded in multiple media simultaneously, and survive disruption. Many prehistoric symbolic systems met one or two of these. Very few met all four at once.</w:t>
            </w:r>
          </w:p>
        </w:tc>
      </w:tr>
    </w:tbl>
    <w:p w14:paraId="11EEFE7C" w14:textId="77777777" w:rsidR="009A2378" w:rsidRDefault="009A2378">
      <w:pPr>
        <w:spacing w:after="120"/>
      </w:pPr>
    </w:p>
    <w:p w14:paraId="18A59B57" w14:textId="77777777" w:rsidR="009A2378" w:rsidRDefault="00000000">
      <w:pPr>
        <w:pStyle w:val="Heading2"/>
      </w:pPr>
      <w:r>
        <w:t>2.1 Four Stabilization Criteria</w:t>
      </w:r>
    </w:p>
    <w:p w14:paraId="2445063D" w14:textId="77777777" w:rsidR="009A2378" w:rsidRDefault="00000000">
      <w:pPr>
        <w:spacing w:before="60" w:after="110"/>
        <w:jc w:val="both"/>
      </w:pPr>
      <w:r>
        <w:rPr>
          <w:color w:val="000000"/>
        </w:rPr>
        <w:t>The DSSM proposes that a symbolic system achieves the durability necessary for civilizational emergence only when four criteria are simultaneously and persistently satisfied:</w:t>
      </w:r>
    </w:p>
    <w:p w14:paraId="070D1D64" w14:textId="77777777" w:rsidR="009A2378" w:rsidRDefault="00000000">
      <w:pPr>
        <w:pStyle w:val="ListParagraph"/>
        <w:numPr>
          <w:ilvl w:val="0"/>
          <w:numId w:val="2"/>
        </w:numPr>
        <w:spacing w:before="60" w:after="60"/>
      </w:pPr>
      <w:r>
        <w:rPr>
          <w:color w:val="000000"/>
        </w:rPr>
        <w:t>Intergenerational repetition: symbolic practice transmitted intact across at least two generational cycles, with recognizable continuity of form and meaning</w:t>
      </w:r>
    </w:p>
    <w:p w14:paraId="1D2D46E5" w14:textId="77777777" w:rsidR="009A2378" w:rsidRDefault="00000000">
      <w:pPr>
        <w:pStyle w:val="ListParagraph"/>
        <w:numPr>
          <w:ilvl w:val="0"/>
          <w:numId w:val="2"/>
        </w:numPr>
        <w:spacing w:before="60" w:after="60"/>
      </w:pPr>
      <w:r>
        <w:rPr>
          <w:color w:val="000000"/>
        </w:rPr>
        <w:t>Spatial constraint: symbolic practice anchored to specific locations functioning as persistent mnemonic architectures — places whose spatial organization encodes symbolic content independently of any individual practitioner</w:t>
      </w:r>
    </w:p>
    <w:p w14:paraId="6D057031" w14:textId="77777777" w:rsidR="009A2378" w:rsidRDefault="00000000">
      <w:pPr>
        <w:pStyle w:val="ListParagraph"/>
        <w:numPr>
          <w:ilvl w:val="0"/>
          <w:numId w:val="2"/>
        </w:numPr>
        <w:spacing w:before="60" w:after="60"/>
      </w:pPr>
      <w:r>
        <w:rPr>
          <w:color w:val="000000"/>
        </w:rPr>
        <w:t>Cross-media redundancy: symbolic content encoded simultaneously across multiple modalities, such that the loss of any single medium does not collapse the system</w:t>
      </w:r>
    </w:p>
    <w:p w14:paraId="04AE0011" w14:textId="77777777" w:rsidR="009A2378" w:rsidRDefault="00000000">
      <w:pPr>
        <w:pStyle w:val="ListParagraph"/>
        <w:numPr>
          <w:ilvl w:val="0"/>
          <w:numId w:val="2"/>
        </w:numPr>
        <w:spacing w:before="60" w:after="60"/>
      </w:pPr>
      <w:r>
        <w:rPr>
          <w:color w:val="000000"/>
        </w:rPr>
        <w:t>Persistence under stress: the symbolic system reconstitutes recognizably following major disruption events, including conquest, displacement, famine, and demographic collapse</w:t>
      </w:r>
    </w:p>
    <w:p w14:paraId="22452DD2" w14:textId="77777777" w:rsidR="009A2378" w:rsidRDefault="009A2378">
      <w:pPr>
        <w:spacing w:after="80"/>
      </w:pPr>
    </w:p>
    <w:p w14:paraId="52FB9A1E" w14:textId="77777777" w:rsidR="009A2378" w:rsidRDefault="00000000">
      <w:pPr>
        <w:spacing w:before="60" w:after="110"/>
        <w:jc w:val="both"/>
      </w:pPr>
      <w:r>
        <w:rPr>
          <w:color w:val="000000"/>
        </w:rPr>
        <w:t>These criteria are operationalized through the Field Companion Protocol (FCP), which scores six observables: Mnemonic Architectures, Symbolic Stabilization, Externalized Cognition, Symbolic Regulation, Distributed Symbolic Authority, and Portable Symbolic Anchors. Each is scored 0-2, yielding a maximum of 12. DSSM saturation requires a minimum of 7/8 with no individual criterion at zero.</w:t>
      </w:r>
    </w:p>
    <w:p w14:paraId="19546005" w14:textId="77777777" w:rsidR="009A2378" w:rsidRDefault="00000000">
      <w:pPr>
        <w:pStyle w:val="Heading2"/>
      </w:pPr>
      <w:r>
        <w:t>2.2 The ~500-Person Community Threshold</w:t>
      </w:r>
    </w:p>
    <w:p w14:paraId="54F4619A" w14:textId="77777777" w:rsidR="009A2378" w:rsidRDefault="00000000">
      <w:pPr>
        <w:spacing w:before="60" w:after="110"/>
        <w:jc w:val="both"/>
      </w:pPr>
      <w:r>
        <w:rPr>
          <w:color w:val="000000"/>
        </w:rPr>
        <w:t>Stage 3 of the DSSM — Material Amplification and Externalization — requires a minimum community density of approximately 500 persons to sustain the division of symbolic labor necessary for cross-media redundancy. This figure represents an order-of-magnitude threshold below which the social infrastructure of transmission cannot be maintained.</w:t>
      </w:r>
    </w:p>
    <w:p w14:paraId="3E513D38" w14:textId="77777777" w:rsidR="009A2378" w:rsidRDefault="00000000">
      <w:pPr>
        <w:spacing w:before="60" w:after="110"/>
        <w:jc w:val="both"/>
      </w:pPr>
      <w:r>
        <w:rPr>
          <w:color w:val="000000"/>
        </w:rPr>
        <w:t>Below this threshold, individuals can produce objects of high cognitive complexity. What cannot occur is stabilization of that practice as a transmissible system: there is insufficient density to maintain specialist roles, correction feedback, and distributed memory through the loss of key practitioners or the disruption of key sites. This is a structural claim, not a cognitive one.</w:t>
      </w:r>
    </w:p>
    <w:p w14:paraId="4DA652E0" w14:textId="77777777" w:rsidR="009A2378" w:rsidRDefault="00000000">
      <w:pPr>
        <w:pStyle w:val="Heading2"/>
      </w:pPr>
      <w:r>
        <w:t>2.3 Symbolic Depth and Symbolic Stability Distinguished</w:t>
      </w:r>
    </w:p>
    <w:p w14:paraId="00C64ACC" w14:textId="77777777" w:rsidR="009A2378" w:rsidRDefault="00000000">
      <w:pPr>
        <w:spacing w:before="60" w:after="110"/>
        <w:jc w:val="both"/>
      </w:pPr>
      <w:r>
        <w:rPr>
          <w:color w:val="000000"/>
        </w:rPr>
        <w:t xml:space="preserve">Symbolic depth: the cognitive capacity to produce complex symbolic content. Symbolic stability: the structural capacity to transmit that content intact across generations and stress events. These are analytically independent dimensions. A population can exhibit high symbolic depth while </w:t>
      </w:r>
      <w:r>
        <w:rPr>
          <w:color w:val="000000"/>
        </w:rPr>
        <w:lastRenderedPageBreak/>
        <w:t>operating entirely below the structural threshold for symbolic stability. The result is impressive archaeological output without durable transmission — the pattern visible across the cases examined below.</w:t>
      </w:r>
    </w:p>
    <w:p w14:paraId="52302B68" w14:textId="77777777" w:rsidR="009A2378" w:rsidRDefault="009A2378">
      <w:pPr>
        <w:spacing w:after="160"/>
      </w:pPr>
    </w:p>
    <w:p w14:paraId="1CFE1092" w14:textId="77777777" w:rsidR="009A2378" w:rsidRDefault="00000000">
      <w:pPr>
        <w:pStyle w:val="Heading1"/>
        <w:pBdr>
          <w:bottom w:val="single" w:sz="6" w:space="1" w:color="000000"/>
        </w:pBdr>
      </w:pPr>
      <w:r>
        <w:t>3. Symbolic Depth Without Vessel: Three Cases</w:t>
      </w:r>
    </w:p>
    <w:p w14:paraId="59CE8389" w14:textId="77777777" w:rsidR="009A2378" w:rsidRDefault="009A237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66E1C53A"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6298F815" w14:textId="77777777" w:rsidR="009A2378" w:rsidRDefault="00000000">
            <w:pPr>
              <w:spacing w:after="70"/>
            </w:pPr>
            <w:r>
              <w:rPr>
                <w:b/>
                <w:bCs/>
                <w:color w:val="000000"/>
                <w:sz w:val="21"/>
                <w:szCs w:val="21"/>
              </w:rPr>
              <w:t>Key Idea</w:t>
            </w:r>
          </w:p>
          <w:p w14:paraId="21722B40" w14:textId="77777777" w:rsidR="009A2378" w:rsidRDefault="009A2378">
            <w:pPr>
              <w:spacing w:before="70" w:after="70"/>
            </w:pPr>
          </w:p>
          <w:p w14:paraId="33F20620" w14:textId="77777777" w:rsidR="009A2378" w:rsidRDefault="00000000">
            <w:pPr>
              <w:spacing w:before="70" w:after="70"/>
            </w:pPr>
            <w:r>
              <w:rPr>
                <w:color w:val="000000"/>
                <w:sz w:val="21"/>
                <w:szCs w:val="21"/>
              </w:rPr>
              <w:t xml:space="preserve">Three major archaeological cases — </w:t>
            </w:r>
            <w:proofErr w:type="spellStart"/>
            <w:r>
              <w:rPr>
                <w:color w:val="000000"/>
                <w:sz w:val="21"/>
                <w:szCs w:val="21"/>
              </w:rPr>
              <w:t>Bruniquel</w:t>
            </w:r>
            <w:proofErr w:type="spellEnd"/>
            <w:r>
              <w:rPr>
                <w:color w:val="000000"/>
                <w:sz w:val="21"/>
                <w:szCs w:val="21"/>
              </w:rPr>
              <w:t xml:space="preserve"> (176,000 BP), Blombos (100,000-70,000 BP), and the Aurignacian figurines (~40,000 BP) — each represent cognitively advanced symbolic production that left no durable successor tradition. The DSSM identifies the structural reason in each case: one or more stabilization criteria was absent, despite the cognitive capacity being demonstrably present.</w:t>
            </w:r>
          </w:p>
        </w:tc>
      </w:tr>
    </w:tbl>
    <w:p w14:paraId="7E582679" w14:textId="77777777" w:rsidR="009A2378" w:rsidRDefault="009A2378">
      <w:pPr>
        <w:spacing w:after="120"/>
      </w:pPr>
    </w:p>
    <w:p w14:paraId="16C8D916" w14:textId="77777777" w:rsidR="009A2378" w:rsidRDefault="00000000">
      <w:pPr>
        <w:pStyle w:val="Heading2"/>
      </w:pPr>
      <w:r>
        <w:t xml:space="preserve">3.1 </w:t>
      </w:r>
      <w:proofErr w:type="spellStart"/>
      <w:r>
        <w:t>Bruniquel</w:t>
      </w:r>
      <w:proofErr w:type="spellEnd"/>
      <w:r>
        <w:t xml:space="preserve"> Cave (176,000 BP)</w:t>
      </w:r>
    </w:p>
    <w:p w14:paraId="323CCE7A" w14:textId="77777777" w:rsidR="009A2378" w:rsidRDefault="00000000">
      <w:pPr>
        <w:spacing w:before="60" w:after="110"/>
        <w:jc w:val="both"/>
      </w:pPr>
      <w:proofErr w:type="spellStart"/>
      <w:r>
        <w:rPr>
          <w:color w:val="000000"/>
        </w:rPr>
        <w:t>Bruniquel</w:t>
      </w:r>
      <w:proofErr w:type="spellEnd"/>
      <w:r>
        <w:rPr>
          <w:color w:val="000000"/>
        </w:rPr>
        <w:t xml:space="preserve"> Cave in Tarn-et-Garonne, France, contains deliberate ring and semicircle structures built from broken stalagmite sections, located approximately 336 meters from the cave entrance and dated to approximately 176,200 BP by uranium-series methods (Jaubert et al., 2016). The deep-cave location, spatial organization, and deliberate nature of the breakage and arrangement preclude utilitarian explanation.</w:t>
      </w:r>
    </w:p>
    <w:p w14:paraId="61C9DB9C" w14:textId="77777777" w:rsidR="009A2378" w:rsidRDefault="00000000">
      <w:pPr>
        <w:spacing w:before="60" w:after="110"/>
        <w:jc w:val="both"/>
      </w:pPr>
      <w:r>
        <w:rPr>
          <w:color w:val="000000"/>
        </w:rPr>
        <w:t xml:space="preserve">On the DSSM FCP, </w:t>
      </w:r>
      <w:proofErr w:type="spellStart"/>
      <w:r>
        <w:rPr>
          <w:color w:val="000000"/>
        </w:rPr>
        <w:t>Bruniquel</w:t>
      </w:r>
      <w:proofErr w:type="spellEnd"/>
      <w:r>
        <w:rPr>
          <w:color w:val="000000"/>
        </w:rPr>
        <w:t xml:space="preserve"> scores approximately 8/12, meeting the saturation threshold on Mnemonic Architectures, Symbolic Stabilization, and Externalized Cognition. This establishes that the behavioral and cognitive substrates for structured symbolic practice were present in Neanderthal populations 130,000 years before the Aurignacian complex. The absence of an identifiable daughter tradition is consistent with Neanderthal population densities insufficient to sustain Stage 3 material amplification at the scale required for intergenerational transmission.</w:t>
      </w:r>
    </w:p>
    <w:p w14:paraId="17FADFD8" w14:textId="77777777" w:rsidR="009A2378" w:rsidRDefault="00000000">
      <w:pPr>
        <w:pStyle w:val="Heading2"/>
      </w:pPr>
      <w:r>
        <w:t>3.2 Blombos Cave (100,000-70,000 BP)</w:t>
      </w:r>
    </w:p>
    <w:p w14:paraId="0E6A11BA" w14:textId="77777777" w:rsidR="009A2378" w:rsidRDefault="00000000">
      <w:pPr>
        <w:spacing w:before="60" w:after="110"/>
        <w:jc w:val="both"/>
      </w:pPr>
      <w:r>
        <w:rPr>
          <w:color w:val="000000"/>
        </w:rPr>
        <w:t>Blombos Cave on the southern Cape coast of South Africa contains engraved geometric notation on ochre blocks (the earliest confirmed abstract notation in the record), structured ochre processing toolkits, perforated shell beads, and spatially organized activity zones (</w:t>
      </w:r>
      <w:proofErr w:type="spellStart"/>
      <w:r>
        <w:rPr>
          <w:color w:val="000000"/>
        </w:rPr>
        <w:t>Henshilwood</w:t>
      </w:r>
      <w:proofErr w:type="spellEnd"/>
      <w:r>
        <w:rPr>
          <w:color w:val="000000"/>
        </w:rPr>
        <w:t xml:space="preserve"> et al., 2002, 2011). On the DSSM FCP, Blombos scores 12/12 — the earliest identified site to reach full symbolic system saturation under DSSM criteria.</w:t>
      </w:r>
    </w:p>
    <w:p w14:paraId="1636BF26" w14:textId="77777777" w:rsidR="009A2378" w:rsidRDefault="00000000">
      <w:pPr>
        <w:spacing w:before="60" w:after="110"/>
        <w:jc w:val="both"/>
      </w:pPr>
      <w:r>
        <w:rPr>
          <w:color w:val="000000"/>
        </w:rPr>
        <w:t>Full symbolic cognition was present at least 70,000 years before the earliest civilizations. The explanation for why this did not generate civilization is structural: the population responsible was likely operating in a refugial context with restricted geographic range and insufficient network density for Stage 3 amplification at institutional scale. The system was cognitively complete and locally stable; it lacked the community infrastructure to become regionally transmissible.</w:t>
      </w:r>
    </w:p>
    <w:p w14:paraId="4D4FDF95" w14:textId="77777777" w:rsidR="009A2378" w:rsidRDefault="00000000">
      <w:pPr>
        <w:pStyle w:val="Heading2"/>
      </w:pPr>
      <w:r>
        <w:t>3.3 The Aurignacian Figurines (~40,000 BP)</w:t>
      </w:r>
    </w:p>
    <w:p w14:paraId="0C413B9C" w14:textId="77777777" w:rsidR="009A2378" w:rsidRDefault="00000000">
      <w:pPr>
        <w:spacing w:before="60" w:after="110"/>
        <w:jc w:val="both"/>
      </w:pPr>
      <w:r>
        <w:rPr>
          <w:color w:val="000000"/>
        </w:rPr>
        <w:t xml:space="preserve">The Aurignacian figurine assemblage from the Swabian Jura — including the Venus of Hohle Fels and the </w:t>
      </w:r>
      <w:proofErr w:type="spellStart"/>
      <w:r>
        <w:rPr>
          <w:color w:val="000000"/>
        </w:rPr>
        <w:t>Löwenmensch</w:t>
      </w:r>
      <w:proofErr w:type="spellEnd"/>
      <w:r>
        <w:rPr>
          <w:color w:val="000000"/>
        </w:rPr>
        <w:t xml:space="preserve">, both dated to approximately 35,000-40,000 BP — represents the most cognitively sophisticated three-dimensional symbolic production in the pre-Neolithic record. Both </w:t>
      </w:r>
      <w:r>
        <w:rPr>
          <w:color w:val="000000"/>
        </w:rPr>
        <w:lastRenderedPageBreak/>
        <w:t>objects demonstrate substantial planning depth, fine motor execution, and abstract representational capacity consistent with Stage 3 externalization.</w:t>
      </w:r>
    </w:p>
    <w:p w14:paraId="3D989967" w14:textId="77777777" w:rsidR="009A2378" w:rsidRDefault="00000000">
      <w:pPr>
        <w:spacing w:before="60" w:after="110"/>
        <w:jc w:val="both"/>
      </w:pPr>
      <w:r>
        <w:rPr>
          <w:color w:val="000000"/>
        </w:rPr>
        <w:t>The standard attribution assigns these objects to anatomically modern humans, by elimination: Neanderthals are considered absent from western Europe by this date, and the Aurignacian is conventionally associated with incoming AMH populations. This attribution is not unreasonable. However, two anomalies warrant examination.</w:t>
      </w:r>
    </w:p>
    <w:p w14:paraId="2241D412" w14:textId="77777777" w:rsidR="009A2378" w:rsidRDefault="00000000">
      <w:pPr>
        <w:spacing w:before="200" w:after="80"/>
      </w:pPr>
      <w:r>
        <w:rPr>
          <w:b/>
          <w:bCs/>
          <w:i/>
          <w:iCs/>
          <w:color w:val="000000"/>
        </w:rPr>
        <w:t>Geographic containment</w:t>
      </w:r>
    </w:p>
    <w:p w14:paraId="52716D3C" w14:textId="77777777" w:rsidR="009A2378" w:rsidRDefault="00000000">
      <w:pPr>
        <w:spacing w:before="60" w:after="110"/>
        <w:jc w:val="both"/>
      </w:pPr>
      <w:r>
        <w:rPr>
          <w:color w:val="000000"/>
        </w:rPr>
        <w:t>AMH symbolic traditions travel. Shell bead production, ochre use, and geometric engraving traditions associated with AMH populations diffuse across dispersal corridors over timescales of centuries to millennia. The Aurignacian figurine tradition does not. It is geographically concentrated in the Swabian Jura and adjacent areas and terminates without generating an identifiable dispersed successor assemblage. This pattern is anomalous relative to expected AMH dispersal behavior and requires explanation that the standard attribution does not provide.</w:t>
      </w:r>
    </w:p>
    <w:p w14:paraId="64788790" w14:textId="77777777" w:rsidR="009A2378" w:rsidRDefault="00000000">
      <w:pPr>
        <w:spacing w:before="200" w:after="80"/>
      </w:pPr>
      <w:r>
        <w:rPr>
          <w:b/>
          <w:bCs/>
          <w:i/>
          <w:iCs/>
          <w:color w:val="000000"/>
        </w:rPr>
        <w:t>A contact zone hypothesis</w:t>
      </w:r>
    </w:p>
    <w:p w14:paraId="7EF5874F" w14:textId="77777777" w:rsidR="009A2378" w:rsidRDefault="00000000">
      <w:pPr>
        <w:spacing w:before="60" w:after="110"/>
        <w:jc w:val="both"/>
      </w:pPr>
      <w:r>
        <w:rPr>
          <w:color w:val="000000"/>
        </w:rPr>
        <w:t xml:space="preserve">This paper proposes, tentatively, that the Aurignacian figurines may represent symbolic production within the Neanderthal-AMH contact zone rather than a purely AMH innovation following Neanderthal extinction. Evidence for sustained Neanderthal-AMH interbreeding is well established genetically (Green et al., 2010; </w:t>
      </w:r>
      <w:proofErr w:type="spellStart"/>
      <w:r>
        <w:rPr>
          <w:color w:val="000000"/>
        </w:rPr>
        <w:t>Prüfer</w:t>
      </w:r>
      <w:proofErr w:type="spellEnd"/>
      <w:r>
        <w:rPr>
          <w:color w:val="000000"/>
        </w:rPr>
        <w:t xml:space="preserve"> et al., 2014). Neanderthal symbolic capacity at the level required for figurine production is consistent with the </w:t>
      </w:r>
      <w:proofErr w:type="spellStart"/>
      <w:r>
        <w:rPr>
          <w:color w:val="000000"/>
        </w:rPr>
        <w:t>Bruniquel</w:t>
      </w:r>
      <w:proofErr w:type="spellEnd"/>
      <w:r>
        <w:rPr>
          <w:color w:val="000000"/>
        </w:rPr>
        <w:t xml:space="preserve"> evidence. The geographic containment of the tradition is consistent with production within a bounded contact zone rather than by a dispersing population.</w:t>
      </w:r>
    </w:p>
    <w:p w14:paraId="2C54E666" w14:textId="77777777" w:rsidR="009A2378" w:rsidRDefault="00000000">
      <w:pPr>
        <w:spacing w:before="60" w:after="110"/>
        <w:jc w:val="both"/>
      </w:pPr>
      <w:r>
        <w:rPr>
          <w:color w:val="000000"/>
        </w:rPr>
        <w:t>The terminal silence of the tradition — its disappearance without successor assemblage — is consistent with the demographic instability of the contact zone itself. As AMH demographic dominance became established, the hybrid symbolic community had no surviving vessel to carry the tradition forward. The objects survived archaeologically. The interpretive community did not.</w:t>
      </w:r>
    </w:p>
    <w:p w14:paraId="5017A4E8" w14:textId="77777777" w:rsidR="009A2378" w:rsidRDefault="00000000">
      <w:pPr>
        <w:spacing w:before="60" w:after="110"/>
        <w:jc w:val="both"/>
      </w:pPr>
      <w:r>
        <w:rPr>
          <w:color w:val="000000"/>
        </w:rPr>
        <w:t>This hypothesis is explicitly speculative and cannot be confirmed without direct skeletal association at production sites, which is currently absent. The AMH attribution rests on elimination rather than positive evidence; authorship should be treated as an open question.</w:t>
      </w:r>
    </w:p>
    <w:p w14:paraId="361E278E" w14:textId="77777777" w:rsidR="009A2378" w:rsidRDefault="009A2378">
      <w:pPr>
        <w:spacing w:after="160"/>
      </w:pPr>
    </w:p>
    <w:p w14:paraId="1064AF20" w14:textId="77777777" w:rsidR="0095784F" w:rsidRDefault="0095784F">
      <w:pPr>
        <w:pStyle w:val="Heading1"/>
        <w:pBdr>
          <w:bottom w:val="single" w:sz="6" w:space="1" w:color="000000"/>
        </w:pBdr>
      </w:pPr>
    </w:p>
    <w:p w14:paraId="4E0D868C" w14:textId="77777777" w:rsidR="0095784F" w:rsidRDefault="0095784F">
      <w:pPr>
        <w:pStyle w:val="Heading1"/>
        <w:pBdr>
          <w:bottom w:val="single" w:sz="6" w:space="1" w:color="000000"/>
        </w:pBdr>
      </w:pPr>
    </w:p>
    <w:p w14:paraId="3D55C90E" w14:textId="77777777" w:rsidR="0095784F" w:rsidRDefault="0095784F">
      <w:pPr>
        <w:pStyle w:val="Heading1"/>
        <w:pBdr>
          <w:bottom w:val="single" w:sz="6" w:space="1" w:color="000000"/>
        </w:pBdr>
      </w:pPr>
    </w:p>
    <w:p w14:paraId="1DE7FE26" w14:textId="77777777" w:rsidR="0095784F" w:rsidRDefault="0095784F">
      <w:pPr>
        <w:pStyle w:val="Heading1"/>
        <w:pBdr>
          <w:bottom w:val="single" w:sz="6" w:space="1" w:color="000000"/>
        </w:pBdr>
      </w:pPr>
    </w:p>
    <w:p w14:paraId="726D586D" w14:textId="77777777" w:rsidR="0095784F" w:rsidRDefault="0095784F">
      <w:pPr>
        <w:pStyle w:val="Heading1"/>
        <w:pBdr>
          <w:bottom w:val="single" w:sz="6" w:space="1" w:color="000000"/>
        </w:pBdr>
      </w:pPr>
    </w:p>
    <w:p w14:paraId="05E52A05" w14:textId="77777777" w:rsidR="0095784F" w:rsidRDefault="0095784F">
      <w:pPr>
        <w:pStyle w:val="Heading1"/>
        <w:pBdr>
          <w:bottom w:val="single" w:sz="6" w:space="1" w:color="000000"/>
        </w:pBdr>
      </w:pPr>
    </w:p>
    <w:p w14:paraId="3DE0532B" w14:textId="67E63752" w:rsidR="009A2378" w:rsidRDefault="00000000">
      <w:pPr>
        <w:pStyle w:val="Heading1"/>
        <w:pBdr>
          <w:bottom w:val="single" w:sz="6" w:space="1" w:color="000000"/>
        </w:pBdr>
      </w:pPr>
      <w:r>
        <w:lastRenderedPageBreak/>
        <w:t>4. A Regional Symbolic Signature: The Vinca Case</w:t>
      </w:r>
    </w:p>
    <w:p w14:paraId="61E377A1" w14:textId="77777777" w:rsidR="009A2378" w:rsidRDefault="009A237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712C477E"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6E71419D" w14:textId="77777777" w:rsidR="009A2378" w:rsidRDefault="00000000">
            <w:pPr>
              <w:spacing w:after="70"/>
            </w:pPr>
            <w:r>
              <w:rPr>
                <w:b/>
                <w:bCs/>
                <w:color w:val="000000"/>
                <w:sz w:val="21"/>
                <w:szCs w:val="21"/>
              </w:rPr>
              <w:t>Key Idea</w:t>
            </w:r>
          </w:p>
          <w:p w14:paraId="09EF13FB" w14:textId="77777777" w:rsidR="009A2378" w:rsidRDefault="009A2378">
            <w:pPr>
              <w:spacing w:before="70" w:after="70"/>
            </w:pPr>
          </w:p>
          <w:p w14:paraId="33DE45E6" w14:textId="77777777" w:rsidR="009A2378" w:rsidRDefault="00000000">
            <w:pPr>
              <w:spacing w:before="70" w:after="70"/>
            </w:pPr>
            <w:r>
              <w:rPr>
                <w:color w:val="000000"/>
                <w:sz w:val="21"/>
                <w:szCs w:val="21"/>
              </w:rPr>
              <w:t>The Vinca culture of southeast Europe (c. 5700-4500 BCE) produced proto-script, standardized iconography, and prolific figurine production — then collapsed without a successor tradition. This occurred in approximately the same geographic zone as the proposed Aurignacian contact zone, 35,000 years later. The DSSM interprets this as a recurring structural pattern, not as evidence of cultural continuity between the two.</w:t>
            </w:r>
          </w:p>
        </w:tc>
      </w:tr>
    </w:tbl>
    <w:p w14:paraId="4ABF9CCA" w14:textId="77777777" w:rsidR="009A2378" w:rsidRDefault="009A2378">
      <w:pPr>
        <w:spacing w:after="120"/>
      </w:pPr>
    </w:p>
    <w:p w14:paraId="33EEE081" w14:textId="77777777" w:rsidR="009A2378" w:rsidRDefault="00000000">
      <w:pPr>
        <w:pStyle w:val="Heading2"/>
      </w:pPr>
      <w:r>
        <w:t>4.1 The Vinca Symbolic System</w:t>
      </w:r>
    </w:p>
    <w:p w14:paraId="6E2776A6" w14:textId="77777777" w:rsidR="009A2378" w:rsidRDefault="00000000">
      <w:pPr>
        <w:spacing w:before="60" w:after="110"/>
        <w:jc w:val="both"/>
      </w:pPr>
      <w:r>
        <w:rPr>
          <w:color w:val="000000"/>
        </w:rPr>
        <w:t>The Vinca-</w:t>
      </w:r>
      <w:proofErr w:type="spellStart"/>
      <w:r>
        <w:rPr>
          <w:color w:val="000000"/>
        </w:rPr>
        <w:t>Turdas</w:t>
      </w:r>
      <w:proofErr w:type="spellEnd"/>
      <w:r>
        <w:rPr>
          <w:color w:val="000000"/>
        </w:rPr>
        <w:t xml:space="preserve"> culture (c. 5700-4500 BCE), distributed across the Danube basin in present-day Serbia, Romania, and Bulgaria, produced incised signs on ceramics and figurines predating Sumerian cuneiform by over a millennium, consistent iconographic conventions across a geographically distributed network, and anthropomorphic figurines in greater quantities than any other pre-Bronze Age European culture. By most measures, it is the most symbolically developed pre-Bronze Age society in Europe.</w:t>
      </w:r>
    </w:p>
    <w:p w14:paraId="7AFFAA93" w14:textId="77777777" w:rsidR="009A2378" w:rsidRDefault="00000000">
      <w:pPr>
        <w:pStyle w:val="Heading2"/>
      </w:pPr>
      <w:r>
        <w:t>4.2 The Structural Failure</w:t>
      </w:r>
    </w:p>
    <w:p w14:paraId="3D3FB560" w14:textId="77777777" w:rsidR="009A2378" w:rsidRDefault="00000000">
      <w:pPr>
        <w:spacing w:before="60" w:after="110"/>
        <w:jc w:val="both"/>
      </w:pPr>
      <w:r>
        <w:rPr>
          <w:color w:val="000000"/>
        </w:rPr>
        <w:t>The Vinca system collapses around 4500 BCE through fragmentation of its exchange network rather than external conquest or ecological catastrophe (Chapman, 1981; Bailey, 2000). This failure mode is diagnostically significant: the symbolic content was encoded across multiple media — figurines, ceramics, script-like markings — but all media were downstream of the same network logic. Cross-media presence without cross-media independence. Remove the network, and no individual medium sustains the system.</w:t>
      </w:r>
    </w:p>
    <w:p w14:paraId="501DF3F9" w14:textId="77777777" w:rsidR="009A2378" w:rsidRDefault="00000000">
      <w:pPr>
        <w:spacing w:before="60" w:after="110"/>
        <w:jc w:val="both"/>
      </w:pPr>
      <w:r>
        <w:rPr>
          <w:color w:val="000000"/>
        </w:rPr>
        <w:t>The Vinca case scores high on most DSSM dimensions but fails critically on persistence under stress. Symbolic objects survive archaeologically in large numbers. The living symbolic community that gave them meaning did not survive the network disruption. This is the distinction between symbolic depth and symbolic stability made visible in the record.</w:t>
      </w:r>
    </w:p>
    <w:p w14:paraId="282577F7" w14:textId="77777777" w:rsidR="009A2378" w:rsidRDefault="00000000">
      <w:pPr>
        <w:pStyle w:val="Heading2"/>
      </w:pPr>
      <w:r>
        <w:t>4.3 A Regional Pattern</w:t>
      </w:r>
    </w:p>
    <w:p w14:paraId="407816C6" w14:textId="77777777" w:rsidR="009A2378" w:rsidRDefault="00000000">
      <w:pPr>
        <w:spacing w:before="60" w:after="110"/>
        <w:jc w:val="both"/>
      </w:pPr>
      <w:r>
        <w:rPr>
          <w:color w:val="000000"/>
        </w:rPr>
        <w:t>The geographic overlap between the Swabian Jura / Danube corridor region associated with the Aurignacian figurine tradition and the Danube basin heartland of Vinca is approximate. This paper does not argue for genetic or cultural continuity across the 35,000-year gap — the intervening demographic upheavals of the Pleistocene-Holocene transition make direct continuity implausible.</w:t>
      </w:r>
    </w:p>
    <w:p w14:paraId="5A0E6DD0" w14:textId="77777777" w:rsidR="009A2378" w:rsidRDefault="00000000">
      <w:pPr>
        <w:spacing w:before="60" w:after="110"/>
        <w:jc w:val="both"/>
      </w:pPr>
      <w:r>
        <w:rPr>
          <w:color w:val="000000"/>
        </w:rPr>
        <w:t>The argument is structural: central and southeast Europe as a geographic zone appears to have repeatedly presented sufficient exchange network development to generate high symbolic output, but insufficient network depth or geographic anchoring to sustain that output through major disruption events. Both cases instantiate this combination. Whether this constitutes a meaningful regional signature or simply reflects the general difficulty of symbolic stabilization under pre-Neolithic conditions requires broader comparative analysis. It is advanced here as a hypothesis.</w:t>
      </w:r>
    </w:p>
    <w:p w14:paraId="7697B421" w14:textId="77777777" w:rsidR="009A2378" w:rsidRDefault="009A2378">
      <w:pPr>
        <w:spacing w:after="160"/>
      </w:pPr>
    </w:p>
    <w:p w14:paraId="34E64196" w14:textId="77777777" w:rsidR="009A2378" w:rsidRDefault="00000000">
      <w:pPr>
        <w:pStyle w:val="Heading1"/>
        <w:pBdr>
          <w:bottom w:val="single" w:sz="6" w:space="1" w:color="000000"/>
        </w:pBdr>
      </w:pPr>
      <w:r>
        <w:lastRenderedPageBreak/>
        <w:t>5. The Levantine Convergence</w:t>
      </w:r>
    </w:p>
    <w:p w14:paraId="006EEB0B" w14:textId="77777777" w:rsidR="009A2378" w:rsidRDefault="009A237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A2378" w14:paraId="4011A94F" w14:textId="77777777">
        <w:tblPrEx>
          <w:tblCellMar>
            <w:top w:w="0" w:type="dxa"/>
            <w:bottom w:w="0" w:type="dxa"/>
          </w:tblCellMar>
        </w:tblPrEx>
        <w:tc>
          <w:tcPr>
            <w:tcW w:w="9360" w:type="dxa"/>
            <w:tcBorders>
              <w:top w:val="single" w:sz="8" w:space="0" w:color="000000"/>
              <w:left w:val="single" w:sz="20" w:space="0" w:color="000000"/>
              <w:bottom w:val="single" w:sz="2" w:space="0" w:color="000000"/>
              <w:right w:val="none" w:sz="0" w:space="0" w:color="FFFFFF"/>
            </w:tcBorders>
            <w:shd w:val="clear" w:color="auto" w:fill="F0F0F0"/>
            <w:tcMar>
              <w:top w:w="120" w:type="dxa"/>
              <w:left w:w="180" w:type="dxa"/>
              <w:bottom w:w="120" w:type="dxa"/>
              <w:right w:w="180" w:type="dxa"/>
            </w:tcMar>
          </w:tcPr>
          <w:p w14:paraId="3A3BA66A" w14:textId="77777777" w:rsidR="009A2378" w:rsidRDefault="00000000">
            <w:pPr>
              <w:spacing w:after="70"/>
            </w:pPr>
            <w:r>
              <w:rPr>
                <w:b/>
                <w:bCs/>
                <w:color w:val="000000"/>
                <w:sz w:val="21"/>
                <w:szCs w:val="21"/>
              </w:rPr>
              <w:t>Key Idea</w:t>
            </w:r>
          </w:p>
          <w:p w14:paraId="1D6C0ACD" w14:textId="77777777" w:rsidR="009A2378" w:rsidRDefault="009A2378">
            <w:pPr>
              <w:spacing w:before="70" w:after="70"/>
            </w:pPr>
          </w:p>
          <w:p w14:paraId="54E714B1" w14:textId="77777777" w:rsidR="009A2378" w:rsidRDefault="00000000">
            <w:pPr>
              <w:spacing w:before="70" w:after="70"/>
            </w:pPr>
            <w:r>
              <w:rPr>
                <w:color w:val="000000"/>
                <w:sz w:val="21"/>
                <w:szCs w:val="21"/>
              </w:rPr>
              <w:t>The Natufian Levant (c. 14,500-11,500 BCE) had developed near-complete stabilization infrastructure before the Neolithic transition. The DSSM proposes that when populations carrying accumulated symbolic traditions arrived via the Danube corridor, the result was the first convergence of symbolic depth with adequate stabilization infrastructure. This is an interpretive framework consistent with available evidence, not an established historical narrative.</w:t>
            </w:r>
          </w:p>
        </w:tc>
      </w:tr>
    </w:tbl>
    <w:p w14:paraId="009921D5" w14:textId="77777777" w:rsidR="009A2378" w:rsidRDefault="009A2378">
      <w:pPr>
        <w:spacing w:after="120"/>
      </w:pPr>
    </w:p>
    <w:p w14:paraId="0DB38B99" w14:textId="77777777" w:rsidR="009A2378" w:rsidRDefault="00000000">
      <w:pPr>
        <w:pStyle w:val="Heading2"/>
      </w:pPr>
      <w:r>
        <w:t>5.1 Natufian Stabilization Infrastructure</w:t>
      </w:r>
    </w:p>
    <w:p w14:paraId="3BFF2E4C" w14:textId="77777777" w:rsidR="009A2378" w:rsidRDefault="00000000">
      <w:pPr>
        <w:spacing w:before="60" w:after="110"/>
        <w:jc w:val="both"/>
      </w:pPr>
      <w:r>
        <w:rPr>
          <w:color w:val="000000"/>
        </w:rPr>
        <w:t>The Natufian culture of the southern Levant (c. 14,500-11,500 BCE) demonstrates sedentism providing spatial constraint, structured burial practices providing intergenerational symbolic continuity, exchange networks for non-local materials contributing to cross-media redundancy, and population densities approaching the DSSM ~500-person threshold. Mature Natufian sites score approximately 9-10/12 on the FCP — the highest structural readiness of any identified pre-Neolithic context in the western record.</w:t>
      </w:r>
    </w:p>
    <w:p w14:paraId="479FE40D" w14:textId="77777777" w:rsidR="009A2378" w:rsidRDefault="00000000">
      <w:pPr>
        <w:pStyle w:val="Heading2"/>
      </w:pPr>
      <w:r>
        <w:t>5.2 Population Movement and Symbolic Tradition</w:t>
      </w:r>
    </w:p>
    <w:p w14:paraId="5BFC9F10" w14:textId="77777777" w:rsidR="009A2378" w:rsidRDefault="00000000">
      <w:pPr>
        <w:spacing w:before="60" w:after="110"/>
        <w:jc w:val="both"/>
      </w:pPr>
      <w:r>
        <w:rPr>
          <w:color w:val="000000"/>
        </w:rPr>
        <w:t>Population genetic evidence documents substantial movement of populations with central and western European ancestry into Anatolia and the Levant during the late Pleistocene and early Holocene transition (Lazaridis et al., 2016; Haak et al., 2015). The DSSM proposes that this movement brought symbolic traditions with roots in the central European zone — figurine production, proto-script, structured spatial ritual — into contact with Natufian stabilization infrastructure. This is interpretive and depends on the contact zone hypothesis developed in Section 3.</w:t>
      </w:r>
    </w:p>
    <w:p w14:paraId="056F0893" w14:textId="77777777" w:rsidR="009A2378" w:rsidRDefault="00000000">
      <w:pPr>
        <w:pStyle w:val="Heading2"/>
      </w:pPr>
      <w:r>
        <w:t>5.3 The Convergence as Civilizational Threshold</w:t>
      </w:r>
    </w:p>
    <w:p w14:paraId="0FA8A820" w14:textId="77777777" w:rsidR="009A2378" w:rsidRDefault="00000000">
      <w:pPr>
        <w:spacing w:before="60" w:after="110"/>
        <w:jc w:val="both"/>
      </w:pPr>
      <w:r>
        <w:rPr>
          <w:color w:val="000000"/>
        </w:rPr>
        <w:t>The DSSM interprets the Levantine Neolithic transition as follows: the Natufian had developed the structural conditions for civilizational emergence but lacked the accumulated symbolic depth of the incoming traditions. The incoming traditions carried deep symbolic practice but had repeatedly failed to find stabilization infrastructure adequate to preserve it. The convergence produced, for the first time in the western record, a symbolic system capable of generating and sustaining institutional complexity.</w:t>
      </w:r>
    </w:p>
    <w:p w14:paraId="54469A5B" w14:textId="77777777" w:rsidR="009A2378" w:rsidRDefault="00000000">
      <w:pPr>
        <w:spacing w:before="60" w:after="110"/>
        <w:jc w:val="both"/>
      </w:pPr>
      <w:r>
        <w:rPr>
          <w:color w:val="000000"/>
        </w:rPr>
        <w:t>This addresses a genuine puzzle: early Neolithic assemblages appear too symbolically sophisticated for purely local Natufian development to explain, yet too structurally stable to have originated from the preceding central European traditions alone. The convergence hypothesis offers a structural account without requiring either population to have undergone sudden cognitive advance. It is consistent with available evidence; alternative explanations, including purely endogenous Levantine development, remain viable.</w:t>
      </w:r>
    </w:p>
    <w:p w14:paraId="339C80E2" w14:textId="77777777" w:rsidR="009A2378" w:rsidRDefault="009A2378">
      <w:pPr>
        <w:spacing w:after="160"/>
      </w:pPr>
    </w:p>
    <w:p w14:paraId="174455AB" w14:textId="77777777" w:rsidR="0095784F" w:rsidRDefault="0095784F">
      <w:pPr>
        <w:pStyle w:val="Heading1"/>
        <w:pBdr>
          <w:bottom w:val="single" w:sz="6" w:space="1" w:color="000000"/>
        </w:pBdr>
      </w:pPr>
    </w:p>
    <w:p w14:paraId="16092031" w14:textId="4389C481" w:rsidR="009A2378" w:rsidRDefault="00000000">
      <w:pPr>
        <w:pStyle w:val="Heading1"/>
        <w:pBdr>
          <w:bottom w:val="single" w:sz="6" w:space="1" w:color="000000"/>
        </w:pBdr>
      </w:pPr>
      <w:r>
        <w:lastRenderedPageBreak/>
        <w:t>6. Discussion</w:t>
      </w:r>
    </w:p>
    <w:p w14:paraId="7724B337" w14:textId="77777777" w:rsidR="009A2378" w:rsidRDefault="00000000">
      <w:pPr>
        <w:pStyle w:val="Heading2"/>
      </w:pPr>
      <w:r>
        <w:t>6.1 Writing as Symptom, Not Cause</w:t>
      </w:r>
    </w:p>
    <w:p w14:paraId="55FC46C1" w14:textId="77777777" w:rsidR="009A2378" w:rsidRDefault="00000000">
      <w:pPr>
        <w:spacing w:before="60" w:after="110"/>
        <w:jc w:val="both"/>
      </w:pPr>
      <w:r>
        <w:rPr>
          <w:color w:val="000000"/>
        </w:rPr>
        <w:t>The regional signature argument supports a core DSSM claim: proto-writing and script-like notation are symptoms of symbolic stabilization, not its origin. The Vinca script predates Sumerian cuneiform by over a millennium and produces no civilization. On the DSSM account, writing emerges when symbolic load exceeds the resolution capacity of non-linguistic media — it is a late-stage externalization of an already stable system, not the mechanism by which stability is achieved.</w:t>
      </w:r>
    </w:p>
    <w:p w14:paraId="4A334B08" w14:textId="77777777" w:rsidR="009A2378" w:rsidRDefault="00000000">
      <w:pPr>
        <w:pStyle w:val="Heading2"/>
      </w:pPr>
      <w:r>
        <w:t>6.2 Implications for Neanderthal Cognitive Assessment</w:t>
      </w:r>
    </w:p>
    <w:p w14:paraId="2CD2417B" w14:textId="77777777" w:rsidR="009A2378" w:rsidRDefault="00000000">
      <w:pPr>
        <w:spacing w:before="60" w:after="110"/>
        <w:jc w:val="both"/>
      </w:pPr>
      <w:r>
        <w:rPr>
          <w:color w:val="000000"/>
        </w:rPr>
        <w:t>If the contact zone hypothesis has merit, the DSSM's Stage 2 ceiling for Neanderthal symbolic capacity requires reconsideration. Individual Stage 3 externalization acts may have been within reach even below the community density threshold for systemic stabilization. The contact zone case may represent exactly this: high individual symbolic acts within a demographically unstable community unable to generate structural transmission conditions. These implications depend entirely on the contact zone hypothesis and are noted as its consequences, not as independent claims.</w:t>
      </w:r>
    </w:p>
    <w:p w14:paraId="1926E1C7" w14:textId="77777777" w:rsidR="009A2378" w:rsidRDefault="00000000">
      <w:pPr>
        <w:pStyle w:val="Heading2"/>
      </w:pPr>
      <w:r>
        <w:t>6.3 Limitations</w:t>
      </w:r>
    </w:p>
    <w:p w14:paraId="03B05DD2" w14:textId="77777777" w:rsidR="009A2378" w:rsidRDefault="00000000">
      <w:pPr>
        <w:spacing w:before="60" w:after="110"/>
        <w:jc w:val="both"/>
      </w:pPr>
      <w:r>
        <w:rPr>
          <w:color w:val="000000"/>
        </w:rPr>
        <w:t>The contact zone hypothesis is not directly testable without skeletal associations at Aurignacian production sites, which are currently unavailable. The regional signature argument rests on two cases separated by 35,000 years and cannot rule out coincidence. The Levantine convergence thesis depends on a chain of propositions, each introducing uncertainty that compounds across the argument. Claims are therefore graduated: the structural analysis of individual cases rests on established archaeological evidence and is more robustly supported than the broader comparative and historical claims, which are offered as hypotheses warranting further testing.</w:t>
      </w:r>
    </w:p>
    <w:p w14:paraId="200C028E" w14:textId="77777777" w:rsidR="009A2378" w:rsidRDefault="009A2378">
      <w:pPr>
        <w:spacing w:after="160"/>
      </w:pPr>
    </w:p>
    <w:p w14:paraId="07CABD15" w14:textId="77777777" w:rsidR="009A2378" w:rsidRDefault="00000000">
      <w:pPr>
        <w:pStyle w:val="Heading1"/>
        <w:pBdr>
          <w:bottom w:val="single" w:sz="6" w:space="1" w:color="000000"/>
        </w:pBdr>
      </w:pPr>
      <w:r>
        <w:t>7. Falsifiability Conditions</w:t>
      </w:r>
    </w:p>
    <w:p w14:paraId="07C48AA6" w14:textId="77777777" w:rsidR="009A2378" w:rsidRDefault="00000000">
      <w:pPr>
        <w:spacing w:before="60" w:after="110"/>
        <w:jc w:val="both"/>
      </w:pPr>
      <w:r>
        <w:rPr>
          <w:color w:val="000000"/>
        </w:rPr>
        <w:t>The contact zone hypothesis is falsified by: (a) direct skeletal association of Aurignacian production sites with AMH remains and confirmed Neanderthal absence; (b) identification of a geographically dispersed AMH figurine tradition contemporary with the Aurignacian; or (c) genetic evidence precluding Neanderthal population presence in the Swabian Jura at 40,000-35,000 BP.</w:t>
      </w:r>
    </w:p>
    <w:p w14:paraId="1A07C8BD" w14:textId="77777777" w:rsidR="009A2378" w:rsidRDefault="00000000">
      <w:pPr>
        <w:spacing w:before="60" w:after="110"/>
        <w:jc w:val="both"/>
      </w:pPr>
      <w:r>
        <w:rPr>
          <w:color w:val="000000"/>
        </w:rPr>
        <w:t>The regional symbolic signature claim is weakened by identification of equivalent terminal silence patterns in regions geographically unrelated to central and southeast Europe, indicating general pre-Neolithic structural conditions rather than anything regionally specific.</w:t>
      </w:r>
    </w:p>
    <w:p w14:paraId="37ACCA9C" w14:textId="77777777" w:rsidR="009A2378" w:rsidRDefault="00000000">
      <w:pPr>
        <w:spacing w:before="60" w:after="110"/>
        <w:jc w:val="both"/>
      </w:pPr>
      <w:r>
        <w:rPr>
          <w:color w:val="000000"/>
        </w:rPr>
        <w:t>The Levantine convergence thesis is falsified by identification of a Neolithic transition site meeting full DSSM stabilization criteria that demonstrably excludes the Danube corridor population movement signal.</w:t>
      </w:r>
    </w:p>
    <w:p w14:paraId="7AE5953D" w14:textId="77777777" w:rsidR="009A2378" w:rsidRDefault="009A2378">
      <w:pPr>
        <w:spacing w:after="160"/>
      </w:pPr>
    </w:p>
    <w:p w14:paraId="4BD4F73A" w14:textId="77777777" w:rsidR="0095784F" w:rsidRDefault="0095784F">
      <w:pPr>
        <w:pStyle w:val="Heading1"/>
        <w:pBdr>
          <w:bottom w:val="single" w:sz="6" w:space="1" w:color="000000"/>
        </w:pBdr>
      </w:pPr>
    </w:p>
    <w:p w14:paraId="549B4BCE" w14:textId="33973B91" w:rsidR="009A2378" w:rsidRDefault="00000000">
      <w:pPr>
        <w:pStyle w:val="Heading1"/>
        <w:pBdr>
          <w:bottom w:val="single" w:sz="6" w:space="1" w:color="000000"/>
        </w:pBdr>
      </w:pPr>
      <w:r>
        <w:lastRenderedPageBreak/>
        <w:t>8. Conclusion</w:t>
      </w:r>
    </w:p>
    <w:p w14:paraId="64B80768" w14:textId="77777777" w:rsidR="009A2378" w:rsidRDefault="00000000">
      <w:pPr>
        <w:spacing w:before="60" w:after="110"/>
        <w:jc w:val="both"/>
      </w:pPr>
      <w:r>
        <w:rPr>
          <w:color w:val="000000"/>
        </w:rPr>
        <w:t>The archaeological record of symbolic behavior poses a genuine explanatory problem: cognitive capacity for complex symbolic production appears to have existed at least 130,000 years before civilization emerged. The DSSM proposes the gap is structural. The four stabilization criteria were repeatedly absent in populations demonstrably capable of the cognitive work civilization requires.</w:t>
      </w:r>
    </w:p>
    <w:p w14:paraId="03011E5D" w14:textId="77777777" w:rsidR="009A2378" w:rsidRDefault="00000000">
      <w:pPr>
        <w:spacing w:before="60" w:after="110"/>
        <w:jc w:val="both"/>
      </w:pPr>
      <w:proofErr w:type="spellStart"/>
      <w:r>
        <w:rPr>
          <w:color w:val="000000"/>
        </w:rPr>
        <w:t>Bruniquel</w:t>
      </w:r>
      <w:proofErr w:type="spellEnd"/>
      <w:r>
        <w:rPr>
          <w:color w:val="000000"/>
        </w:rPr>
        <w:t xml:space="preserve"> (176,000 BP), Blombos (100,000-70,000 BP), and the Aurignacian figurine tradition (~40,000 BP) each represent symbolic depth without structural vessel — impressive output, no durable transmission. The Aurignacian case displays geographic anomalies inconsistent with AMH dispersal behavior, warranting the tentative contact zone hypothesis. The Vinca culture reproduces an identical structural failure mode in approximately the same geographic region 35,000 years later.</w:t>
      </w:r>
    </w:p>
    <w:p w14:paraId="5CF699BE" w14:textId="77777777" w:rsidR="009A2378" w:rsidRDefault="00000000">
      <w:pPr>
        <w:spacing w:before="60" w:after="110"/>
        <w:jc w:val="both"/>
      </w:pPr>
      <w:r>
        <w:rPr>
          <w:color w:val="000000"/>
        </w:rPr>
        <w:t>The Levantine Neolithic transition is interpreted as the first convergence between symbolic depth and adequate stabilization infrastructure. The Natufian provided the structural conditions; incoming traditions provided the accumulated symbolic depth. The result was the first symbolic system capable of sustaining civilizational complexity.</w:t>
      </w:r>
    </w:p>
    <w:p w14:paraId="7B75048F" w14:textId="77777777" w:rsidR="009A2378" w:rsidRDefault="00000000">
      <w:pPr>
        <w:spacing w:before="60" w:after="110"/>
        <w:jc w:val="both"/>
      </w:pPr>
      <w:r>
        <w:rPr>
          <w:color w:val="000000"/>
        </w:rPr>
        <w:t>The civilizational threshold is not where cognition became adequate. Cognition was adequate long before the threshold was crossed. The threshold is where symbolic depth first found a structure capable of preserving it.</w:t>
      </w:r>
    </w:p>
    <w:p w14:paraId="533CE06D" w14:textId="77777777" w:rsidR="009A2378" w:rsidRDefault="009A2378">
      <w:pPr>
        <w:spacing w:after="160"/>
      </w:pPr>
    </w:p>
    <w:p w14:paraId="617AA6D0" w14:textId="77777777" w:rsidR="009A2378" w:rsidRDefault="00000000">
      <w:pPr>
        <w:pStyle w:val="Heading1"/>
        <w:pBdr>
          <w:bottom w:val="single" w:sz="6" w:space="1" w:color="000000"/>
        </w:pBdr>
      </w:pPr>
      <w:r>
        <w:t>SDG Alignment Statement</w:t>
      </w:r>
    </w:p>
    <w:p w14:paraId="395E6503" w14:textId="77777777" w:rsidR="009A2378" w:rsidRDefault="00000000">
      <w:pPr>
        <w:spacing w:before="60" w:after="110"/>
        <w:jc w:val="both"/>
      </w:pPr>
      <w:r>
        <w:rPr>
          <w:color w:val="000000"/>
        </w:rPr>
        <w:t>SDG 4 (Quality Education): Advances evidence-based frameworks for understanding human cognitive and cultural development prior to writing and agriculture.</w:t>
      </w:r>
    </w:p>
    <w:p w14:paraId="7555E9B2" w14:textId="77777777" w:rsidR="009A2378" w:rsidRDefault="00000000">
      <w:pPr>
        <w:spacing w:before="60" w:after="110"/>
        <w:jc w:val="both"/>
      </w:pPr>
      <w:r>
        <w:rPr>
          <w:color w:val="000000"/>
        </w:rPr>
        <w:t>SDG 10 (Reduced Inequalities): Challenges AMH-centric narratives by foregrounding Neanderthal symbolic capacity and African AMH symbolic complexity as foundational to the account.</w:t>
      </w:r>
    </w:p>
    <w:p w14:paraId="7BF3480C" w14:textId="77777777" w:rsidR="009A2378" w:rsidRDefault="00000000">
      <w:pPr>
        <w:spacing w:before="60" w:after="110"/>
        <w:jc w:val="both"/>
      </w:pPr>
      <w:r>
        <w:rPr>
          <w:color w:val="000000"/>
        </w:rPr>
        <w:t>SDG 11 (Sustainable Cities and Communities): Informs understanding of structural conditions required for durable community formation.</w:t>
      </w:r>
    </w:p>
    <w:p w14:paraId="3F1FF443" w14:textId="77777777" w:rsidR="009A2378" w:rsidRDefault="00000000">
      <w:pPr>
        <w:spacing w:before="60" w:after="110"/>
        <w:jc w:val="both"/>
      </w:pPr>
      <w:r>
        <w:rPr>
          <w:color w:val="000000"/>
        </w:rPr>
        <w:t>SDG 16 (Peace, Justice and Strong Institutions): Grounds institutional durability in deep symbolic stabilization history, with implications for contemporary institutional design.</w:t>
      </w:r>
    </w:p>
    <w:p w14:paraId="47EA8A94" w14:textId="77777777" w:rsidR="009A2378" w:rsidRDefault="009A2378">
      <w:pPr>
        <w:spacing w:after="160"/>
      </w:pPr>
    </w:p>
    <w:p w14:paraId="0BD31A3F" w14:textId="77777777" w:rsidR="009A2378" w:rsidRDefault="00000000">
      <w:pPr>
        <w:pStyle w:val="Heading1"/>
        <w:pBdr>
          <w:bottom w:val="single" w:sz="6" w:space="1" w:color="000000"/>
        </w:pBdr>
      </w:pPr>
      <w:r>
        <w:t>AI Collaboration Disclosure</w:t>
      </w:r>
    </w:p>
    <w:p w14:paraId="3CA2AB7E" w14:textId="77777777" w:rsidR="009A2378" w:rsidRDefault="00000000">
      <w:pPr>
        <w:spacing w:before="60" w:after="110"/>
        <w:jc w:val="both"/>
      </w:pPr>
      <w:r>
        <w:rPr>
          <w:color w:val="000000"/>
        </w:rPr>
        <w:t>Drafted with assistance from Claude (Anthropic) for writing, structural organization, and argument stress-testing. Theoretical framework, analytical claims, and intellectual content are those of the author. Disclosed in accordance with standing practice of transparent AI collaboration across all publications.</w:t>
      </w:r>
    </w:p>
    <w:p w14:paraId="4799DAFD" w14:textId="77777777" w:rsidR="009A2378" w:rsidRDefault="009A2378">
      <w:pPr>
        <w:spacing w:after="160"/>
      </w:pPr>
    </w:p>
    <w:p w14:paraId="320CED72" w14:textId="77777777" w:rsidR="0095784F" w:rsidRDefault="0095784F">
      <w:pPr>
        <w:pStyle w:val="Heading1"/>
        <w:pBdr>
          <w:bottom w:val="single" w:sz="6" w:space="1" w:color="000000"/>
        </w:pBdr>
      </w:pPr>
    </w:p>
    <w:p w14:paraId="7472EA0F" w14:textId="441D45D6" w:rsidR="009A2378" w:rsidRDefault="00000000">
      <w:pPr>
        <w:pStyle w:val="Heading1"/>
        <w:pBdr>
          <w:bottom w:val="single" w:sz="6" w:space="1" w:color="000000"/>
        </w:pBdr>
      </w:pPr>
      <w:r>
        <w:lastRenderedPageBreak/>
        <w:t>References</w:t>
      </w:r>
    </w:p>
    <w:p w14:paraId="778A2C98" w14:textId="77777777" w:rsidR="009A2378" w:rsidRDefault="009A2378">
      <w:pPr>
        <w:spacing w:after="40"/>
      </w:pPr>
    </w:p>
    <w:p w14:paraId="0ADDB9AF" w14:textId="77777777" w:rsidR="009A2378" w:rsidRDefault="00000000">
      <w:pPr>
        <w:spacing w:before="60" w:after="60"/>
        <w:ind w:left="720" w:hanging="720"/>
      </w:pPr>
      <w:r>
        <w:rPr>
          <w:color w:val="333333"/>
          <w:sz w:val="20"/>
          <w:szCs w:val="20"/>
        </w:rPr>
        <w:t>Bailey, D.W. (2000). Balkan Prehistory: Exclusion, Incorporation and Identity. Routledge.</w:t>
      </w:r>
    </w:p>
    <w:p w14:paraId="772928CA" w14:textId="77777777" w:rsidR="009A2378" w:rsidRDefault="00000000">
      <w:pPr>
        <w:spacing w:before="60" w:after="60"/>
        <w:ind w:left="720" w:hanging="720"/>
      </w:pPr>
      <w:r>
        <w:rPr>
          <w:color w:val="333333"/>
          <w:sz w:val="20"/>
          <w:szCs w:val="20"/>
        </w:rPr>
        <w:t>Chapman, J. (1981). The Vinca Culture of South-East Europe: Studies in Chronology, Economy and Society. BAR International Series 117.</w:t>
      </w:r>
    </w:p>
    <w:p w14:paraId="010ED2C2" w14:textId="77777777" w:rsidR="009A2378" w:rsidRDefault="00000000">
      <w:pPr>
        <w:spacing w:before="60" w:after="60"/>
        <w:ind w:left="720" w:hanging="720"/>
      </w:pPr>
      <w:r>
        <w:rPr>
          <w:color w:val="333333"/>
          <w:sz w:val="20"/>
          <w:szCs w:val="20"/>
        </w:rPr>
        <w:t>Conard, N.J. (2009). A female figurine from the basal Aurignacian of Hohle Fels Cave in Southwestern Germany. Nature 459: 248-252. DOI: 10.1038/nature07995</w:t>
      </w:r>
    </w:p>
    <w:p w14:paraId="30B81C3E" w14:textId="77777777" w:rsidR="009A2378" w:rsidRDefault="00000000">
      <w:pPr>
        <w:spacing w:before="60" w:after="60"/>
        <w:ind w:left="720" w:hanging="720"/>
      </w:pPr>
      <w:r>
        <w:rPr>
          <w:color w:val="333333"/>
          <w:sz w:val="20"/>
          <w:szCs w:val="20"/>
        </w:rPr>
        <w:t xml:space="preserve">Conard, N.J., Malina, M., and </w:t>
      </w:r>
      <w:proofErr w:type="spellStart"/>
      <w:r>
        <w:rPr>
          <w:color w:val="333333"/>
          <w:sz w:val="20"/>
          <w:szCs w:val="20"/>
        </w:rPr>
        <w:t>Münzel</w:t>
      </w:r>
      <w:proofErr w:type="spellEnd"/>
      <w:r>
        <w:rPr>
          <w:color w:val="333333"/>
          <w:sz w:val="20"/>
          <w:szCs w:val="20"/>
        </w:rPr>
        <w:t>, S.C. (2009). New flutes document the earliest musical tradition in southwestern Germany. Nature 460: 737-740. DOI: 10.1038/nature08169</w:t>
      </w:r>
    </w:p>
    <w:p w14:paraId="2220401B" w14:textId="77777777" w:rsidR="009A2378" w:rsidRDefault="00000000">
      <w:pPr>
        <w:spacing w:before="60" w:after="60"/>
        <w:ind w:left="720" w:hanging="720"/>
      </w:pPr>
      <w:proofErr w:type="spellStart"/>
      <w:r>
        <w:rPr>
          <w:color w:val="333333"/>
          <w:sz w:val="20"/>
          <w:szCs w:val="20"/>
        </w:rPr>
        <w:t>d'Errico</w:t>
      </w:r>
      <w:proofErr w:type="spellEnd"/>
      <w:r>
        <w:rPr>
          <w:color w:val="333333"/>
          <w:sz w:val="20"/>
          <w:szCs w:val="20"/>
        </w:rPr>
        <w:t>, F., and Stringer, C.B. (2011). Evolution, Revolution or Saltation Scenario for the Emergence of Modern Cultures? Philosophical Transactions of the Royal Society B 366: 1060-1069. DOI: 10.1098/rstb.2010.0340</w:t>
      </w:r>
    </w:p>
    <w:p w14:paraId="4A481906" w14:textId="77777777" w:rsidR="009A2378" w:rsidRDefault="00000000">
      <w:pPr>
        <w:spacing w:before="60" w:after="60"/>
        <w:ind w:left="720" w:hanging="720"/>
      </w:pPr>
      <w:r>
        <w:rPr>
          <w:color w:val="333333"/>
          <w:sz w:val="20"/>
          <w:szCs w:val="20"/>
        </w:rPr>
        <w:t>Green, R.E., et al. (2010). A draft sequence of the Neandertal genome. Science 328(5979): 710-722. DOI: 10.1126/science.1188021</w:t>
      </w:r>
    </w:p>
    <w:p w14:paraId="4AF4C8C5" w14:textId="77777777" w:rsidR="009A2378" w:rsidRDefault="00000000">
      <w:pPr>
        <w:spacing w:before="60" w:after="60"/>
        <w:ind w:left="720" w:hanging="720"/>
      </w:pPr>
      <w:r>
        <w:rPr>
          <w:color w:val="333333"/>
          <w:sz w:val="20"/>
          <w:szCs w:val="20"/>
        </w:rPr>
        <w:t>Haak, W., et al. (2015). Massive migration from the steppe was a source for Indo-European languages in Europe. Nature 522: 207-211. DOI: 10.1038/nature14317</w:t>
      </w:r>
    </w:p>
    <w:p w14:paraId="2BC6F7AC" w14:textId="77777777" w:rsidR="009A2378" w:rsidRDefault="00000000">
      <w:pPr>
        <w:spacing w:before="60" w:after="60"/>
        <w:ind w:left="720" w:hanging="720"/>
      </w:pPr>
      <w:proofErr w:type="spellStart"/>
      <w:r>
        <w:rPr>
          <w:color w:val="333333"/>
          <w:sz w:val="20"/>
          <w:szCs w:val="20"/>
        </w:rPr>
        <w:t>Henshilwood</w:t>
      </w:r>
      <w:proofErr w:type="spellEnd"/>
      <w:r>
        <w:rPr>
          <w:color w:val="333333"/>
          <w:sz w:val="20"/>
          <w:szCs w:val="20"/>
        </w:rPr>
        <w:t xml:space="preserve">, C.S., </w:t>
      </w:r>
      <w:proofErr w:type="spellStart"/>
      <w:r>
        <w:rPr>
          <w:color w:val="333333"/>
          <w:sz w:val="20"/>
          <w:szCs w:val="20"/>
        </w:rPr>
        <w:t>d'Errico</w:t>
      </w:r>
      <w:proofErr w:type="spellEnd"/>
      <w:r>
        <w:rPr>
          <w:color w:val="333333"/>
          <w:sz w:val="20"/>
          <w:szCs w:val="20"/>
        </w:rPr>
        <w:t>, F., Yates, R., et al. (2002). Emergence of modern human behavior: Middle Stone Age engravings from South Africa. Science 295(5558): 1278-1280. DOI: 10.1126/science.1067575</w:t>
      </w:r>
    </w:p>
    <w:p w14:paraId="0B184D9D" w14:textId="77777777" w:rsidR="009A2378" w:rsidRDefault="00000000">
      <w:pPr>
        <w:spacing w:before="60" w:after="60"/>
        <w:ind w:left="720" w:hanging="720"/>
      </w:pPr>
      <w:proofErr w:type="spellStart"/>
      <w:r>
        <w:rPr>
          <w:color w:val="333333"/>
          <w:sz w:val="20"/>
          <w:szCs w:val="20"/>
        </w:rPr>
        <w:t>Henshilwood</w:t>
      </w:r>
      <w:proofErr w:type="spellEnd"/>
      <w:r>
        <w:rPr>
          <w:color w:val="333333"/>
          <w:sz w:val="20"/>
          <w:szCs w:val="20"/>
        </w:rPr>
        <w:t xml:space="preserve">, C.S., </w:t>
      </w:r>
      <w:proofErr w:type="spellStart"/>
      <w:r>
        <w:rPr>
          <w:color w:val="333333"/>
          <w:sz w:val="20"/>
          <w:szCs w:val="20"/>
        </w:rPr>
        <w:t>d'Errico</w:t>
      </w:r>
      <w:proofErr w:type="spellEnd"/>
      <w:r>
        <w:rPr>
          <w:color w:val="333333"/>
          <w:sz w:val="20"/>
          <w:szCs w:val="20"/>
        </w:rPr>
        <w:t>, F., van Niekerk, K.L., et al. (2011). A 100,000-year-old ochre-processing workshop at Blombos Cave, South Africa. Science 334(6053): 219-222. DOI: 10.1126/science.1211535</w:t>
      </w:r>
    </w:p>
    <w:p w14:paraId="3E66487E" w14:textId="77777777" w:rsidR="009A2378" w:rsidRDefault="00000000">
      <w:pPr>
        <w:spacing w:before="60" w:after="60"/>
        <w:ind w:left="720" w:hanging="720"/>
      </w:pPr>
      <w:r>
        <w:rPr>
          <w:color w:val="333333"/>
          <w:sz w:val="20"/>
          <w:szCs w:val="20"/>
        </w:rPr>
        <w:t xml:space="preserve">Jaubert, J., Verheyden, S., Genty, D., et al. (2016). Early Neanderthal constructions deep in </w:t>
      </w:r>
      <w:proofErr w:type="spellStart"/>
      <w:r>
        <w:rPr>
          <w:color w:val="333333"/>
          <w:sz w:val="20"/>
          <w:szCs w:val="20"/>
        </w:rPr>
        <w:t>Bruniquel</w:t>
      </w:r>
      <w:proofErr w:type="spellEnd"/>
      <w:r>
        <w:rPr>
          <w:color w:val="333333"/>
          <w:sz w:val="20"/>
          <w:szCs w:val="20"/>
        </w:rPr>
        <w:t xml:space="preserve"> Cave in southwestern France. Nature 534: 111-114. DOI: 10.1038/nature18291</w:t>
      </w:r>
    </w:p>
    <w:p w14:paraId="74F7D60C" w14:textId="77777777" w:rsidR="009A2378" w:rsidRDefault="00000000">
      <w:pPr>
        <w:spacing w:before="60" w:after="60"/>
        <w:ind w:left="720" w:hanging="720"/>
      </w:pPr>
      <w:r>
        <w:rPr>
          <w:color w:val="333333"/>
          <w:sz w:val="20"/>
          <w:szCs w:val="20"/>
        </w:rPr>
        <w:t>Lazaridis, I., et al. (2016). Genomic insights into the origin of farming in the ancient Near East. Nature 536: 419-424. DOI: 10.1038/nature19310</w:t>
      </w:r>
    </w:p>
    <w:p w14:paraId="62DB871D" w14:textId="77777777" w:rsidR="009A2378" w:rsidRDefault="00000000">
      <w:pPr>
        <w:spacing w:before="60" w:after="60"/>
        <w:ind w:left="720" w:hanging="720"/>
      </w:pPr>
      <w:proofErr w:type="spellStart"/>
      <w:r>
        <w:rPr>
          <w:color w:val="333333"/>
          <w:sz w:val="20"/>
          <w:szCs w:val="20"/>
        </w:rPr>
        <w:t>Mellars</w:t>
      </w:r>
      <w:proofErr w:type="spellEnd"/>
      <w:r>
        <w:rPr>
          <w:color w:val="333333"/>
          <w:sz w:val="20"/>
          <w:szCs w:val="20"/>
        </w:rPr>
        <w:t>, P. (2006). A new radiocarbon revolution and the dispersal of modern humans in Eurasia. Nature 439: 931-935. DOI: 10.1038/nature04521</w:t>
      </w:r>
    </w:p>
    <w:p w14:paraId="1ADB4E03" w14:textId="77777777" w:rsidR="009A2378" w:rsidRDefault="00000000">
      <w:pPr>
        <w:spacing w:before="60" w:after="60"/>
        <w:ind w:left="720" w:hanging="720"/>
      </w:pPr>
      <w:r>
        <w:rPr>
          <w:color w:val="333333"/>
          <w:sz w:val="20"/>
          <w:szCs w:val="20"/>
        </w:rPr>
        <w:t>Prüfer, K., et al. (2014). The complete genome sequence of a Neanderthal from the Altai Mountains. Nature 505: 43-49. DOI: 10.1038/nature12886</w:t>
      </w:r>
    </w:p>
    <w:p w14:paraId="6A4C80D6" w14:textId="77777777" w:rsidR="009A2378" w:rsidRDefault="00000000">
      <w:pPr>
        <w:spacing w:before="60" w:after="60"/>
        <w:ind w:left="720" w:hanging="720"/>
      </w:pPr>
      <w:proofErr w:type="spellStart"/>
      <w:r>
        <w:rPr>
          <w:color w:val="333333"/>
          <w:sz w:val="20"/>
          <w:szCs w:val="20"/>
        </w:rPr>
        <w:t>Roebroeks</w:t>
      </w:r>
      <w:proofErr w:type="spellEnd"/>
      <w:r>
        <w:rPr>
          <w:color w:val="333333"/>
          <w:sz w:val="20"/>
          <w:szCs w:val="20"/>
        </w:rPr>
        <w:t>, W., et al. (2012). Use of red ochre by early Neandertals. PNAS 109(6): 1889-1894. DOI: 10.1073/pnas.1112261109</w:t>
      </w:r>
    </w:p>
    <w:p w14:paraId="13F770FB" w14:textId="77777777" w:rsidR="009A2378" w:rsidRDefault="00000000">
      <w:pPr>
        <w:spacing w:before="60" w:after="60"/>
        <w:ind w:left="720" w:hanging="720"/>
      </w:pPr>
      <w:r>
        <w:rPr>
          <w:color w:val="333333"/>
          <w:sz w:val="20"/>
          <w:szCs w:val="20"/>
        </w:rPr>
        <w:t>Vondoom, A. (2026). Cognitive Preconditions for the Deep Symbolic Systems Model. OSF. DOI: 10.17605/OSF.IO/25AJW</w:t>
      </w:r>
    </w:p>
    <w:p w14:paraId="16B5FB7E" w14:textId="77777777" w:rsidR="009A2378" w:rsidRDefault="00000000">
      <w:pPr>
        <w:spacing w:before="60" w:after="60"/>
        <w:ind w:left="720" w:hanging="720"/>
      </w:pPr>
      <w:r>
        <w:rPr>
          <w:color w:val="333333"/>
          <w:sz w:val="20"/>
          <w:szCs w:val="20"/>
        </w:rPr>
        <w:t xml:space="preserve">Vondoom, A. (2025a). Civilization Is Rehearsed: The Deep Symbolic Systems Model — Synthesis Paper. </w:t>
      </w:r>
      <w:proofErr w:type="spellStart"/>
      <w:r>
        <w:rPr>
          <w:color w:val="333333"/>
          <w:sz w:val="20"/>
          <w:szCs w:val="20"/>
        </w:rPr>
        <w:t>Zenodo</w:t>
      </w:r>
      <w:proofErr w:type="spellEnd"/>
      <w:r>
        <w:rPr>
          <w:color w:val="333333"/>
          <w:sz w:val="20"/>
          <w:szCs w:val="20"/>
        </w:rPr>
        <w:t>. DOI: 10.5281/zenodo.19170162</w:t>
      </w:r>
    </w:p>
    <w:p w14:paraId="5E7DCDFD" w14:textId="77777777" w:rsidR="009A2378" w:rsidRDefault="00000000">
      <w:pPr>
        <w:spacing w:before="60" w:after="60"/>
        <w:ind w:left="720" w:hanging="720"/>
      </w:pPr>
      <w:r>
        <w:rPr>
          <w:color w:val="333333"/>
          <w:sz w:val="20"/>
          <w:szCs w:val="20"/>
        </w:rPr>
        <w:t>Wynn, T., and Coolidge, F.L. (2012). How to Think Like a Neanderthal. Oxford University Press.</w:t>
      </w:r>
    </w:p>
    <w:p w14:paraId="1B544C1D" w14:textId="77777777" w:rsidR="009A2378" w:rsidRDefault="00000000">
      <w:pPr>
        <w:spacing w:before="60" w:after="60"/>
        <w:ind w:left="720" w:hanging="720"/>
      </w:pPr>
      <w:proofErr w:type="spellStart"/>
      <w:r>
        <w:rPr>
          <w:color w:val="333333"/>
          <w:sz w:val="20"/>
          <w:szCs w:val="20"/>
        </w:rPr>
        <w:t>Zilhão</w:t>
      </w:r>
      <w:proofErr w:type="spellEnd"/>
      <w:r>
        <w:rPr>
          <w:color w:val="333333"/>
          <w:sz w:val="20"/>
          <w:szCs w:val="20"/>
        </w:rPr>
        <w:t>, J. (2010). Symbolic use of marine shells and mineral pigments by Iberian Neandertals. PNAS 107(3): 1023-1028. DOI: 10.1073/pnas.0914088107</w:t>
      </w:r>
    </w:p>
    <w:sectPr w:rsidR="009A237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479B1"/>
    <w:multiLevelType w:val="hybridMultilevel"/>
    <w:tmpl w:val="7FA2FD18"/>
    <w:lvl w:ilvl="0" w:tplc="1DAA72D4">
      <w:start w:val="1"/>
      <w:numFmt w:val="bullet"/>
      <w:lvlText w:val="●"/>
      <w:lvlJc w:val="left"/>
      <w:pPr>
        <w:ind w:left="720" w:hanging="360"/>
      </w:pPr>
    </w:lvl>
    <w:lvl w:ilvl="1" w:tplc="93D26FAE">
      <w:start w:val="1"/>
      <w:numFmt w:val="bullet"/>
      <w:lvlText w:val="○"/>
      <w:lvlJc w:val="left"/>
      <w:pPr>
        <w:ind w:left="1440" w:hanging="360"/>
      </w:pPr>
    </w:lvl>
    <w:lvl w:ilvl="2" w:tplc="D286F9B0">
      <w:start w:val="1"/>
      <w:numFmt w:val="bullet"/>
      <w:lvlText w:val="■"/>
      <w:lvlJc w:val="left"/>
      <w:pPr>
        <w:ind w:left="2160" w:hanging="360"/>
      </w:pPr>
    </w:lvl>
    <w:lvl w:ilvl="3" w:tplc="80E67AD4">
      <w:start w:val="1"/>
      <w:numFmt w:val="bullet"/>
      <w:lvlText w:val="●"/>
      <w:lvlJc w:val="left"/>
      <w:pPr>
        <w:ind w:left="2880" w:hanging="360"/>
      </w:pPr>
    </w:lvl>
    <w:lvl w:ilvl="4" w:tplc="A44C7BF4">
      <w:start w:val="1"/>
      <w:numFmt w:val="bullet"/>
      <w:lvlText w:val="○"/>
      <w:lvlJc w:val="left"/>
      <w:pPr>
        <w:ind w:left="3600" w:hanging="360"/>
      </w:pPr>
    </w:lvl>
    <w:lvl w:ilvl="5" w:tplc="B6A425CE">
      <w:start w:val="1"/>
      <w:numFmt w:val="bullet"/>
      <w:lvlText w:val="■"/>
      <w:lvlJc w:val="left"/>
      <w:pPr>
        <w:ind w:left="4320" w:hanging="360"/>
      </w:pPr>
    </w:lvl>
    <w:lvl w:ilvl="6" w:tplc="AC14F5A4">
      <w:start w:val="1"/>
      <w:numFmt w:val="bullet"/>
      <w:lvlText w:val="●"/>
      <w:lvlJc w:val="left"/>
      <w:pPr>
        <w:ind w:left="5040" w:hanging="360"/>
      </w:pPr>
    </w:lvl>
    <w:lvl w:ilvl="7" w:tplc="48B6BB96">
      <w:start w:val="1"/>
      <w:numFmt w:val="bullet"/>
      <w:lvlText w:val="●"/>
      <w:lvlJc w:val="left"/>
      <w:pPr>
        <w:ind w:left="5760" w:hanging="360"/>
      </w:pPr>
    </w:lvl>
    <w:lvl w:ilvl="8" w:tplc="E8E8A32A">
      <w:start w:val="1"/>
      <w:numFmt w:val="bullet"/>
      <w:lvlText w:val="●"/>
      <w:lvlJc w:val="left"/>
      <w:pPr>
        <w:ind w:left="6480" w:hanging="360"/>
      </w:pPr>
    </w:lvl>
  </w:abstractNum>
  <w:abstractNum w:abstractNumId="1" w15:restartNumberingAfterBreak="0">
    <w:nsid w:val="445B1B98"/>
    <w:multiLevelType w:val="hybridMultilevel"/>
    <w:tmpl w:val="9A6CCD1E"/>
    <w:lvl w:ilvl="0" w:tplc="B79A315E">
      <w:start w:val="1"/>
      <w:numFmt w:val="bullet"/>
      <w:lvlText w:val="•"/>
      <w:lvlJc w:val="left"/>
      <w:pPr>
        <w:ind w:left="720" w:hanging="360"/>
      </w:pPr>
    </w:lvl>
    <w:lvl w:ilvl="1" w:tplc="5A1EB210">
      <w:numFmt w:val="decimal"/>
      <w:lvlText w:val=""/>
      <w:lvlJc w:val="left"/>
    </w:lvl>
    <w:lvl w:ilvl="2" w:tplc="AE406EF6">
      <w:numFmt w:val="decimal"/>
      <w:lvlText w:val=""/>
      <w:lvlJc w:val="left"/>
    </w:lvl>
    <w:lvl w:ilvl="3" w:tplc="3B4E991E">
      <w:numFmt w:val="decimal"/>
      <w:lvlText w:val=""/>
      <w:lvlJc w:val="left"/>
    </w:lvl>
    <w:lvl w:ilvl="4" w:tplc="8A88FBC4">
      <w:numFmt w:val="decimal"/>
      <w:lvlText w:val=""/>
      <w:lvlJc w:val="left"/>
    </w:lvl>
    <w:lvl w:ilvl="5" w:tplc="1304D73A">
      <w:numFmt w:val="decimal"/>
      <w:lvlText w:val=""/>
      <w:lvlJc w:val="left"/>
    </w:lvl>
    <w:lvl w:ilvl="6" w:tplc="436265A0">
      <w:numFmt w:val="decimal"/>
      <w:lvlText w:val=""/>
      <w:lvlJc w:val="left"/>
    </w:lvl>
    <w:lvl w:ilvl="7" w:tplc="28E8A7BA">
      <w:numFmt w:val="decimal"/>
      <w:lvlText w:val=""/>
      <w:lvlJc w:val="left"/>
    </w:lvl>
    <w:lvl w:ilvl="8" w:tplc="3E8A926A">
      <w:numFmt w:val="decimal"/>
      <w:lvlText w:val=""/>
      <w:lvlJc w:val="left"/>
    </w:lvl>
  </w:abstractNum>
  <w:num w:numId="1" w16cid:durableId="941231573">
    <w:abstractNumId w:val="0"/>
    <w:lvlOverride w:ilvl="0">
      <w:startOverride w:val="1"/>
    </w:lvlOverride>
  </w:num>
  <w:num w:numId="2" w16cid:durableId="16838488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78"/>
    <w:rsid w:val="00257D7F"/>
    <w:rsid w:val="0028122F"/>
    <w:rsid w:val="00345744"/>
    <w:rsid w:val="0095784F"/>
    <w:rsid w:val="009A2378"/>
    <w:rsid w:val="00F1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79E18"/>
  <w15:docId w15:val="{B4C3C8F8-D10F-0647-A2EE-967D4E1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0000"/>
      <w:sz w:val="30"/>
      <w:szCs w:val="30"/>
    </w:rPr>
  </w:style>
  <w:style w:type="paragraph" w:styleId="Heading2">
    <w:name w:val="heading 2"/>
    <w:uiPriority w:val="9"/>
    <w:unhideWhenUsed/>
    <w:qFormat/>
    <w:pPr>
      <w:spacing w:before="24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1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21668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3431</Words>
  <Characters>22441</Characters>
  <Application>Microsoft Office Word</Application>
  <DocSecurity>0</DocSecurity>
  <Lines>374</Lines>
  <Paragraphs>129</Paragraphs>
  <ScaleCrop>false</ScaleCrop>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4</cp:revision>
  <dcterms:created xsi:type="dcterms:W3CDTF">2026-05-05T08:00:00Z</dcterms:created>
  <dcterms:modified xsi:type="dcterms:W3CDTF">2026-05-05T08:13:00Z</dcterms:modified>
</cp:coreProperties>
</file>