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46FD" w14:textId="77777777" w:rsidR="009F6C07" w:rsidRDefault="00000000">
      <w:pPr>
        <w:spacing w:before="480" w:after="80"/>
        <w:jc w:val="center"/>
      </w:pPr>
      <w:r>
        <w:rPr>
          <w:b/>
          <w:bCs/>
          <w:color w:val="1F3864"/>
          <w:sz w:val="44"/>
          <w:szCs w:val="44"/>
        </w:rPr>
        <w:t xml:space="preserve">Taş </w:t>
      </w:r>
      <w:proofErr w:type="spellStart"/>
      <w:r>
        <w:rPr>
          <w:b/>
          <w:bCs/>
          <w:color w:val="1F3864"/>
          <w:sz w:val="44"/>
          <w:szCs w:val="44"/>
        </w:rPr>
        <w:t>Tepeler</w:t>
      </w:r>
      <w:proofErr w:type="spellEnd"/>
      <w:r>
        <w:rPr>
          <w:b/>
          <w:bCs/>
          <w:color w:val="1F3864"/>
          <w:sz w:val="44"/>
          <w:szCs w:val="44"/>
        </w:rPr>
        <w:t xml:space="preserve"> Landscape</w:t>
      </w:r>
    </w:p>
    <w:p w14:paraId="0E004575" w14:textId="77777777" w:rsidR="009F6C07" w:rsidRDefault="00000000">
      <w:pPr>
        <w:spacing w:after="80"/>
        <w:jc w:val="center"/>
        <w:rPr>
          <w:sz w:val="26"/>
          <w:szCs w:val="26"/>
        </w:rPr>
      </w:pPr>
      <w:r>
        <w:rPr>
          <w:sz w:val="26"/>
          <w:szCs w:val="26"/>
        </w:rPr>
        <w:t>Field Companion Protocol (FCP) Assessment and DSSM Evaluation</w:t>
      </w:r>
    </w:p>
    <w:p w14:paraId="21DDAFB0" w14:textId="77777777" w:rsidR="00F3424F" w:rsidRDefault="00F3424F">
      <w:pPr>
        <w:spacing w:after="80"/>
        <w:jc w:val="center"/>
        <w:rPr>
          <w:sz w:val="26"/>
          <w:szCs w:val="26"/>
        </w:rPr>
      </w:pPr>
    </w:p>
    <w:p w14:paraId="1A366198" w14:textId="695BF1EA" w:rsidR="00F3424F" w:rsidRDefault="00F3424F">
      <w:pPr>
        <w:spacing w:after="80"/>
        <w:jc w:val="center"/>
        <w:rPr>
          <w:sz w:val="26"/>
          <w:szCs w:val="26"/>
        </w:rPr>
      </w:pPr>
      <w:r>
        <w:rPr>
          <w:sz w:val="26"/>
          <w:szCs w:val="26"/>
        </w:rPr>
        <w:t xml:space="preserve">2026 </w:t>
      </w:r>
      <w:proofErr w:type="spellStart"/>
      <w:r>
        <w:rPr>
          <w:sz w:val="26"/>
          <w:szCs w:val="26"/>
        </w:rPr>
        <w:t>Figshare</w:t>
      </w:r>
      <w:proofErr w:type="spellEnd"/>
      <w:r>
        <w:rPr>
          <w:sz w:val="26"/>
          <w:szCs w:val="26"/>
        </w:rPr>
        <w:t xml:space="preserve"> </w:t>
      </w:r>
    </w:p>
    <w:p w14:paraId="042B3C32" w14:textId="31D89064" w:rsidR="00F3424F" w:rsidRDefault="00F3424F">
      <w:pPr>
        <w:spacing w:after="80"/>
        <w:jc w:val="center"/>
      </w:pPr>
      <w:r>
        <w:rPr>
          <w:sz w:val="26"/>
          <w:szCs w:val="26"/>
        </w:rPr>
        <w:fldChar w:fldCharType="begin"/>
      </w:r>
      <w:r>
        <w:rPr>
          <w:sz w:val="26"/>
          <w:szCs w:val="26"/>
        </w:rPr>
        <w:instrText>HYPERLINK "</w:instrText>
      </w:r>
      <w:r w:rsidRPr="00F3424F">
        <w:rPr>
          <w:sz w:val="26"/>
          <w:szCs w:val="26"/>
        </w:rPr>
        <w:instrText>https://doi.org/10.6084/m9.figshare.32149396</w:instrText>
      </w:r>
      <w:r>
        <w:rPr>
          <w:sz w:val="26"/>
          <w:szCs w:val="26"/>
        </w:rPr>
        <w:instrText>"</w:instrText>
      </w:r>
      <w:r>
        <w:rPr>
          <w:sz w:val="26"/>
          <w:szCs w:val="26"/>
        </w:rPr>
        <w:fldChar w:fldCharType="separate"/>
      </w:r>
      <w:r w:rsidRPr="000360D1">
        <w:rPr>
          <w:rStyle w:val="Hyperlink"/>
          <w:sz w:val="26"/>
          <w:szCs w:val="26"/>
        </w:rPr>
        <w:t>https://doi.org/10.6084/m9.figshare.3</w:t>
      </w:r>
      <w:r w:rsidRPr="000360D1">
        <w:rPr>
          <w:rStyle w:val="Hyperlink"/>
          <w:sz w:val="26"/>
          <w:szCs w:val="26"/>
        </w:rPr>
        <w:t>2</w:t>
      </w:r>
      <w:r w:rsidRPr="000360D1">
        <w:rPr>
          <w:rStyle w:val="Hyperlink"/>
          <w:sz w:val="26"/>
          <w:szCs w:val="26"/>
        </w:rPr>
        <w:t>149396</w:t>
      </w:r>
      <w:r>
        <w:rPr>
          <w:sz w:val="26"/>
          <w:szCs w:val="26"/>
        </w:rPr>
        <w:fldChar w:fldCharType="end"/>
      </w:r>
      <w:r>
        <w:rPr>
          <w:sz w:val="26"/>
          <w:szCs w:val="26"/>
        </w:rPr>
        <w:t xml:space="preserve"> </w:t>
      </w:r>
      <w:r>
        <w:t xml:space="preserve"> </w:t>
      </w:r>
    </w:p>
    <w:p w14:paraId="3B756269" w14:textId="77777777" w:rsidR="009F6C07" w:rsidRDefault="009F6C07">
      <w:pPr>
        <w:pBdr>
          <w:bottom w:val="single" w:sz="4" w:space="1" w:color="2E5FA3"/>
        </w:pBdr>
        <w:spacing w:before="100" w:after="100"/>
      </w:pPr>
    </w:p>
    <w:p w14:paraId="214D25DF" w14:textId="77777777" w:rsidR="009F6C07" w:rsidRDefault="00000000">
      <w:pPr>
        <w:spacing w:before="80" w:after="40"/>
        <w:jc w:val="center"/>
      </w:pPr>
      <w:r>
        <w:rPr>
          <w:b/>
          <w:bCs/>
          <w:sz w:val="24"/>
          <w:szCs w:val="24"/>
        </w:rPr>
        <w:t>Anthony Vondoom</w:t>
      </w:r>
    </w:p>
    <w:p w14:paraId="27B299AE" w14:textId="77777777" w:rsidR="009F6C07" w:rsidRDefault="00000000">
      <w:pPr>
        <w:spacing w:after="40"/>
        <w:jc w:val="center"/>
      </w:pPr>
      <w:r>
        <w:rPr>
          <w:color w:val="555555"/>
          <w:sz w:val="20"/>
          <w:szCs w:val="20"/>
        </w:rPr>
        <w:t xml:space="preserve">Independent Researcher, </w:t>
      </w:r>
      <w:proofErr w:type="spellStart"/>
      <w:r>
        <w:rPr>
          <w:color w:val="555555"/>
          <w:sz w:val="20"/>
          <w:szCs w:val="20"/>
        </w:rPr>
        <w:t>Sirmione</w:t>
      </w:r>
      <w:proofErr w:type="spellEnd"/>
      <w:r>
        <w:rPr>
          <w:color w:val="555555"/>
          <w:sz w:val="20"/>
          <w:szCs w:val="20"/>
        </w:rPr>
        <w:t>, Italy</w:t>
      </w:r>
    </w:p>
    <w:p w14:paraId="09BE6E7F" w14:textId="77777777" w:rsidR="009F6C07" w:rsidRDefault="00000000">
      <w:pPr>
        <w:spacing w:after="40"/>
        <w:jc w:val="center"/>
      </w:pPr>
      <w:r>
        <w:rPr>
          <w:color w:val="555555"/>
          <w:sz w:val="20"/>
          <w:szCs w:val="20"/>
        </w:rPr>
        <w:t>ORCID: 0009-0003-4953-</w:t>
      </w:r>
      <w:proofErr w:type="gramStart"/>
      <w:r>
        <w:rPr>
          <w:color w:val="555555"/>
          <w:sz w:val="20"/>
          <w:szCs w:val="20"/>
        </w:rPr>
        <w:t>1427  |</w:t>
      </w:r>
      <w:proofErr w:type="gramEnd"/>
      <w:r>
        <w:rPr>
          <w:color w:val="555555"/>
          <w:sz w:val="20"/>
          <w:szCs w:val="20"/>
        </w:rPr>
        <w:t xml:space="preserve">  Anthony.vondoom@outlook.com</w:t>
      </w:r>
    </w:p>
    <w:p w14:paraId="69A1C025" w14:textId="77777777" w:rsidR="009F6C07" w:rsidRDefault="009F6C07">
      <w:pPr>
        <w:pBdr>
          <w:bottom w:val="single" w:sz="4" w:space="1" w:color="2E5FA3"/>
        </w:pBdr>
        <w:spacing w:before="100" w:after="100"/>
      </w:pPr>
    </w:p>
    <w:p w14:paraId="7D554C9D" w14:textId="77777777" w:rsidR="009F6C07" w:rsidRDefault="00000000">
      <w:pPr>
        <w:spacing w:before="80" w:after="80"/>
      </w:pPr>
      <w:r>
        <w:rPr>
          <w:b/>
          <w:bCs/>
          <w:color w:val="666666"/>
          <w:sz w:val="19"/>
          <w:szCs w:val="19"/>
        </w:rPr>
        <w:t xml:space="preserve">AI Assistance Disclosure: </w:t>
      </w:r>
      <w:r>
        <w:rPr>
          <w:color w:val="666666"/>
          <w:sz w:val="19"/>
          <w:szCs w:val="19"/>
        </w:rPr>
        <w:t>This paper was developed with editorial and structural support from Claude Sonnet (Anthropic). The theoretical framework, FCP scores, and analytical conclusions are solely those of the author. AI assistance is disclosed in accordance with the author's standard publication practice.</w:t>
      </w:r>
    </w:p>
    <w:p w14:paraId="4C6928EE" w14:textId="77777777" w:rsidR="009F6C07" w:rsidRDefault="00000000">
      <w:r>
        <w:br w:type="page"/>
      </w:r>
    </w:p>
    <w:p w14:paraId="79542313" w14:textId="77777777" w:rsidR="009F6C07" w:rsidRDefault="00000000">
      <w:pPr>
        <w:pStyle w:val="Heading1"/>
      </w:pPr>
      <w:r>
        <w:lastRenderedPageBreak/>
        <w:t>Abstract</w:t>
      </w:r>
    </w:p>
    <w:p w14:paraId="2BD29055" w14:textId="77777777" w:rsidR="009F6C07" w:rsidRDefault="00000000">
      <w:pPr>
        <w:spacing w:before="80" w:after="100"/>
        <w:jc w:val="both"/>
      </w:pPr>
      <w:r>
        <w:t xml:space="preserve">The Taş </w:t>
      </w:r>
      <w:proofErr w:type="spellStart"/>
      <w:r>
        <w:t>Tepeler</w:t>
      </w:r>
      <w:proofErr w:type="spellEnd"/>
      <w:r>
        <w:t xml:space="preserve"> ('Stone Hills') landscape in southeastern Turkey comprises twelve Pre-Pottery Neolithic sites — including </w:t>
      </w:r>
      <w:proofErr w:type="spellStart"/>
      <w:r>
        <w:t>Göbekli</w:t>
      </w:r>
      <w:proofErr w:type="spellEnd"/>
      <w:r>
        <w:t xml:space="preserve"> Tepe, </w:t>
      </w:r>
      <w:proofErr w:type="spellStart"/>
      <w:r>
        <w:t>Karahantepe</w:t>
      </w:r>
      <w:proofErr w:type="spellEnd"/>
      <w:r>
        <w:t xml:space="preserve">, </w:t>
      </w:r>
      <w:proofErr w:type="spellStart"/>
      <w:r>
        <w:t>Sayburç</w:t>
      </w:r>
      <w:proofErr w:type="spellEnd"/>
      <w:r>
        <w:t xml:space="preserve">, and </w:t>
      </w:r>
      <w:proofErr w:type="spellStart"/>
      <w:r>
        <w:t>Sefertepe</w:t>
      </w:r>
      <w:proofErr w:type="spellEnd"/>
      <w:r>
        <w:t xml:space="preserve"> — active between approximately 9,600 and 8,000 BCE. This paper applies the Field Companion Protocol (FCP) of the Deep Symbolic Systems Model (DSSM) to all publicly available data from five completed excavation seasons (2021–2025), scoring each principal site across six observables and evaluating the landscape against the four DSSM stabilization criteria.</w:t>
      </w:r>
      <w:r>
        <w:rPr>
          <w:rStyle w:val="FootnoteReference"/>
        </w:rPr>
        <w:footnoteReference w:id="1"/>
      </w:r>
    </w:p>
    <w:p w14:paraId="47F7CD18" w14:textId="77777777" w:rsidR="009F6C07" w:rsidRDefault="00000000">
      <w:pPr>
        <w:spacing w:before="80" w:after="100"/>
        <w:jc w:val="both"/>
      </w:pPr>
      <w:r>
        <w:t>Four principal sites achieve DSSM saturation (composite FCP scores of 8–11/12; all four stabilization criteria confirmed at landscape level). Subsistence evidence confirms the communities responsible for this symbolic landscape were largely hunter-gatherers, with animal domestication beginning approximately one thousand years after the monumental program was already in full operation.</w:t>
      </w:r>
      <w:r>
        <w:rPr>
          <w:rStyle w:val="FootnoteReference"/>
        </w:rPr>
        <w:footnoteReference w:id="2"/>
      </w:r>
      <w:r>
        <w:t xml:space="preserve"> The assessment documents the nature, scale, and structural organization of symbolic activity at Taş </w:t>
      </w:r>
      <w:proofErr w:type="spellStart"/>
      <w:r>
        <w:t>Tepeler</w:t>
      </w:r>
      <w:proofErr w:type="spellEnd"/>
      <w:r>
        <w:t xml:space="preserve"> and identifies its stage classification, stabilization pathway, and key analytical implications within the DSSM framework.</w:t>
      </w:r>
    </w:p>
    <w:p w14:paraId="0883DEC0" w14:textId="77777777" w:rsidR="009F6C07" w:rsidRDefault="00000000">
      <w:pPr>
        <w:spacing w:before="80" w:after="80"/>
      </w:pPr>
      <w:r>
        <w:rPr>
          <w:b/>
          <w:bCs/>
        </w:rPr>
        <w:t xml:space="preserve">Keywords: </w:t>
      </w:r>
      <w:r>
        <w:t xml:space="preserve">Taş </w:t>
      </w:r>
      <w:proofErr w:type="spellStart"/>
      <w:r>
        <w:t>Tepeler</w:t>
      </w:r>
      <w:proofErr w:type="spellEnd"/>
      <w:r>
        <w:t xml:space="preserve">, </w:t>
      </w:r>
      <w:proofErr w:type="spellStart"/>
      <w:r>
        <w:t>Göbekli</w:t>
      </w:r>
      <w:proofErr w:type="spellEnd"/>
      <w:r>
        <w:t xml:space="preserve"> Tepe, </w:t>
      </w:r>
      <w:proofErr w:type="spellStart"/>
      <w:r>
        <w:t>Karahantepe</w:t>
      </w:r>
      <w:proofErr w:type="spellEnd"/>
      <w:r>
        <w:t>, Pre-Pottery Neolithic, symbolic stabilization, DSSM, Field Companion Protocol, cognitive archaeology, ritual architecture, hunter-gatherers</w:t>
      </w:r>
    </w:p>
    <w:p w14:paraId="460514BC" w14:textId="77777777" w:rsidR="009F6C07" w:rsidRDefault="00000000">
      <w:r>
        <w:br w:type="page"/>
      </w:r>
    </w:p>
    <w:p w14:paraId="4BF957D9" w14:textId="77777777" w:rsidR="009F6C07" w:rsidRDefault="00000000">
      <w:pPr>
        <w:pStyle w:val="Heading1"/>
      </w:pPr>
      <w:r>
        <w:lastRenderedPageBreak/>
        <w:t>0.  The DSSM Framework: A Reader's Guide</w:t>
      </w:r>
    </w:p>
    <w:p w14:paraId="37ABFAB9" w14:textId="77777777" w:rsidR="009F6C07" w:rsidRDefault="00000000">
      <w:pPr>
        <w:spacing w:before="80" w:after="100"/>
        <w:jc w:val="both"/>
      </w:pPr>
      <w:r>
        <w:t>The Deep Symbolic Systems Model (DSSM) is a cross-disciplinary analytical framework for identifying and comparing symbolic stabilization events across human history.</w:t>
      </w:r>
      <w:r>
        <w:rPr>
          <w:rStyle w:val="FootnoteReference"/>
        </w:rPr>
        <w:footnoteReference w:id="3"/>
      </w:r>
      <w:r>
        <w:t xml:space="preserve"> Its core claim is that symbolic systems do not emerge as a consequence of agricultural surplus, sedentism, or administrative complexity — they precede and enable those developments by providing the coordination infrastructure that makes large-scale collective action possible. The model integrates cognitive anthropology, archaeology, and comparative symbolic analysis.</w:t>
      </w:r>
      <w:r>
        <w:rPr>
          <w:rStyle w:val="FootnoteReference"/>
        </w:rPr>
        <w:footnoteReference w:id="4"/>
      </w:r>
      <w:r>
        <w:rPr>
          <w:vertAlign w:val="superscript"/>
        </w:rPr>
        <w:t>,</w:t>
      </w:r>
      <w:r>
        <w:rPr>
          <w:rStyle w:val="FootnoteReference"/>
        </w:rPr>
        <w:footnoteReference w:id="5"/>
      </w:r>
    </w:p>
    <w:p w14:paraId="5BBE4B58" w14:textId="77777777" w:rsidR="009F6C07" w:rsidRDefault="00000000">
      <w:pPr>
        <w:pStyle w:val="Heading2"/>
      </w:pPr>
      <w:proofErr w:type="gramStart"/>
      <w:r>
        <w:t>0.1  The</w:t>
      </w:r>
      <w:proofErr w:type="gramEnd"/>
      <w:r>
        <w:t xml:space="preserve"> Four Stabilization Criteria</w:t>
      </w:r>
    </w:p>
    <w:p w14:paraId="2E5D5B64" w14:textId="77777777" w:rsidR="009F6C07" w:rsidRDefault="00000000">
      <w:pPr>
        <w:spacing w:before="80" w:after="100"/>
        <w:jc w:val="both"/>
      </w:pPr>
      <w:r>
        <w:t>A symbolic system S is considered DSSM-stabilized when it satisfies all four of the following criteria simultaneously:</w:t>
      </w:r>
    </w:p>
    <w:p w14:paraId="4E87DECC" w14:textId="77777777" w:rsidR="009F6C07" w:rsidRDefault="009F6C07">
      <w:pPr>
        <w:spacing w:before="1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F6C07" w14:paraId="01BC7AC5" w14:textId="77777777">
        <w:tc>
          <w:tcPr>
            <w:tcW w:w="0" w:type="auto"/>
            <w:tcBorders>
              <w:top w:val="single" w:sz="6" w:space="0" w:color="2E5FA3"/>
              <w:left w:val="single" w:sz="6" w:space="0" w:color="2E5FA3"/>
              <w:bottom w:val="single" w:sz="6" w:space="0" w:color="2E5FA3"/>
              <w:right w:val="single" w:sz="6" w:space="0" w:color="2E5FA3"/>
            </w:tcBorders>
            <w:shd w:val="clear" w:color="auto" w:fill="EEF2F7"/>
            <w:tcMar>
              <w:top w:w="120" w:type="dxa"/>
              <w:left w:w="200" w:type="dxa"/>
              <w:bottom w:w="120" w:type="dxa"/>
              <w:right w:w="200" w:type="dxa"/>
            </w:tcMar>
          </w:tcPr>
          <w:p w14:paraId="4D7B1F49" w14:textId="77777777" w:rsidR="009F6C07" w:rsidRDefault="00000000">
            <w:pPr>
              <w:spacing w:before="60" w:after="50"/>
            </w:pPr>
            <w:r>
              <w:rPr>
                <w:b/>
                <w:bCs/>
              </w:rPr>
              <w:t xml:space="preserve">Criterion 1 — Intergenerational Repetition: </w:t>
            </w:r>
            <w:r>
              <w:t>S reproduces reliably across ≥3 generations, independent of any single individual carrier.</w:t>
            </w:r>
          </w:p>
          <w:p w14:paraId="076C11EF" w14:textId="77777777" w:rsidR="009F6C07" w:rsidRDefault="00000000">
            <w:pPr>
              <w:spacing w:before="50" w:after="50"/>
            </w:pPr>
            <w:r>
              <w:rPr>
                <w:b/>
                <w:bCs/>
              </w:rPr>
              <w:t xml:space="preserve">Criterion 2 — Spatial Constraint: </w:t>
            </w:r>
            <w:r>
              <w:t>S imposes structure on space, movement, or behavior in ways that are recurrent and non-arbitrary.</w:t>
            </w:r>
          </w:p>
          <w:p w14:paraId="57F8AC34" w14:textId="77777777" w:rsidR="009F6C07" w:rsidRDefault="00000000">
            <w:pPr>
              <w:spacing w:before="50" w:after="50"/>
            </w:pPr>
            <w:r>
              <w:rPr>
                <w:b/>
                <w:bCs/>
              </w:rPr>
              <w:t xml:space="preserve">Criterion 3 — Cross-Media Redundancy: </w:t>
            </w:r>
            <w:r>
              <w:t>S is expressed in ≥2 distinct media (material, ritual, landscape, linguistic).</w:t>
            </w:r>
          </w:p>
          <w:p w14:paraId="79F3316F" w14:textId="77777777" w:rsidR="009F6C07" w:rsidRDefault="00000000">
            <w:pPr>
              <w:spacing w:before="50" w:after="60"/>
            </w:pPr>
            <w:r>
              <w:rPr>
                <w:b/>
                <w:bCs/>
              </w:rPr>
              <w:t xml:space="preserve">Criterion 4 — Persistence Under Stress: </w:t>
            </w:r>
            <w:r>
              <w:t>S maintains recognizable form across ecological disruption, demographic pressure, or political reorganization.</w:t>
            </w:r>
          </w:p>
        </w:tc>
      </w:tr>
    </w:tbl>
    <w:p w14:paraId="36BE8C64" w14:textId="77777777" w:rsidR="009F6C07" w:rsidRDefault="009F6C07">
      <w:pPr>
        <w:spacing w:before="100"/>
      </w:pPr>
    </w:p>
    <w:p w14:paraId="471CB458" w14:textId="77777777" w:rsidR="009F6C07" w:rsidRDefault="00000000">
      <w:pPr>
        <w:pStyle w:val="Heading2"/>
      </w:pPr>
      <w:proofErr w:type="gramStart"/>
      <w:r>
        <w:t>0.2  The</w:t>
      </w:r>
      <w:proofErr w:type="gramEnd"/>
      <w:r>
        <w:t xml:space="preserve"> Four Stages</w:t>
      </w:r>
    </w:p>
    <w:p w14:paraId="333F608C" w14:textId="77777777" w:rsidR="009F6C07" w:rsidRDefault="00000000">
      <w:pPr>
        <w:spacing w:before="80" w:after="100"/>
        <w:jc w:val="both"/>
      </w:pPr>
      <w:r>
        <w:t>DSSM maps symbolic systems through four developmental stages. These are analytical categories, not a deterministic sequence — societies may remain at any stage indefinitely.</w:t>
      </w:r>
      <w:r>
        <w:rPr>
          <w:rStyle w:val="FootnoteReference"/>
        </w:rPr>
        <w:footnoteReference w:id="6"/>
      </w:r>
      <w:r>
        <w:rPr>
          <w:vertAlign w:val="superscript"/>
        </w:rPr>
        <w:t>,</w:t>
      </w:r>
      <w:r>
        <w:rPr>
          <w:rStyle w:val="FootnoteReference"/>
        </w:rPr>
        <w:footnoteReference w:id="7"/>
      </w:r>
    </w:p>
    <w:p w14:paraId="2167A6C4" w14:textId="77777777" w:rsidR="009F6C07" w:rsidRDefault="00000000">
      <w:pPr>
        <w:pStyle w:val="ListParagraph"/>
        <w:numPr>
          <w:ilvl w:val="0"/>
          <w:numId w:val="2"/>
        </w:numPr>
        <w:spacing w:before="40" w:after="40"/>
      </w:pPr>
      <w:r>
        <w:t>Stage 1 — Embodied Symbolic Familiarity: Recurrent motor-ritual patterns; no durable external encoding.</w:t>
      </w:r>
    </w:p>
    <w:p w14:paraId="207560C2" w14:textId="77777777" w:rsidR="009F6C07" w:rsidRDefault="00000000">
      <w:pPr>
        <w:pStyle w:val="ListParagraph"/>
        <w:numPr>
          <w:ilvl w:val="0"/>
          <w:numId w:val="2"/>
        </w:numPr>
        <w:spacing w:before="40" w:after="40"/>
      </w:pPr>
      <w:r>
        <w:t>Stage 2 — Ritualized Repetition: Stabilized ritual sequences; oral transmission; spatial memory anchors.</w:t>
      </w:r>
    </w:p>
    <w:p w14:paraId="520DA4C1" w14:textId="77777777" w:rsidR="009F6C07" w:rsidRDefault="00000000">
      <w:pPr>
        <w:pStyle w:val="ListParagraph"/>
        <w:numPr>
          <w:ilvl w:val="0"/>
          <w:numId w:val="2"/>
        </w:numPr>
        <w:spacing w:before="40" w:after="40"/>
      </w:pPr>
      <w:r>
        <w:t>Stage 3 — Material Amplification and Externalization: Community size approaches ~500 persons; symbolic load exceeds biological transmission capacity; material substrates become structurally necessary.</w:t>
      </w:r>
    </w:p>
    <w:p w14:paraId="70765561" w14:textId="77777777" w:rsidR="009F6C07" w:rsidRDefault="00000000">
      <w:pPr>
        <w:pStyle w:val="ListParagraph"/>
        <w:numPr>
          <w:ilvl w:val="0"/>
          <w:numId w:val="2"/>
        </w:numPr>
        <w:spacing w:before="40" w:after="40"/>
      </w:pPr>
      <w:r>
        <w:t>Stage 4 — Cognitive Offloading and Institutional Emergence: Writing, law, and administration as compression of pre-existing symbolic load.</w:t>
      </w:r>
    </w:p>
    <w:p w14:paraId="06B65F35" w14:textId="77777777" w:rsidR="009F6C07" w:rsidRDefault="009F6C07">
      <w:pPr>
        <w:spacing w:before="80"/>
      </w:pPr>
    </w:p>
    <w:p w14:paraId="1D6F1633" w14:textId="77777777" w:rsidR="009F6C07" w:rsidRDefault="00000000">
      <w:pPr>
        <w:pStyle w:val="Heading2"/>
      </w:pPr>
      <w:proofErr w:type="gramStart"/>
      <w:r>
        <w:t>0.3  The</w:t>
      </w:r>
      <w:proofErr w:type="gramEnd"/>
      <w:r>
        <w:t xml:space="preserve"> Field Companion Protocol (FCP)</w:t>
      </w:r>
    </w:p>
    <w:p w14:paraId="49B360DE" w14:textId="77777777" w:rsidR="009F6C07" w:rsidRDefault="00000000">
      <w:pPr>
        <w:spacing w:before="80" w:after="100"/>
        <w:jc w:val="both"/>
      </w:pPr>
      <w:r>
        <w:t xml:space="preserve">The FCP provides a reproducible scoring rubric for applying DSSM criteria to archaeological sites. It scores Evidence Strength (E) and Symbolic Specificity (S) independently on a 0–2 scale for each of six observables. The final composite score per observable is </w:t>
      </w:r>
      <w:proofErr w:type="gramStart"/>
      <w:r>
        <w:t>min(</w:t>
      </w:r>
      <w:proofErr w:type="gramEnd"/>
      <w:r>
        <w:t>E, S), preventing high symbolic specificity claims from outrunning evidentiary support. Maximum composite score: 12. Saturation threshold: ≥7/12 with no observable scoring 0.</w:t>
      </w:r>
      <w:r>
        <w:rPr>
          <w:rStyle w:val="FootnoteReference"/>
        </w:rPr>
        <w:footnoteReference w:id="8"/>
      </w:r>
    </w:p>
    <w:p w14:paraId="01980349"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F6C07" w14:paraId="5CE8C5C5" w14:textId="77777777">
        <w:tc>
          <w:tcPr>
            <w:tcW w:w="0" w:type="auto"/>
            <w:tcBorders>
              <w:top w:val="single" w:sz="6" w:space="0" w:color="2E5FA3"/>
              <w:left w:val="single" w:sz="6" w:space="0" w:color="2E5FA3"/>
              <w:bottom w:val="single" w:sz="6" w:space="0" w:color="2E5FA3"/>
              <w:right w:val="single" w:sz="6" w:space="0" w:color="2E5FA3"/>
            </w:tcBorders>
            <w:shd w:val="clear" w:color="auto" w:fill="EEF2F7"/>
            <w:tcMar>
              <w:top w:w="120" w:type="dxa"/>
              <w:left w:w="200" w:type="dxa"/>
              <w:bottom w:w="120" w:type="dxa"/>
              <w:right w:w="200" w:type="dxa"/>
            </w:tcMar>
          </w:tcPr>
          <w:p w14:paraId="3FC2CACE" w14:textId="77777777" w:rsidR="009F6C07" w:rsidRDefault="00000000">
            <w:pPr>
              <w:spacing w:before="60" w:after="20"/>
            </w:pPr>
            <w:r>
              <w:rPr>
                <w:b/>
                <w:bCs/>
              </w:rPr>
              <w:t>FCP Observables:</w:t>
            </w:r>
          </w:p>
          <w:p w14:paraId="2EEB1F06" w14:textId="77777777" w:rsidR="009F6C07" w:rsidRDefault="00000000">
            <w:pPr>
              <w:spacing w:before="20" w:after="20"/>
            </w:pPr>
            <w:proofErr w:type="gramStart"/>
            <w:r>
              <w:rPr>
                <w:sz w:val="20"/>
                <w:szCs w:val="20"/>
              </w:rPr>
              <w:t>MA  Mnemonic</w:t>
            </w:r>
            <w:proofErr w:type="gramEnd"/>
            <w:r>
              <w:rPr>
                <w:sz w:val="20"/>
                <w:szCs w:val="20"/>
              </w:rPr>
              <w:t xml:space="preserve"> Architectures — spatially encoded structures that preserve and transmit knowledge across generations without writing.</w:t>
            </w:r>
          </w:p>
          <w:p w14:paraId="0D11F47C" w14:textId="77777777" w:rsidR="009F6C07" w:rsidRDefault="00000000">
            <w:pPr>
              <w:spacing w:before="20" w:after="20"/>
            </w:pPr>
            <w:proofErr w:type="gramStart"/>
            <w:r>
              <w:rPr>
                <w:sz w:val="20"/>
                <w:szCs w:val="20"/>
              </w:rPr>
              <w:t>SS  Symbolic</w:t>
            </w:r>
            <w:proofErr w:type="gramEnd"/>
            <w:r>
              <w:rPr>
                <w:sz w:val="20"/>
                <w:szCs w:val="20"/>
              </w:rPr>
              <w:t xml:space="preserve"> Stabilization — recurrence of the same symbolic forms across time, sites, and media.</w:t>
            </w:r>
          </w:p>
          <w:p w14:paraId="04DD0195" w14:textId="77777777" w:rsidR="009F6C07" w:rsidRDefault="00000000">
            <w:pPr>
              <w:spacing w:before="20" w:after="20"/>
            </w:pPr>
            <w:proofErr w:type="gramStart"/>
            <w:r>
              <w:rPr>
                <w:sz w:val="20"/>
                <w:szCs w:val="20"/>
              </w:rPr>
              <w:t>EC  Externalized</w:t>
            </w:r>
            <w:proofErr w:type="gramEnd"/>
            <w:r>
              <w:rPr>
                <w:sz w:val="20"/>
                <w:szCs w:val="20"/>
              </w:rPr>
              <w:t xml:space="preserve"> Cognition — transfer of cognitive load (memory, social roles, coordination) into material or spatial substrates.</w:t>
            </w:r>
          </w:p>
          <w:p w14:paraId="2D925E03" w14:textId="77777777" w:rsidR="009F6C07" w:rsidRDefault="00000000">
            <w:pPr>
              <w:spacing w:before="20" w:after="20"/>
            </w:pPr>
            <w:proofErr w:type="gramStart"/>
            <w:r>
              <w:rPr>
                <w:sz w:val="20"/>
                <w:szCs w:val="20"/>
              </w:rPr>
              <w:t>SR  Symbolic</w:t>
            </w:r>
            <w:proofErr w:type="gramEnd"/>
            <w:r>
              <w:rPr>
                <w:sz w:val="20"/>
                <w:szCs w:val="20"/>
              </w:rPr>
              <w:t xml:space="preserve"> Regulation — use of symbolic systems to enforce behavioral norms or manage collective action.</w:t>
            </w:r>
          </w:p>
          <w:p w14:paraId="632D6B5C" w14:textId="77777777" w:rsidR="009F6C07" w:rsidRDefault="00000000">
            <w:pPr>
              <w:spacing w:before="20" w:after="20"/>
            </w:pPr>
            <w:proofErr w:type="gramStart"/>
            <w:r>
              <w:rPr>
                <w:sz w:val="20"/>
                <w:szCs w:val="20"/>
              </w:rPr>
              <w:t>DSA  Distributed</w:t>
            </w:r>
            <w:proofErr w:type="gramEnd"/>
            <w:r>
              <w:rPr>
                <w:sz w:val="20"/>
                <w:szCs w:val="20"/>
              </w:rPr>
              <w:t xml:space="preserve"> Symbolic Authority — evidence that symbolic competence was socially distributed, not monopolized.</w:t>
            </w:r>
          </w:p>
          <w:p w14:paraId="607C9331" w14:textId="77777777" w:rsidR="009F6C07" w:rsidRDefault="00000000">
            <w:pPr>
              <w:spacing w:before="20" w:after="20"/>
            </w:pPr>
            <w:proofErr w:type="gramStart"/>
            <w:r>
              <w:rPr>
                <w:sz w:val="20"/>
                <w:szCs w:val="20"/>
              </w:rPr>
              <w:t>PSA  Portable</w:t>
            </w:r>
            <w:proofErr w:type="gramEnd"/>
            <w:r>
              <w:rPr>
                <w:sz w:val="20"/>
                <w:szCs w:val="20"/>
              </w:rPr>
              <w:t xml:space="preserve"> Symbolic Anchors — miniaturized or mobile symbolic content enabling transmission across distance.</w:t>
            </w:r>
          </w:p>
          <w:p w14:paraId="2627B8C9" w14:textId="77777777" w:rsidR="009F6C07" w:rsidRDefault="00000000">
            <w:pPr>
              <w:spacing w:before="30" w:after="40"/>
            </w:pPr>
            <w:r>
              <w:rPr>
                <w:sz w:val="20"/>
                <w:szCs w:val="20"/>
              </w:rPr>
              <w:t xml:space="preserve">Scoring: 0 = </w:t>
            </w:r>
            <w:proofErr w:type="gramStart"/>
            <w:r>
              <w:rPr>
                <w:sz w:val="20"/>
                <w:szCs w:val="20"/>
              </w:rPr>
              <w:t>Absent  |</w:t>
            </w:r>
            <w:proofErr w:type="gramEnd"/>
            <w:r>
              <w:rPr>
                <w:sz w:val="20"/>
                <w:szCs w:val="20"/>
              </w:rPr>
              <w:t xml:space="preserve">  1 = Present, partial or </w:t>
            </w:r>
            <w:proofErr w:type="gramStart"/>
            <w:r>
              <w:rPr>
                <w:sz w:val="20"/>
                <w:szCs w:val="20"/>
              </w:rPr>
              <w:t>contested  |</w:t>
            </w:r>
            <w:proofErr w:type="gramEnd"/>
            <w:r>
              <w:rPr>
                <w:sz w:val="20"/>
                <w:szCs w:val="20"/>
              </w:rPr>
              <w:t xml:space="preserve">  2 = Clearly present and well-</w:t>
            </w:r>
            <w:proofErr w:type="gramStart"/>
            <w:r>
              <w:rPr>
                <w:sz w:val="20"/>
                <w:szCs w:val="20"/>
              </w:rPr>
              <w:t>evidenced  |</w:t>
            </w:r>
            <w:proofErr w:type="gramEnd"/>
            <w:r>
              <w:rPr>
                <w:sz w:val="20"/>
                <w:szCs w:val="20"/>
              </w:rPr>
              <w:t xml:space="preserve">  Final = </w:t>
            </w:r>
            <w:proofErr w:type="gramStart"/>
            <w:r>
              <w:rPr>
                <w:sz w:val="20"/>
                <w:szCs w:val="20"/>
              </w:rPr>
              <w:t>min(</w:t>
            </w:r>
            <w:proofErr w:type="gramEnd"/>
            <w:r>
              <w:rPr>
                <w:sz w:val="20"/>
                <w:szCs w:val="20"/>
              </w:rPr>
              <w:t>E, S)</w:t>
            </w:r>
          </w:p>
        </w:tc>
      </w:tr>
    </w:tbl>
    <w:p w14:paraId="68F7ECBB" w14:textId="77777777" w:rsidR="009F6C07" w:rsidRDefault="009F6C07">
      <w:pPr>
        <w:spacing w:before="160"/>
      </w:pPr>
    </w:p>
    <w:p w14:paraId="0A41BDCB" w14:textId="77777777" w:rsidR="009F6C07" w:rsidRDefault="00000000">
      <w:pPr>
        <w:pStyle w:val="Heading1"/>
      </w:pPr>
      <w:r>
        <w:t>1.  Overview and Data Sources</w:t>
      </w:r>
    </w:p>
    <w:p w14:paraId="171AD1E4" w14:textId="77777777" w:rsidR="009F6C07" w:rsidRDefault="00000000">
      <w:pPr>
        <w:spacing w:before="80" w:after="100"/>
        <w:jc w:val="both"/>
      </w:pPr>
      <w:r>
        <w:t xml:space="preserve">The Taş </w:t>
      </w:r>
      <w:proofErr w:type="spellStart"/>
      <w:r>
        <w:t>Tepeler</w:t>
      </w:r>
      <w:proofErr w:type="spellEnd"/>
      <w:r>
        <w:t xml:space="preserve"> project was launched in 2021 by the Turkish Ministry of Culture and Tourism. It encompasses twelve Neolithic excavation sites across the </w:t>
      </w:r>
      <w:proofErr w:type="spellStart"/>
      <w:r>
        <w:t>Şanlıurfa</w:t>
      </w:r>
      <w:proofErr w:type="spellEnd"/>
      <w:r>
        <w:t xml:space="preserve"> region of southeastern Turkey, all dating to the Pre-Pottery Neolithic (PPN) period, c. 9,600–8,000 BCE.</w:t>
      </w:r>
      <w:r>
        <w:rPr>
          <w:rStyle w:val="FootnoteReference"/>
        </w:rPr>
        <w:footnoteReference w:id="9"/>
      </w:r>
      <w:r>
        <w:t xml:space="preserve"> As of the 2025 excavation season — the project's fifth year — 219 scientists from 36 academic institutions across 21 countries are involved.</w:t>
      </w:r>
      <w:r>
        <w:rPr>
          <w:rStyle w:val="FootnoteReference"/>
        </w:rPr>
        <w:footnoteReference w:id="10"/>
      </w:r>
      <w:r>
        <w:t xml:space="preserve"> The assessment below draws on all publicly available data from official ministry briefings, peer-reviewed publications, UNESCO documentation, and specialist archaeological reporting through May 2026.</w:t>
      </w:r>
      <w:r>
        <w:rPr>
          <w:rStyle w:val="FootnoteReference"/>
        </w:rPr>
        <w:footnoteReference w:id="11"/>
      </w:r>
    </w:p>
    <w:p w14:paraId="7AF2D3B1"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F6C07" w14:paraId="166D3AD6" w14:textId="77777777">
        <w:tc>
          <w:tcPr>
            <w:tcW w:w="0" w:type="auto"/>
            <w:tcBorders>
              <w:top w:val="single" w:sz="6" w:space="0" w:color="2E5FA3"/>
              <w:left w:val="single" w:sz="6" w:space="0" w:color="2E5FA3"/>
              <w:bottom w:val="single" w:sz="6" w:space="0" w:color="2E5FA3"/>
              <w:right w:val="single" w:sz="6" w:space="0" w:color="2E5FA3"/>
            </w:tcBorders>
            <w:shd w:val="clear" w:color="auto" w:fill="EEF2F7"/>
            <w:tcMar>
              <w:top w:w="120" w:type="dxa"/>
              <w:left w:w="200" w:type="dxa"/>
              <w:bottom w:w="120" w:type="dxa"/>
              <w:right w:w="200" w:type="dxa"/>
            </w:tcMar>
          </w:tcPr>
          <w:p w14:paraId="50B03286" w14:textId="77777777" w:rsidR="009F6C07" w:rsidRDefault="00000000">
            <w:pPr>
              <w:spacing w:before="60" w:after="20"/>
            </w:pPr>
            <w:r>
              <w:rPr>
                <w:b/>
                <w:bCs/>
                <w:sz w:val="20"/>
                <w:szCs w:val="20"/>
              </w:rPr>
              <w:t>Score key:</w:t>
            </w:r>
          </w:p>
          <w:p w14:paraId="128F16E0" w14:textId="77777777" w:rsidR="009F6C07" w:rsidRDefault="00000000">
            <w:pPr>
              <w:spacing w:before="10" w:after="40"/>
            </w:pPr>
            <w:r>
              <w:rPr>
                <w:sz w:val="20"/>
                <w:szCs w:val="20"/>
              </w:rPr>
              <w:t xml:space="preserve">Green = 2 (clearly </w:t>
            </w:r>
            <w:proofErr w:type="gramStart"/>
            <w:r>
              <w:rPr>
                <w:sz w:val="20"/>
                <w:szCs w:val="20"/>
              </w:rPr>
              <w:t>evidenced)  |</w:t>
            </w:r>
            <w:proofErr w:type="gramEnd"/>
            <w:r>
              <w:rPr>
                <w:sz w:val="20"/>
                <w:szCs w:val="20"/>
              </w:rPr>
              <w:t xml:space="preserve">  Yellow = 1 (partial or </w:t>
            </w:r>
            <w:proofErr w:type="gramStart"/>
            <w:r>
              <w:rPr>
                <w:sz w:val="20"/>
                <w:szCs w:val="20"/>
              </w:rPr>
              <w:t>contested)  |</w:t>
            </w:r>
            <w:proofErr w:type="gramEnd"/>
            <w:r>
              <w:rPr>
                <w:sz w:val="20"/>
                <w:szCs w:val="20"/>
              </w:rPr>
              <w:t xml:space="preserve">  Red = 0 (</w:t>
            </w:r>
            <w:proofErr w:type="gramStart"/>
            <w:r>
              <w:rPr>
                <w:sz w:val="20"/>
                <w:szCs w:val="20"/>
              </w:rPr>
              <w:t>absent)  |</w:t>
            </w:r>
            <w:proofErr w:type="gramEnd"/>
            <w:r>
              <w:rPr>
                <w:sz w:val="20"/>
                <w:szCs w:val="20"/>
              </w:rPr>
              <w:t xml:space="preserve">  Final = </w:t>
            </w:r>
            <w:proofErr w:type="gramStart"/>
            <w:r>
              <w:rPr>
                <w:sz w:val="20"/>
                <w:szCs w:val="20"/>
              </w:rPr>
              <w:t>min(</w:t>
            </w:r>
            <w:proofErr w:type="gramEnd"/>
            <w:r>
              <w:rPr>
                <w:sz w:val="20"/>
                <w:szCs w:val="20"/>
              </w:rPr>
              <w:t>E, S)</w:t>
            </w:r>
          </w:p>
        </w:tc>
      </w:tr>
    </w:tbl>
    <w:p w14:paraId="7776E4B4" w14:textId="77777777" w:rsidR="009F6C07" w:rsidRDefault="009F6C07">
      <w:pPr>
        <w:spacing w:before="160"/>
      </w:pPr>
    </w:p>
    <w:p w14:paraId="2730B9BD" w14:textId="77777777" w:rsidR="009F6C07" w:rsidRDefault="00000000">
      <w:pPr>
        <w:pStyle w:val="Heading1"/>
      </w:pPr>
      <w:r>
        <w:t>2.  Site-by-Site FCP Scoring</w:t>
      </w:r>
    </w:p>
    <w:p w14:paraId="1352542A" w14:textId="77777777" w:rsidR="009F6C07" w:rsidRDefault="00000000">
      <w:pPr>
        <w:pStyle w:val="Heading2"/>
      </w:pPr>
      <w:proofErr w:type="gramStart"/>
      <w:r>
        <w:t xml:space="preserve">2.1  </w:t>
      </w:r>
      <w:proofErr w:type="spellStart"/>
      <w:r>
        <w:t>Göbekli</w:t>
      </w:r>
      <w:proofErr w:type="spellEnd"/>
      <w:proofErr w:type="gramEnd"/>
      <w:r>
        <w:t xml:space="preserve"> Tepe</w:t>
      </w:r>
    </w:p>
    <w:p w14:paraId="58739431" w14:textId="77777777" w:rsidR="009F6C07" w:rsidRDefault="00000000">
      <w:pPr>
        <w:spacing w:before="80" w:after="100"/>
        <w:jc w:val="both"/>
      </w:pPr>
      <w:r>
        <w:t>The anchor site and UNESCO World Heritage Site (2018). Active c. 9,600–8,000 BCE. Approximately 10% excavated; geophysical surveys confirm an estimated 20+ enclosures remain buried. The site underwent multiple building phases — Layer III oval enclosures transitioning to Layer II rectangular structures — with continuous T-pillar grammar throughout.</w:t>
      </w:r>
      <w:r>
        <w:rPr>
          <w:rStyle w:val="FootnoteReference"/>
        </w:rPr>
        <w:footnoteReference w:id="12"/>
      </w:r>
      <w:r>
        <w:rPr>
          <w:vertAlign w:val="superscript"/>
        </w:rPr>
        <w:t>,</w:t>
      </w:r>
      <w:r>
        <w:rPr>
          <w:rStyle w:val="FootnoteReference"/>
        </w:rPr>
        <w:footnoteReference w:id="13"/>
      </w:r>
    </w:p>
    <w:p w14:paraId="6508F9D5"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0"/>
        <w:gridCol w:w="498"/>
        <w:gridCol w:w="498"/>
        <w:gridCol w:w="644"/>
        <w:gridCol w:w="5530"/>
      </w:tblGrid>
      <w:tr w:rsidR="009F6C07" w14:paraId="0C064DEA" w14:textId="77777777">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4655F02" w14:textId="77777777" w:rsidR="009F6C07" w:rsidRDefault="00000000">
            <w:pPr>
              <w:jc w:val="center"/>
            </w:pPr>
            <w:r>
              <w:rPr>
                <w:b/>
                <w:bCs/>
                <w:color w:val="FFFFFF"/>
                <w:sz w:val="19"/>
                <w:szCs w:val="19"/>
              </w:rPr>
              <w:t>Observable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5FFAA884" w14:textId="77777777" w:rsidR="009F6C07" w:rsidRDefault="00000000">
            <w:pPr>
              <w:jc w:val="center"/>
            </w:pPr>
            <w:r>
              <w:rPr>
                <w:b/>
                <w:bCs/>
                <w:color w:val="FFFFFF"/>
                <w:sz w:val="19"/>
                <w:szCs w:val="19"/>
              </w:rPr>
              <w:t>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E1FB329" w14:textId="77777777" w:rsidR="009F6C07" w:rsidRDefault="00000000">
            <w:pPr>
              <w:jc w:val="center"/>
            </w:pPr>
            <w:r>
              <w:rPr>
                <w:b/>
                <w:bCs/>
                <w:color w:val="FFFFFF"/>
                <w:sz w:val="19"/>
                <w:szCs w:val="19"/>
              </w:rPr>
              <w:t>S</w:t>
            </w:r>
          </w:p>
        </w:tc>
        <w:tc>
          <w:tcPr>
            <w:tcW w:w="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1128F241" w14:textId="77777777" w:rsidR="009F6C07" w:rsidRDefault="00000000">
            <w:pPr>
              <w:jc w:val="center"/>
            </w:pPr>
            <w:r>
              <w:rPr>
                <w:b/>
                <w:bCs/>
                <w:color w:val="FFFFFF"/>
                <w:sz w:val="19"/>
                <w:szCs w:val="19"/>
              </w:rPr>
              <w:t>Final</w:t>
            </w:r>
          </w:p>
        </w:tc>
        <w:tc>
          <w:tcPr>
            <w:tcW w:w="5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6AE27097" w14:textId="77777777" w:rsidR="009F6C07" w:rsidRDefault="00000000">
            <w:pPr>
              <w:jc w:val="center"/>
            </w:pPr>
            <w:r>
              <w:rPr>
                <w:b/>
                <w:bCs/>
                <w:color w:val="FFFFFF"/>
                <w:sz w:val="19"/>
                <w:szCs w:val="19"/>
              </w:rPr>
              <w:t>Evidence Summary</w:t>
            </w:r>
          </w:p>
        </w:tc>
      </w:tr>
      <w:tr w:rsidR="009F6C07" w14:paraId="2216DF35"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68E7C3A0" w14:textId="77777777" w:rsidR="009F6C07" w:rsidRDefault="00000000">
            <w:pPr>
              <w:jc w:val="both"/>
            </w:pPr>
            <w:r>
              <w:rPr>
                <w:b/>
                <w:bCs/>
                <w:sz w:val="20"/>
                <w:szCs w:val="20"/>
              </w:rPr>
              <w:t>MA — Mnemonic Architectures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E48C51E"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68BECA44"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A627FA5"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C7E131" w14:textId="77777777" w:rsidR="009F6C07" w:rsidRDefault="00000000">
            <w:pPr>
              <w:jc w:val="both"/>
            </w:pPr>
            <w:r>
              <w:rPr>
                <w:sz w:val="20"/>
                <w:szCs w:val="20"/>
              </w:rPr>
              <w:t>20+ circular/oval enclosures, 10–30m diameter; T-pillars up to 6m, weighing 16 tons; bilateral central pillar pairs with peripheral bench arrangement; spatial axiality replicated across all enclosures; architectural program active for 1,600 years across multiple building phases.</w:t>
            </w:r>
          </w:p>
        </w:tc>
      </w:tr>
      <w:tr w:rsidR="009F6C07" w14:paraId="4276F671"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627DB5E4" w14:textId="77777777" w:rsidR="009F6C07" w:rsidRDefault="00000000">
            <w:pPr>
              <w:jc w:val="both"/>
            </w:pPr>
            <w:r>
              <w:rPr>
                <w:b/>
                <w:bCs/>
                <w:sz w:val="20"/>
                <w:szCs w:val="20"/>
              </w:rPr>
              <w:t>SS — Symbolic Stabilization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BB7CA2B"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4D37B09"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6023D093"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057C1B" w14:textId="77777777" w:rsidR="009F6C07" w:rsidRDefault="00000000">
            <w:pPr>
              <w:jc w:val="both"/>
            </w:pPr>
            <w:r>
              <w:rPr>
                <w:sz w:val="20"/>
                <w:szCs w:val="20"/>
              </w:rPr>
              <w:t>Identical T-pillar grammar across Layers III and II; zoomorphic vocabulary — snakes most common, followed by foxes, vultures, wild boar, aurochs, cranes, scorpions — consistently deployed; anthropomorphic encoding (arms, hands, belt, loincloth) on central pillars confirmed in all major enclosures.</w:t>
            </w:r>
          </w:p>
        </w:tc>
      </w:tr>
      <w:tr w:rsidR="009F6C07" w14:paraId="66358B57"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68D936B3" w14:textId="77777777" w:rsidR="009F6C07" w:rsidRDefault="00000000">
            <w:pPr>
              <w:jc w:val="both"/>
            </w:pPr>
            <w:r>
              <w:rPr>
                <w:b/>
                <w:bCs/>
                <w:sz w:val="20"/>
                <w:szCs w:val="20"/>
              </w:rPr>
              <w:t>EC — Externalized Cognition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0144F36"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62FB0D1"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E9F38D5"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544DB2" w14:textId="77777777" w:rsidR="009F6C07" w:rsidRDefault="00000000">
            <w:pPr>
              <w:jc w:val="both"/>
            </w:pPr>
            <w:r>
              <w:rPr>
                <w:sz w:val="20"/>
                <w:szCs w:val="20"/>
              </w:rPr>
              <w:t>Pillar 43, Enclosure D: headless human figure beneath scorpion and vulture — narrative scene encoded in stone; human figurine placed as votive offering inside Structure D wall (2025 season) = individual memory deposited permanently in architectural substrate.</w:t>
            </w:r>
          </w:p>
        </w:tc>
      </w:tr>
      <w:tr w:rsidR="009F6C07" w14:paraId="1F78E440"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2F2F751A" w14:textId="77777777" w:rsidR="009F6C07" w:rsidRDefault="00000000">
            <w:pPr>
              <w:jc w:val="both"/>
            </w:pPr>
            <w:r>
              <w:rPr>
                <w:b/>
                <w:bCs/>
                <w:sz w:val="20"/>
                <w:szCs w:val="20"/>
              </w:rPr>
              <w:t>SR — Symbolic Regulation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AAC40E2"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D420128"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8333A50"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5106A5" w14:textId="77777777" w:rsidR="009F6C07" w:rsidRDefault="00000000">
            <w:pPr>
              <w:jc w:val="both"/>
            </w:pPr>
            <w:r>
              <w:rPr>
                <w:sz w:val="20"/>
                <w:szCs w:val="20"/>
              </w:rPr>
              <w:t>Spatial layout encodes access hierarchy: peripheral pillar ring contains and channels movement toward central pair; no domestic function in earliest phases — site structurally dedicated to collective symbolic activity; regulated enclosure lifecycle (decommissioning followed by new construction above).</w:t>
            </w:r>
          </w:p>
        </w:tc>
      </w:tr>
      <w:tr w:rsidR="009F6C07" w14:paraId="158E0C08"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7BD92BD6" w14:textId="77777777" w:rsidR="009F6C07" w:rsidRDefault="00000000">
            <w:pPr>
              <w:jc w:val="both"/>
            </w:pPr>
            <w:r>
              <w:rPr>
                <w:b/>
                <w:bCs/>
                <w:sz w:val="20"/>
                <w:szCs w:val="20"/>
              </w:rPr>
              <w:t>DSA — Distributed Symbolic Auth.</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573A09C"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FE561DA"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DE7D897"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6CDE04" w14:textId="77777777" w:rsidR="009F6C07" w:rsidRDefault="00000000">
            <w:pPr>
              <w:jc w:val="both"/>
            </w:pPr>
            <w:r>
              <w:rPr>
                <w:sz w:val="20"/>
                <w:szCs w:val="20"/>
              </w:rPr>
              <w:t>No administrative artifacts; no identifiable specialist priestly class; shared iconographic vocabulary across 200km landscape implies community-wide symbolic competence; coordinated quarrying and transport of multi-ton pillars without coercive hierarchy = distributed symbolic motivation.</w:t>
            </w:r>
          </w:p>
        </w:tc>
      </w:tr>
      <w:tr w:rsidR="009F6C07" w14:paraId="09DE953C"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05705AD0" w14:textId="77777777" w:rsidR="009F6C07" w:rsidRDefault="00000000">
            <w:pPr>
              <w:jc w:val="both"/>
            </w:pPr>
            <w:r>
              <w:rPr>
                <w:b/>
                <w:bCs/>
                <w:sz w:val="20"/>
                <w:szCs w:val="20"/>
              </w:rPr>
              <w:t>PSA — Portable Symbolic Anchors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258911D"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AC3DE2D"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72F399E"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C230FF" w14:textId="77777777" w:rsidR="009F6C07" w:rsidRDefault="00000000">
            <w:pPr>
              <w:jc w:val="both"/>
            </w:pPr>
            <w:r>
              <w:rPr>
                <w:sz w:val="20"/>
                <w:szCs w:val="20"/>
              </w:rPr>
              <w:t xml:space="preserve">Stone vessels, shaft-straighteners, and small figurines sharing Taş </w:t>
            </w:r>
            <w:proofErr w:type="spellStart"/>
            <w:r>
              <w:rPr>
                <w:sz w:val="20"/>
                <w:szCs w:val="20"/>
              </w:rPr>
              <w:t>Tepeler</w:t>
            </w:r>
            <w:proofErr w:type="spellEnd"/>
            <w:r>
              <w:rPr>
                <w:sz w:val="20"/>
                <w:szCs w:val="20"/>
              </w:rPr>
              <w:t xml:space="preserve"> iconographic vocabulary; same motifs at miniaturized scale; UNESCO confirms imagery appears at contemporaneous sites across the region, confirming inter-site symbolic transmission.</w:t>
            </w:r>
          </w:p>
        </w:tc>
      </w:tr>
      <w:tr w:rsidR="009F6C07" w14:paraId="0A05D627" w14:textId="77777777">
        <w:tc>
          <w:tcPr>
            <w:tcW w:w="3200" w:type="dxa"/>
            <w:gridSpan w:val="3"/>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3B0FD62B" w14:textId="77777777" w:rsidR="009F6C07" w:rsidRDefault="00000000">
            <w:r>
              <w:rPr>
                <w:b/>
                <w:bCs/>
                <w:color w:val="FFFFFF"/>
                <w:sz w:val="20"/>
                <w:szCs w:val="20"/>
              </w:rPr>
              <w:t xml:space="preserve">COMPOSITE — </w:t>
            </w:r>
            <w:proofErr w:type="spellStart"/>
            <w:r>
              <w:rPr>
                <w:b/>
                <w:bCs/>
                <w:color w:val="FFFFFF"/>
                <w:sz w:val="20"/>
                <w:szCs w:val="20"/>
              </w:rPr>
              <w:t>Göbekli</w:t>
            </w:r>
            <w:proofErr w:type="spellEnd"/>
            <w:r>
              <w:rPr>
                <w:b/>
                <w:bCs/>
                <w:color w:val="FFFFFF"/>
                <w:sz w:val="20"/>
                <w:szCs w:val="20"/>
              </w:rPr>
              <w:t xml:space="preserve"> Tepe</w:t>
            </w:r>
          </w:p>
        </w:tc>
        <w:tc>
          <w:tcPr>
            <w:tcW w:w="6160" w:type="dxa"/>
            <w:gridSpan w:val="2"/>
            <w:tcBorders>
              <w:top w:val="single" w:sz="1" w:space="0" w:color="CCCCCC"/>
              <w:left w:val="single" w:sz="1" w:space="0" w:color="CCCCCC"/>
              <w:bottom w:val="single" w:sz="1" w:space="0" w:color="CCCCCC"/>
              <w:right w:val="single" w:sz="1" w:space="0" w:color="CCCCCC"/>
            </w:tcBorders>
            <w:shd w:val="clear" w:color="auto" w:fill="D5E8D4"/>
            <w:tcMar>
              <w:top w:w="70" w:type="dxa"/>
              <w:left w:w="100" w:type="dxa"/>
              <w:bottom w:w="70" w:type="dxa"/>
              <w:right w:w="100" w:type="dxa"/>
            </w:tcMar>
          </w:tcPr>
          <w:p w14:paraId="69981260" w14:textId="77777777" w:rsidR="009F6C07" w:rsidRDefault="00000000">
            <w:pPr>
              <w:jc w:val="center"/>
            </w:pPr>
            <w:r>
              <w:rPr>
                <w:b/>
                <w:bCs/>
              </w:rPr>
              <w:t>12 / 12</w:t>
            </w:r>
          </w:p>
        </w:tc>
      </w:tr>
    </w:tbl>
    <w:p w14:paraId="1CF55183" w14:textId="77777777" w:rsidR="009F6C07" w:rsidRDefault="009F6C07">
      <w:pPr>
        <w:spacing w:before="160"/>
      </w:pPr>
    </w:p>
    <w:p w14:paraId="0A44E30A" w14:textId="77777777" w:rsidR="009F6C07" w:rsidRDefault="00000000">
      <w:pPr>
        <w:pStyle w:val="Heading2"/>
      </w:pPr>
      <w:proofErr w:type="gramStart"/>
      <w:r>
        <w:t xml:space="preserve">2.2  </w:t>
      </w:r>
      <w:proofErr w:type="spellStart"/>
      <w:r>
        <w:t>Karahantepe</w:t>
      </w:r>
      <w:proofErr w:type="spellEnd"/>
      <w:proofErr w:type="gramEnd"/>
    </w:p>
    <w:p w14:paraId="0FC69EF3" w14:textId="77777777" w:rsidR="009F6C07" w:rsidRDefault="00000000">
      <w:pPr>
        <w:spacing w:before="80" w:after="100"/>
        <w:jc w:val="both"/>
      </w:pPr>
      <w:r>
        <w:t xml:space="preserve">Located 35km east of </w:t>
      </w:r>
      <w:proofErr w:type="spellStart"/>
      <w:r>
        <w:t>Göbekli</w:t>
      </w:r>
      <w:proofErr w:type="spellEnd"/>
      <w:r>
        <w:t xml:space="preserve"> Tepe. Dated c. 9,500 BCE. The 2025 season produced the first T-shaped pillar with a three-dimensional human face — confirming the long-held interpretation that T-pillars are anthropomorphic encodings — alongside a 230cm phallic human statue and a second human figure in a 17-meter ritual structure.</w:t>
      </w:r>
      <w:r>
        <w:rPr>
          <w:rStyle w:val="FootnoteReference"/>
        </w:rPr>
        <w:footnoteReference w:id="14"/>
      </w:r>
      <w:r>
        <w:rPr>
          <w:vertAlign w:val="superscript"/>
        </w:rPr>
        <w:t>,</w:t>
      </w:r>
      <w:r>
        <w:rPr>
          <w:rStyle w:val="FootnoteReference"/>
        </w:rPr>
        <w:footnoteReference w:id="15"/>
      </w:r>
    </w:p>
    <w:p w14:paraId="51CC791D"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0"/>
        <w:gridCol w:w="498"/>
        <w:gridCol w:w="498"/>
        <w:gridCol w:w="644"/>
        <w:gridCol w:w="5530"/>
      </w:tblGrid>
      <w:tr w:rsidR="009F6C07" w14:paraId="4D9B2029" w14:textId="77777777">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C4F2727" w14:textId="77777777" w:rsidR="009F6C07" w:rsidRDefault="00000000">
            <w:pPr>
              <w:jc w:val="center"/>
            </w:pPr>
            <w:r>
              <w:rPr>
                <w:b/>
                <w:bCs/>
                <w:color w:val="FFFFFF"/>
                <w:sz w:val="19"/>
                <w:szCs w:val="19"/>
              </w:rPr>
              <w:t>Observable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739DBFEF" w14:textId="77777777" w:rsidR="009F6C07" w:rsidRDefault="00000000">
            <w:pPr>
              <w:jc w:val="center"/>
            </w:pPr>
            <w:r>
              <w:rPr>
                <w:b/>
                <w:bCs/>
                <w:color w:val="FFFFFF"/>
                <w:sz w:val="19"/>
                <w:szCs w:val="19"/>
              </w:rPr>
              <w:t>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05D91995" w14:textId="77777777" w:rsidR="009F6C07" w:rsidRDefault="00000000">
            <w:pPr>
              <w:jc w:val="center"/>
            </w:pPr>
            <w:r>
              <w:rPr>
                <w:b/>
                <w:bCs/>
                <w:color w:val="FFFFFF"/>
                <w:sz w:val="19"/>
                <w:szCs w:val="19"/>
              </w:rPr>
              <w:t>S</w:t>
            </w:r>
          </w:p>
        </w:tc>
        <w:tc>
          <w:tcPr>
            <w:tcW w:w="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74B70FDD" w14:textId="77777777" w:rsidR="009F6C07" w:rsidRDefault="00000000">
            <w:pPr>
              <w:jc w:val="center"/>
            </w:pPr>
            <w:r>
              <w:rPr>
                <w:b/>
                <w:bCs/>
                <w:color w:val="FFFFFF"/>
                <w:sz w:val="19"/>
                <w:szCs w:val="19"/>
              </w:rPr>
              <w:t>Final</w:t>
            </w:r>
          </w:p>
        </w:tc>
        <w:tc>
          <w:tcPr>
            <w:tcW w:w="5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DE88DF8" w14:textId="77777777" w:rsidR="009F6C07" w:rsidRDefault="00000000">
            <w:pPr>
              <w:jc w:val="center"/>
            </w:pPr>
            <w:r>
              <w:rPr>
                <w:b/>
                <w:bCs/>
                <w:color w:val="FFFFFF"/>
                <w:sz w:val="19"/>
                <w:szCs w:val="19"/>
              </w:rPr>
              <w:t>Evidence Summary</w:t>
            </w:r>
          </w:p>
        </w:tc>
      </w:tr>
      <w:tr w:rsidR="009F6C07" w14:paraId="5E88F046"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32DA028" w14:textId="77777777" w:rsidR="009F6C07" w:rsidRDefault="00000000">
            <w:pPr>
              <w:jc w:val="both"/>
            </w:pPr>
            <w:r>
              <w:rPr>
                <w:b/>
                <w:bCs/>
                <w:sz w:val="20"/>
                <w:szCs w:val="20"/>
              </w:rPr>
              <w:t>MA — Mnemonic Architectures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8660184"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C54D669"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DB2291F"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E08632" w14:textId="77777777" w:rsidR="009F6C07" w:rsidRDefault="00000000">
            <w:pPr>
              <w:jc w:val="both"/>
            </w:pPr>
            <w:r>
              <w:rPr>
                <w:sz w:val="20"/>
                <w:szCs w:val="20"/>
              </w:rPr>
              <w:t xml:space="preserve">250+ T-shaped pillars found in situ; rock-cut ritual chamber carved directly into bedrock; 17-meter ritual structure with fully clarified floor plan (2025 season); spatial organization centers the human body — a distinct but formally equivalent architectural grammar to </w:t>
            </w:r>
            <w:proofErr w:type="spellStart"/>
            <w:r>
              <w:rPr>
                <w:sz w:val="20"/>
                <w:szCs w:val="20"/>
              </w:rPr>
              <w:t>Göbekli</w:t>
            </w:r>
            <w:proofErr w:type="spellEnd"/>
            <w:r>
              <w:rPr>
                <w:sz w:val="20"/>
                <w:szCs w:val="20"/>
              </w:rPr>
              <w:t xml:space="preserve"> Tepe.</w:t>
            </w:r>
          </w:p>
        </w:tc>
      </w:tr>
      <w:tr w:rsidR="009F6C07" w14:paraId="391BA16C"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46768B8A" w14:textId="77777777" w:rsidR="009F6C07" w:rsidRDefault="00000000">
            <w:pPr>
              <w:jc w:val="both"/>
            </w:pPr>
            <w:r>
              <w:rPr>
                <w:b/>
                <w:bCs/>
                <w:sz w:val="20"/>
                <w:szCs w:val="20"/>
              </w:rPr>
              <w:t>SS — Symbolic Stabilization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CD40C5E"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DEB46D0"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608A381"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757523" w14:textId="77777777" w:rsidR="009F6C07" w:rsidRDefault="00000000">
            <w:pPr>
              <w:jc w:val="both"/>
            </w:pPr>
            <w:r>
              <w:rPr>
                <w:sz w:val="20"/>
                <w:szCs w:val="20"/>
              </w:rPr>
              <w:t>2025 T-pillar with three-dimensional human face confirms anthropomorphic encoding is stable and intentional across multiple construction phases; phallic imagery, anatomically realistic human statues, life-scale figures = recurrent symbolic register centered on human body and identity.</w:t>
            </w:r>
          </w:p>
        </w:tc>
      </w:tr>
      <w:tr w:rsidR="009F6C07" w14:paraId="16913755"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740C80AD" w14:textId="77777777" w:rsidR="009F6C07" w:rsidRDefault="00000000">
            <w:pPr>
              <w:jc w:val="both"/>
            </w:pPr>
            <w:r>
              <w:rPr>
                <w:b/>
                <w:bCs/>
                <w:sz w:val="20"/>
                <w:szCs w:val="20"/>
              </w:rPr>
              <w:t>EC — Externalized Cognition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EB161E3"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60510AB"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B5D235F"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22D6A5" w14:textId="77777777" w:rsidR="009F6C07" w:rsidRDefault="00000000">
            <w:pPr>
              <w:jc w:val="both"/>
            </w:pPr>
            <w:r>
              <w:rPr>
                <w:sz w:val="20"/>
                <w:szCs w:val="20"/>
              </w:rPr>
              <w:t>230cm statue of man holding phallus = life-scale human figure as symbolic object; skulls with hundreds of deliberate cut-marks and controlled fire exposure = post-mortem ritual processing externalized onto the body; the human skull as durable mnemonic object, the deceased made permanent in the symbolic economy of the living.</w:t>
            </w:r>
          </w:p>
        </w:tc>
      </w:tr>
      <w:tr w:rsidR="009F6C07" w14:paraId="17C18E42"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C0484FB" w14:textId="77777777" w:rsidR="009F6C07" w:rsidRDefault="00000000">
            <w:pPr>
              <w:jc w:val="both"/>
            </w:pPr>
            <w:r>
              <w:rPr>
                <w:b/>
                <w:bCs/>
                <w:sz w:val="20"/>
                <w:szCs w:val="20"/>
              </w:rPr>
              <w:t>SR — Symbolic Regulation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346E6781"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A857CEF"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3E1691B9"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E14931" w14:textId="77777777" w:rsidR="009F6C07" w:rsidRDefault="00000000">
            <w:pPr>
              <w:jc w:val="both"/>
            </w:pPr>
            <w:r>
              <w:rPr>
                <w:sz w:val="20"/>
                <w:szCs w:val="20"/>
              </w:rPr>
              <w:t>Rock-cut architecture encodes spatial regulation in bedrock itself — irreversible; ritual structures architecturally separated from domestic and subsistence areas; access to ritual chamber physically constrained by rock-cut entrance geometry.</w:t>
            </w:r>
          </w:p>
        </w:tc>
      </w:tr>
      <w:tr w:rsidR="009F6C07" w14:paraId="46D5217E"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777B28F5" w14:textId="77777777" w:rsidR="009F6C07" w:rsidRDefault="00000000">
            <w:pPr>
              <w:jc w:val="both"/>
            </w:pPr>
            <w:r>
              <w:rPr>
                <w:b/>
                <w:bCs/>
                <w:sz w:val="20"/>
                <w:szCs w:val="20"/>
              </w:rPr>
              <w:t>DSA — Distributed Symbolic Auth.</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ADF2B93"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6E9787E2"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644CF01"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C63466" w14:textId="77777777" w:rsidR="009F6C07" w:rsidRDefault="00000000">
            <w:pPr>
              <w:jc w:val="both"/>
            </w:pPr>
            <w:r>
              <w:rPr>
                <w:sz w:val="20"/>
                <w:szCs w:val="20"/>
              </w:rPr>
              <w:t>Female figurines found in multiple domestic contexts alongside monumental public sculpture = symbolic production confirmed at household scale; no identifiable specialist class; labor mobilization for 250+ pillar construction = community-wide participation.</w:t>
            </w:r>
          </w:p>
        </w:tc>
      </w:tr>
      <w:tr w:rsidR="009F6C07" w14:paraId="6AFA3B70"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7972C2F3" w14:textId="77777777" w:rsidR="009F6C07" w:rsidRDefault="00000000">
            <w:pPr>
              <w:jc w:val="both"/>
            </w:pPr>
            <w:r>
              <w:rPr>
                <w:b/>
                <w:bCs/>
                <w:sz w:val="20"/>
                <w:szCs w:val="20"/>
              </w:rPr>
              <w:t>PSA — Portable Symbolic Anchors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2ADDEDC"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34B7E0F"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22FBAA7"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184ACC" w14:textId="77777777" w:rsidR="009F6C07" w:rsidRDefault="00000000">
            <w:pPr>
              <w:jc w:val="both"/>
            </w:pPr>
            <w:r>
              <w:rPr>
                <w:sz w:val="20"/>
                <w:szCs w:val="20"/>
              </w:rPr>
              <w:t xml:space="preserve">Double-faced human figurine motif shared with </w:t>
            </w:r>
            <w:proofErr w:type="spellStart"/>
            <w:r>
              <w:rPr>
                <w:sz w:val="20"/>
                <w:szCs w:val="20"/>
              </w:rPr>
              <w:t>Sayburç</w:t>
            </w:r>
            <w:proofErr w:type="spellEnd"/>
            <w:r>
              <w:rPr>
                <w:sz w:val="20"/>
                <w:szCs w:val="20"/>
              </w:rPr>
              <w:t xml:space="preserve">; bead-scale version of this motif found at </w:t>
            </w:r>
            <w:proofErr w:type="spellStart"/>
            <w:r>
              <w:rPr>
                <w:sz w:val="20"/>
                <w:szCs w:val="20"/>
              </w:rPr>
              <w:t>Sefertepe</w:t>
            </w:r>
            <w:proofErr w:type="spellEnd"/>
            <w:r>
              <w:rPr>
                <w:sz w:val="20"/>
                <w:szCs w:val="20"/>
              </w:rPr>
              <w:t xml:space="preserve"> (2025) confirms miniaturized portable transmission of the same symbolic content across the landscape at personal scale.</w:t>
            </w:r>
          </w:p>
        </w:tc>
      </w:tr>
      <w:tr w:rsidR="009F6C07" w14:paraId="6EA11722" w14:textId="77777777">
        <w:tc>
          <w:tcPr>
            <w:tcW w:w="3200" w:type="dxa"/>
            <w:gridSpan w:val="3"/>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1CC734E5" w14:textId="77777777" w:rsidR="009F6C07" w:rsidRDefault="00000000">
            <w:r>
              <w:rPr>
                <w:b/>
                <w:bCs/>
                <w:color w:val="FFFFFF"/>
                <w:sz w:val="20"/>
                <w:szCs w:val="20"/>
              </w:rPr>
              <w:t xml:space="preserve">COMPOSITE — </w:t>
            </w:r>
            <w:proofErr w:type="spellStart"/>
            <w:r>
              <w:rPr>
                <w:b/>
                <w:bCs/>
                <w:color w:val="FFFFFF"/>
                <w:sz w:val="20"/>
                <w:szCs w:val="20"/>
              </w:rPr>
              <w:t>Karahantepe</w:t>
            </w:r>
            <w:proofErr w:type="spellEnd"/>
          </w:p>
        </w:tc>
        <w:tc>
          <w:tcPr>
            <w:tcW w:w="6160" w:type="dxa"/>
            <w:gridSpan w:val="2"/>
            <w:tcBorders>
              <w:top w:val="single" w:sz="1" w:space="0" w:color="CCCCCC"/>
              <w:left w:val="single" w:sz="1" w:space="0" w:color="CCCCCC"/>
              <w:bottom w:val="single" w:sz="1" w:space="0" w:color="CCCCCC"/>
              <w:right w:val="single" w:sz="1" w:space="0" w:color="CCCCCC"/>
            </w:tcBorders>
            <w:shd w:val="clear" w:color="auto" w:fill="D5E8D4"/>
            <w:tcMar>
              <w:top w:w="70" w:type="dxa"/>
              <w:left w:w="100" w:type="dxa"/>
              <w:bottom w:w="70" w:type="dxa"/>
              <w:right w:w="100" w:type="dxa"/>
            </w:tcMar>
          </w:tcPr>
          <w:p w14:paraId="2144FCC0" w14:textId="77777777" w:rsidR="009F6C07" w:rsidRDefault="00000000">
            <w:pPr>
              <w:jc w:val="center"/>
            </w:pPr>
            <w:r>
              <w:rPr>
                <w:b/>
                <w:bCs/>
              </w:rPr>
              <w:t>12 / 12</w:t>
            </w:r>
          </w:p>
        </w:tc>
      </w:tr>
    </w:tbl>
    <w:p w14:paraId="350154D6" w14:textId="77777777" w:rsidR="009F6C07" w:rsidRDefault="009F6C07">
      <w:pPr>
        <w:spacing w:before="160"/>
      </w:pPr>
    </w:p>
    <w:p w14:paraId="0F20555C" w14:textId="77777777" w:rsidR="009F6C07" w:rsidRDefault="00000000">
      <w:pPr>
        <w:pStyle w:val="Heading2"/>
      </w:pPr>
      <w:proofErr w:type="gramStart"/>
      <w:r>
        <w:t xml:space="preserve">2.3  </w:t>
      </w:r>
      <w:proofErr w:type="spellStart"/>
      <w:r>
        <w:t>Sayburç</w:t>
      </w:r>
      <w:proofErr w:type="spellEnd"/>
      <w:proofErr w:type="gramEnd"/>
    </w:p>
    <w:p w14:paraId="66776610" w14:textId="77777777" w:rsidR="009F6C07" w:rsidRDefault="00000000">
      <w:pPr>
        <w:spacing w:before="80" w:after="100"/>
        <w:jc w:val="both"/>
      </w:pPr>
      <w:r>
        <w:lastRenderedPageBreak/>
        <w:t>Notable for the first confirmed narrative relief scene in the Pre-Pottery Neolithic: two humans, two leopards, a snake, and a boar in a compositionally structured scene.</w:t>
      </w:r>
      <w:r>
        <w:rPr>
          <w:rStyle w:val="FootnoteReference"/>
        </w:rPr>
        <w:footnoteReference w:id="16"/>
      </w:r>
      <w:r>
        <w:t xml:space="preserve"> The 2025 season revealed a sculpture of a deceased individual with a stitched mouth — the most explicit symbolic representation of death yet documented in the landscape.</w:t>
      </w:r>
      <w:r>
        <w:rPr>
          <w:rStyle w:val="FootnoteReference"/>
        </w:rPr>
        <w:footnoteReference w:id="17"/>
      </w:r>
    </w:p>
    <w:p w14:paraId="0D936422"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1"/>
        <w:gridCol w:w="498"/>
        <w:gridCol w:w="498"/>
        <w:gridCol w:w="644"/>
        <w:gridCol w:w="5529"/>
      </w:tblGrid>
      <w:tr w:rsidR="009F6C07" w14:paraId="56617BE4" w14:textId="77777777">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6A752A8A" w14:textId="77777777" w:rsidR="009F6C07" w:rsidRDefault="00000000">
            <w:pPr>
              <w:jc w:val="center"/>
            </w:pPr>
            <w:r>
              <w:rPr>
                <w:b/>
                <w:bCs/>
                <w:color w:val="FFFFFF"/>
                <w:sz w:val="19"/>
                <w:szCs w:val="19"/>
              </w:rPr>
              <w:t>Observable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BEDE732" w14:textId="77777777" w:rsidR="009F6C07" w:rsidRDefault="00000000">
            <w:pPr>
              <w:jc w:val="center"/>
            </w:pPr>
            <w:r>
              <w:rPr>
                <w:b/>
                <w:bCs/>
                <w:color w:val="FFFFFF"/>
                <w:sz w:val="19"/>
                <w:szCs w:val="19"/>
              </w:rPr>
              <w:t>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60CB34B1" w14:textId="77777777" w:rsidR="009F6C07" w:rsidRDefault="00000000">
            <w:pPr>
              <w:jc w:val="center"/>
            </w:pPr>
            <w:r>
              <w:rPr>
                <w:b/>
                <w:bCs/>
                <w:color w:val="FFFFFF"/>
                <w:sz w:val="19"/>
                <w:szCs w:val="19"/>
              </w:rPr>
              <w:t>S</w:t>
            </w:r>
          </w:p>
        </w:tc>
        <w:tc>
          <w:tcPr>
            <w:tcW w:w="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6EB147BC" w14:textId="77777777" w:rsidR="009F6C07" w:rsidRDefault="00000000">
            <w:pPr>
              <w:jc w:val="center"/>
            </w:pPr>
            <w:r>
              <w:rPr>
                <w:b/>
                <w:bCs/>
                <w:color w:val="FFFFFF"/>
                <w:sz w:val="19"/>
                <w:szCs w:val="19"/>
              </w:rPr>
              <w:t>Final</w:t>
            </w:r>
          </w:p>
        </w:tc>
        <w:tc>
          <w:tcPr>
            <w:tcW w:w="5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219E48B" w14:textId="77777777" w:rsidR="009F6C07" w:rsidRDefault="00000000">
            <w:pPr>
              <w:jc w:val="center"/>
            </w:pPr>
            <w:r>
              <w:rPr>
                <w:b/>
                <w:bCs/>
                <w:color w:val="FFFFFF"/>
                <w:sz w:val="19"/>
                <w:szCs w:val="19"/>
              </w:rPr>
              <w:t>Evidence Summary</w:t>
            </w:r>
          </w:p>
        </w:tc>
      </w:tr>
      <w:tr w:rsidR="009F6C07" w14:paraId="3E406590"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74DABA08" w14:textId="77777777" w:rsidR="009F6C07" w:rsidRDefault="00000000">
            <w:pPr>
              <w:jc w:val="both"/>
            </w:pPr>
            <w:r>
              <w:rPr>
                <w:b/>
                <w:bCs/>
                <w:sz w:val="20"/>
                <w:szCs w:val="20"/>
              </w:rPr>
              <w:t>MA — Mnemonic Architectures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61FCDCE"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D2705EC"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D1AD70C"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B8B68E" w14:textId="77777777" w:rsidR="009F6C07" w:rsidRDefault="00000000">
            <w:pPr>
              <w:jc w:val="both"/>
            </w:pPr>
            <w:r>
              <w:rPr>
                <w:sz w:val="20"/>
                <w:szCs w:val="20"/>
              </w:rPr>
              <w:t>Stone circles cut into bedrock; carved benches; stone-walled domestic remains alongside communal structures — symbolic encoding integrated into the full built environment, not confined to dedicated ceremonial spaces.</w:t>
            </w:r>
          </w:p>
        </w:tc>
      </w:tr>
      <w:tr w:rsidR="009F6C07" w14:paraId="7B84D881"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47852871" w14:textId="77777777" w:rsidR="009F6C07" w:rsidRDefault="00000000">
            <w:pPr>
              <w:jc w:val="both"/>
            </w:pPr>
            <w:r>
              <w:rPr>
                <w:b/>
                <w:bCs/>
                <w:sz w:val="20"/>
                <w:szCs w:val="20"/>
              </w:rPr>
              <w:t>SS — Symbolic Stabilization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A6D5CCD"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308E17F0"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6392881"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D3C04A" w14:textId="77777777" w:rsidR="009F6C07" w:rsidRDefault="00000000">
            <w:pPr>
              <w:jc w:val="both"/>
            </w:pPr>
            <w:r>
              <w:rPr>
                <w:sz w:val="20"/>
                <w:szCs w:val="20"/>
              </w:rPr>
              <w:t xml:space="preserve">Hunting/ritual narrative scene compositionally structured (non-random); human figure with V-shaped necklace — a motif shared across Taş </w:t>
            </w:r>
            <w:proofErr w:type="spellStart"/>
            <w:r>
              <w:rPr>
                <w:sz w:val="20"/>
                <w:szCs w:val="20"/>
              </w:rPr>
              <w:t>Tepeler</w:t>
            </w:r>
            <w:proofErr w:type="spellEnd"/>
            <w:r>
              <w:rPr>
                <w:sz w:val="20"/>
                <w:szCs w:val="20"/>
              </w:rPr>
              <w:t xml:space="preserve"> sites; stitched-mouth death statue; tightly arranged skull and limb bone burial niches = multiple recurrent symbolic registers confirmed across seasons.</w:t>
            </w:r>
          </w:p>
        </w:tc>
      </w:tr>
      <w:tr w:rsidR="009F6C07" w14:paraId="1A2703B3"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3272D635" w14:textId="77777777" w:rsidR="009F6C07" w:rsidRDefault="00000000">
            <w:pPr>
              <w:jc w:val="both"/>
            </w:pPr>
            <w:r>
              <w:rPr>
                <w:b/>
                <w:bCs/>
                <w:sz w:val="20"/>
                <w:szCs w:val="20"/>
              </w:rPr>
              <w:t>EC — Externalized Cognition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A908724"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59D72C2"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448278F"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2283CB" w14:textId="77777777" w:rsidR="009F6C07" w:rsidRDefault="00000000">
            <w:pPr>
              <w:jc w:val="both"/>
            </w:pPr>
            <w:r>
              <w:rPr>
                <w:sz w:val="20"/>
                <w:szCs w:val="20"/>
              </w:rPr>
              <w:t>Stitched-mouth sculpture with shell-fragment eye sockets = explicit externalization of the phenomenology of death onto a durable object; the deceased encoded as a symbolic artifact, making individual memory permanent in stone.</w:t>
            </w:r>
          </w:p>
        </w:tc>
      </w:tr>
      <w:tr w:rsidR="009F6C07" w14:paraId="1DC2F052"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65C5B4BB" w14:textId="77777777" w:rsidR="009F6C07" w:rsidRDefault="00000000">
            <w:pPr>
              <w:jc w:val="both"/>
            </w:pPr>
            <w:r>
              <w:rPr>
                <w:b/>
                <w:bCs/>
                <w:sz w:val="20"/>
                <w:szCs w:val="20"/>
              </w:rPr>
              <w:t>SR — Symbolic Regulation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6CB34771"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34C8AE44"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1D2360E"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707846" w14:textId="77777777" w:rsidR="009F6C07" w:rsidRDefault="00000000">
            <w:pPr>
              <w:jc w:val="both"/>
            </w:pPr>
            <w:r>
              <w:rPr>
                <w:sz w:val="20"/>
                <w:szCs w:val="20"/>
              </w:rPr>
              <w:t>Public buildings display formal artistic programs = symbolic content administered at communal level; burial niches with tightly arranged crania and limb bones = regulated mortuary practice with spatial constraints on how the dead are positioned and preserved.</w:t>
            </w:r>
          </w:p>
        </w:tc>
      </w:tr>
      <w:tr w:rsidR="009F6C07" w14:paraId="7C3FF825"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A8A39ED" w14:textId="77777777" w:rsidR="009F6C07" w:rsidRDefault="00000000">
            <w:pPr>
              <w:jc w:val="both"/>
            </w:pPr>
            <w:r>
              <w:rPr>
                <w:b/>
                <w:bCs/>
                <w:sz w:val="20"/>
                <w:szCs w:val="20"/>
              </w:rPr>
              <w:t>DSA — Distributed Symbolic Auth.</w:t>
            </w:r>
          </w:p>
        </w:tc>
        <w:tc>
          <w:tcPr>
            <w:tcW w:w="5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03DD2586" w14:textId="77777777" w:rsidR="009F6C07" w:rsidRDefault="00000000">
            <w:pPr>
              <w:jc w:val="center"/>
            </w:pPr>
            <w:r>
              <w:rPr>
                <w:b/>
                <w:bCs/>
                <w:color w:val="7D6608"/>
              </w:rPr>
              <w:t>1</w:t>
            </w:r>
          </w:p>
        </w:tc>
        <w:tc>
          <w:tcPr>
            <w:tcW w:w="5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55F532C9" w14:textId="77777777" w:rsidR="009F6C07" w:rsidRDefault="00000000">
            <w:pPr>
              <w:jc w:val="center"/>
            </w:pPr>
            <w:r>
              <w:rPr>
                <w:b/>
                <w:bCs/>
                <w:color w:val="7D660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3AAA3032" w14:textId="77777777" w:rsidR="009F6C07" w:rsidRDefault="00000000">
            <w:pPr>
              <w:jc w:val="center"/>
            </w:pPr>
            <w:r>
              <w:rPr>
                <w:b/>
                <w:bCs/>
                <w:color w:val="7D6608"/>
              </w:rPr>
              <w:t>1</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07CC93" w14:textId="77777777" w:rsidR="009F6C07" w:rsidRDefault="00000000">
            <w:pPr>
              <w:jc w:val="both"/>
            </w:pPr>
            <w:r>
              <w:rPr>
                <w:sz w:val="20"/>
                <w:szCs w:val="20"/>
              </w:rPr>
              <w:t>Small female figurine (baked clay) found inside a domestic building = household-level symbolic production confirmed. Evidence for full social distribution of symbolic authority still accumulating across excavation seasons; current data does not resolve the degree of centralization.</w:t>
            </w:r>
          </w:p>
        </w:tc>
      </w:tr>
      <w:tr w:rsidR="009F6C07" w14:paraId="13882FCE"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3D1F8DFD" w14:textId="77777777" w:rsidR="009F6C07" w:rsidRDefault="00000000">
            <w:pPr>
              <w:jc w:val="both"/>
            </w:pPr>
            <w:r>
              <w:rPr>
                <w:b/>
                <w:bCs/>
                <w:sz w:val="20"/>
                <w:szCs w:val="20"/>
              </w:rPr>
              <w:t>PSA — Portable Symbolic Anchors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E9707FC"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31A5007"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37CCB3A"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8D29C5" w14:textId="77777777" w:rsidR="009F6C07" w:rsidRDefault="00000000">
            <w:pPr>
              <w:jc w:val="both"/>
            </w:pPr>
            <w:r>
              <w:rPr>
                <w:sz w:val="20"/>
                <w:szCs w:val="20"/>
              </w:rPr>
              <w:t xml:space="preserve">Double-faced human figurine motif shared with </w:t>
            </w:r>
            <w:proofErr w:type="spellStart"/>
            <w:r>
              <w:rPr>
                <w:sz w:val="20"/>
                <w:szCs w:val="20"/>
              </w:rPr>
              <w:t>Karahantepe</w:t>
            </w:r>
            <w:proofErr w:type="spellEnd"/>
            <w:r>
              <w:rPr>
                <w:sz w:val="20"/>
                <w:szCs w:val="20"/>
              </w:rPr>
              <w:t>; V-shaped necklace on relief figure matches representations at multiple sites = portable symbolic lexicon confirmed in circulation; bead-scale version confirms miniaturized transmission.</w:t>
            </w:r>
          </w:p>
        </w:tc>
      </w:tr>
      <w:tr w:rsidR="009F6C07" w14:paraId="6405A9DE" w14:textId="77777777">
        <w:tc>
          <w:tcPr>
            <w:tcW w:w="3200" w:type="dxa"/>
            <w:gridSpan w:val="3"/>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6A9E9F04" w14:textId="77777777" w:rsidR="009F6C07" w:rsidRDefault="00000000">
            <w:r>
              <w:rPr>
                <w:b/>
                <w:bCs/>
                <w:color w:val="FFFFFF"/>
                <w:sz w:val="20"/>
                <w:szCs w:val="20"/>
              </w:rPr>
              <w:t xml:space="preserve">COMPOSITE — </w:t>
            </w:r>
            <w:proofErr w:type="spellStart"/>
            <w:r>
              <w:rPr>
                <w:b/>
                <w:bCs/>
                <w:color w:val="FFFFFF"/>
                <w:sz w:val="20"/>
                <w:szCs w:val="20"/>
              </w:rPr>
              <w:t>Sayburç</w:t>
            </w:r>
            <w:proofErr w:type="spellEnd"/>
          </w:p>
        </w:tc>
        <w:tc>
          <w:tcPr>
            <w:tcW w:w="6160" w:type="dxa"/>
            <w:gridSpan w:val="2"/>
            <w:tcBorders>
              <w:top w:val="single" w:sz="1" w:space="0" w:color="CCCCCC"/>
              <w:left w:val="single" w:sz="1" w:space="0" w:color="CCCCCC"/>
              <w:bottom w:val="single" w:sz="1" w:space="0" w:color="CCCCCC"/>
              <w:right w:val="single" w:sz="1" w:space="0" w:color="CCCCCC"/>
            </w:tcBorders>
            <w:shd w:val="clear" w:color="auto" w:fill="D5E8D4"/>
            <w:tcMar>
              <w:top w:w="70" w:type="dxa"/>
              <w:left w:w="100" w:type="dxa"/>
              <w:bottom w:w="70" w:type="dxa"/>
              <w:right w:w="100" w:type="dxa"/>
            </w:tcMar>
          </w:tcPr>
          <w:p w14:paraId="62474A99" w14:textId="77777777" w:rsidR="009F6C07" w:rsidRDefault="00000000">
            <w:pPr>
              <w:jc w:val="center"/>
            </w:pPr>
            <w:r>
              <w:rPr>
                <w:b/>
                <w:bCs/>
              </w:rPr>
              <w:t>11 / 12</w:t>
            </w:r>
          </w:p>
        </w:tc>
      </w:tr>
    </w:tbl>
    <w:p w14:paraId="4852A521" w14:textId="77777777" w:rsidR="009F6C07" w:rsidRDefault="009F6C07">
      <w:pPr>
        <w:spacing w:before="160"/>
      </w:pPr>
    </w:p>
    <w:p w14:paraId="2595CA04" w14:textId="77777777" w:rsidR="009F6C07" w:rsidRDefault="00000000">
      <w:pPr>
        <w:pStyle w:val="Heading2"/>
      </w:pPr>
      <w:proofErr w:type="gramStart"/>
      <w:r>
        <w:t xml:space="preserve">2.4  </w:t>
      </w:r>
      <w:proofErr w:type="spellStart"/>
      <w:r>
        <w:t>Sefertepe</w:t>
      </w:r>
      <w:proofErr w:type="spellEnd"/>
      <w:proofErr w:type="gramEnd"/>
    </w:p>
    <w:p w14:paraId="7E73CBEC" w14:textId="77777777" w:rsidR="009F6C07" w:rsidRDefault="00000000">
      <w:pPr>
        <w:spacing w:before="80" w:after="100"/>
        <w:jc w:val="both"/>
      </w:pPr>
      <w:r>
        <w:lastRenderedPageBreak/>
        <w:t>Located at the eastern edge of the landscape. The 2024 season revealed a skull room containing 22 human crania without mandibles or post-cranial bones — deliberate curation.</w:t>
      </w:r>
      <w:r>
        <w:rPr>
          <w:rStyle w:val="FootnoteReference"/>
        </w:rPr>
        <w:footnoteReference w:id="18"/>
      </w:r>
      <w:r>
        <w:t xml:space="preserve"> The 2025 season produced two stylistically distinct face reliefs and exotic material beads (jade, labradorite) confirming long-distance exchange networks.</w:t>
      </w:r>
      <w:r>
        <w:rPr>
          <w:rStyle w:val="FootnoteReference"/>
        </w:rPr>
        <w:footnoteReference w:id="19"/>
      </w:r>
      <w:r>
        <w:rPr>
          <w:vertAlign w:val="superscript"/>
        </w:rPr>
        <w:t>,</w:t>
      </w:r>
      <w:r>
        <w:rPr>
          <w:rStyle w:val="FootnoteReference"/>
        </w:rPr>
        <w:footnoteReference w:id="20"/>
      </w:r>
    </w:p>
    <w:p w14:paraId="3B632016"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1"/>
        <w:gridCol w:w="498"/>
        <w:gridCol w:w="498"/>
        <w:gridCol w:w="644"/>
        <w:gridCol w:w="5529"/>
      </w:tblGrid>
      <w:tr w:rsidR="009F6C07" w14:paraId="443ACD1B" w14:textId="77777777">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64D2AF80" w14:textId="77777777" w:rsidR="009F6C07" w:rsidRDefault="00000000">
            <w:pPr>
              <w:jc w:val="center"/>
            </w:pPr>
            <w:r>
              <w:rPr>
                <w:b/>
                <w:bCs/>
                <w:color w:val="FFFFFF"/>
                <w:sz w:val="19"/>
                <w:szCs w:val="19"/>
              </w:rPr>
              <w:t>Observable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01A3B498" w14:textId="77777777" w:rsidR="009F6C07" w:rsidRDefault="00000000">
            <w:pPr>
              <w:jc w:val="center"/>
            </w:pPr>
            <w:r>
              <w:rPr>
                <w:b/>
                <w:bCs/>
                <w:color w:val="FFFFFF"/>
                <w:sz w:val="19"/>
                <w:szCs w:val="19"/>
              </w:rPr>
              <w:t>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0053DEB3" w14:textId="77777777" w:rsidR="009F6C07" w:rsidRDefault="00000000">
            <w:pPr>
              <w:jc w:val="center"/>
            </w:pPr>
            <w:r>
              <w:rPr>
                <w:b/>
                <w:bCs/>
                <w:color w:val="FFFFFF"/>
                <w:sz w:val="19"/>
                <w:szCs w:val="19"/>
              </w:rPr>
              <w:t>S</w:t>
            </w:r>
          </w:p>
        </w:tc>
        <w:tc>
          <w:tcPr>
            <w:tcW w:w="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C932457" w14:textId="77777777" w:rsidR="009F6C07" w:rsidRDefault="00000000">
            <w:pPr>
              <w:jc w:val="center"/>
            </w:pPr>
            <w:r>
              <w:rPr>
                <w:b/>
                <w:bCs/>
                <w:color w:val="FFFFFF"/>
                <w:sz w:val="19"/>
                <w:szCs w:val="19"/>
              </w:rPr>
              <w:t>Final</w:t>
            </w:r>
          </w:p>
        </w:tc>
        <w:tc>
          <w:tcPr>
            <w:tcW w:w="55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23E5DC22" w14:textId="77777777" w:rsidR="009F6C07" w:rsidRDefault="00000000">
            <w:pPr>
              <w:jc w:val="center"/>
            </w:pPr>
            <w:r>
              <w:rPr>
                <w:b/>
                <w:bCs/>
                <w:color w:val="FFFFFF"/>
                <w:sz w:val="19"/>
                <w:szCs w:val="19"/>
              </w:rPr>
              <w:t>Evidence Summary</w:t>
            </w:r>
          </w:p>
        </w:tc>
      </w:tr>
      <w:tr w:rsidR="009F6C07" w14:paraId="071467D1"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1EDB6CF6" w14:textId="77777777" w:rsidR="009F6C07" w:rsidRDefault="00000000">
            <w:pPr>
              <w:jc w:val="both"/>
            </w:pPr>
            <w:r>
              <w:rPr>
                <w:b/>
                <w:bCs/>
                <w:sz w:val="20"/>
                <w:szCs w:val="20"/>
              </w:rPr>
              <w:t>MA — Mnemonic Architectures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62EFDF46"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7556C54"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3299B93"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420DB3" w14:textId="77777777" w:rsidR="009F6C07" w:rsidRDefault="00000000">
            <w:pPr>
              <w:jc w:val="both"/>
            </w:pPr>
            <w:r>
              <w:rPr>
                <w:sz w:val="20"/>
                <w:szCs w:val="20"/>
              </w:rPr>
              <w:t>Quadrangular buildings with lime-clay mortar floors, benches, and platforms; 10 pillars (3 T-shaped, 7 quadrangular) with geometric motifs; skull room as dedicated mortuary architecture — the dead spatially encoded within the settlement structure.</w:t>
            </w:r>
          </w:p>
        </w:tc>
      </w:tr>
      <w:tr w:rsidR="009F6C07" w14:paraId="4406DEF1"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34DF83F5" w14:textId="77777777" w:rsidR="009F6C07" w:rsidRDefault="00000000">
            <w:pPr>
              <w:jc w:val="both"/>
            </w:pPr>
            <w:r>
              <w:rPr>
                <w:b/>
                <w:bCs/>
                <w:sz w:val="20"/>
                <w:szCs w:val="20"/>
              </w:rPr>
              <w:t>SS — Symbolic Stabilization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DD62F55"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CE2CE36"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40DAA89"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541718" w14:textId="77777777" w:rsidR="009F6C07" w:rsidRDefault="00000000">
            <w:pPr>
              <w:jc w:val="both"/>
            </w:pPr>
            <w:r>
              <w:rPr>
                <w:sz w:val="20"/>
                <w:szCs w:val="20"/>
              </w:rPr>
              <w:t>Skull room: 22 crania without mandibles or post-cranial bones — deliberate selection and curation confirmed; face-carving tradition confirmed across both 2024 and 2025 seasons; geometric motif assemblage (limestone object with 13 circular carvings) = recurrent non-utilitarian symbolic production.</w:t>
            </w:r>
          </w:p>
        </w:tc>
      </w:tr>
      <w:tr w:rsidR="009F6C07" w14:paraId="219A6F0C"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6A39A9E" w14:textId="77777777" w:rsidR="009F6C07" w:rsidRDefault="00000000">
            <w:pPr>
              <w:jc w:val="both"/>
            </w:pPr>
            <w:r>
              <w:rPr>
                <w:b/>
                <w:bCs/>
                <w:sz w:val="20"/>
                <w:szCs w:val="20"/>
              </w:rPr>
              <w:t>EC — Externalized Cognition</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D6F7BC9"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8ECA670"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9B9D70D"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7BE8AF" w14:textId="77777777" w:rsidR="009F6C07" w:rsidRDefault="00000000">
            <w:pPr>
              <w:jc w:val="both"/>
            </w:pPr>
            <w:r>
              <w:rPr>
                <w:sz w:val="20"/>
                <w:szCs w:val="20"/>
              </w:rPr>
              <w:t>Skull room as ritual archive — the dead encoded as collectible symbolic objects; double-faced bead = symbolic duality miniaturized into a portable personal object; two face reliefs (one bold, one spectral) externalize shifting conceptual states — presence and absence, identity and transformation — onto durable stone.</w:t>
            </w:r>
          </w:p>
        </w:tc>
      </w:tr>
      <w:tr w:rsidR="009F6C07" w14:paraId="13E100F9"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3CA2E15F" w14:textId="77777777" w:rsidR="009F6C07" w:rsidRDefault="00000000">
            <w:pPr>
              <w:jc w:val="both"/>
            </w:pPr>
            <w:r>
              <w:rPr>
                <w:b/>
                <w:bCs/>
                <w:sz w:val="20"/>
                <w:szCs w:val="20"/>
              </w:rPr>
              <w:t>SR — Symbolic Regulation</w:t>
            </w:r>
          </w:p>
        </w:tc>
        <w:tc>
          <w:tcPr>
            <w:tcW w:w="5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4FACD453" w14:textId="77777777" w:rsidR="009F6C07" w:rsidRDefault="00000000">
            <w:pPr>
              <w:jc w:val="center"/>
            </w:pPr>
            <w:r>
              <w:rPr>
                <w:b/>
                <w:bCs/>
                <w:color w:val="7D6608"/>
              </w:rPr>
              <w:t>1</w:t>
            </w:r>
          </w:p>
        </w:tc>
        <w:tc>
          <w:tcPr>
            <w:tcW w:w="5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345A53B0" w14:textId="77777777" w:rsidR="009F6C07" w:rsidRDefault="00000000">
            <w:pPr>
              <w:jc w:val="center"/>
            </w:pPr>
            <w:r>
              <w:rPr>
                <w:b/>
                <w:bCs/>
                <w:color w:val="7D660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0849511F" w14:textId="77777777" w:rsidR="009F6C07" w:rsidRDefault="00000000">
            <w:pPr>
              <w:jc w:val="center"/>
            </w:pPr>
            <w:r>
              <w:rPr>
                <w:b/>
                <w:bCs/>
                <w:color w:val="7D6608"/>
              </w:rPr>
              <w:t>1</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B9BEFE" w14:textId="77777777" w:rsidR="009F6C07" w:rsidRDefault="00000000">
            <w:pPr>
              <w:jc w:val="both"/>
            </w:pPr>
            <w:r>
              <w:rPr>
                <w:sz w:val="20"/>
                <w:szCs w:val="20"/>
              </w:rPr>
              <w:t>Regulated mortuary practice confirmed (skull curation, dual burial modes). Regulatory apparatus is primarily mortuary rather than broadly behavioral; architectural scale of regulatory structures smaller than principal monumental sites. SR=1 on current evidence.</w:t>
            </w:r>
          </w:p>
        </w:tc>
      </w:tr>
      <w:tr w:rsidR="009F6C07" w14:paraId="682FEDE7"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39EF1D1C" w14:textId="77777777" w:rsidR="009F6C07" w:rsidRDefault="00000000">
            <w:pPr>
              <w:jc w:val="both"/>
            </w:pPr>
            <w:r>
              <w:rPr>
                <w:b/>
                <w:bCs/>
                <w:sz w:val="20"/>
                <w:szCs w:val="20"/>
              </w:rPr>
              <w:t>DSA — Distributed Symbolic Auth.</w:t>
            </w:r>
          </w:p>
        </w:tc>
        <w:tc>
          <w:tcPr>
            <w:tcW w:w="5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253C8E0B" w14:textId="77777777" w:rsidR="009F6C07" w:rsidRDefault="00000000">
            <w:pPr>
              <w:jc w:val="center"/>
            </w:pPr>
            <w:r>
              <w:rPr>
                <w:b/>
                <w:bCs/>
                <w:color w:val="7D6608"/>
              </w:rPr>
              <w:t>1</w:t>
            </w:r>
          </w:p>
        </w:tc>
        <w:tc>
          <w:tcPr>
            <w:tcW w:w="5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1F2211CB" w14:textId="77777777" w:rsidR="009F6C07" w:rsidRDefault="00000000">
            <w:pPr>
              <w:jc w:val="center"/>
            </w:pPr>
            <w:r>
              <w:rPr>
                <w:b/>
                <w:bCs/>
                <w:color w:val="7D660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79114B65" w14:textId="77777777" w:rsidR="009F6C07" w:rsidRDefault="00000000">
            <w:pPr>
              <w:jc w:val="center"/>
            </w:pPr>
            <w:r>
              <w:rPr>
                <w:b/>
                <w:bCs/>
                <w:color w:val="7D6608"/>
              </w:rPr>
              <w:t>1</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8659CE" w14:textId="77777777" w:rsidR="009F6C07" w:rsidRDefault="00000000">
            <w:pPr>
              <w:jc w:val="both"/>
            </w:pPr>
            <w:r>
              <w:rPr>
                <w:sz w:val="20"/>
                <w:szCs w:val="20"/>
              </w:rPr>
              <w:t xml:space="preserve">Exotic materials (jade, labradorite, not locally available) confirm multi-community exchange networks and distributed symbolic production. Degree of internal social distribution of symbolic authority within the </w:t>
            </w:r>
            <w:proofErr w:type="spellStart"/>
            <w:r>
              <w:rPr>
                <w:sz w:val="20"/>
                <w:szCs w:val="20"/>
              </w:rPr>
              <w:t>Sefertepe</w:t>
            </w:r>
            <w:proofErr w:type="spellEnd"/>
            <w:r>
              <w:rPr>
                <w:sz w:val="20"/>
                <w:szCs w:val="20"/>
              </w:rPr>
              <w:t xml:space="preserve"> community not yet fully documented.</w:t>
            </w:r>
          </w:p>
        </w:tc>
      </w:tr>
      <w:tr w:rsidR="009F6C07" w14:paraId="0023ACA8"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11C6AE5B" w14:textId="77777777" w:rsidR="009F6C07" w:rsidRDefault="00000000">
            <w:pPr>
              <w:jc w:val="both"/>
            </w:pPr>
            <w:r>
              <w:rPr>
                <w:b/>
                <w:bCs/>
                <w:sz w:val="20"/>
                <w:szCs w:val="20"/>
              </w:rPr>
              <w:t>PSA — Portable Symbolic Anchors</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E1BA111" w14:textId="77777777" w:rsidR="009F6C07" w:rsidRDefault="00000000">
            <w:pPr>
              <w:jc w:val="center"/>
            </w:pPr>
            <w:r>
              <w:rPr>
                <w:b/>
                <w:bCs/>
                <w:color w:val="375623"/>
              </w:rPr>
              <w:t>2</w:t>
            </w:r>
          </w:p>
        </w:tc>
        <w:tc>
          <w:tcPr>
            <w:tcW w:w="5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4FED201" w14:textId="77777777" w:rsidR="009F6C07" w:rsidRDefault="00000000">
            <w:pPr>
              <w:jc w:val="center"/>
            </w:pPr>
            <w:r>
              <w:rPr>
                <w:b/>
                <w:bCs/>
                <w:color w:val="375623"/>
              </w:rPr>
              <w:t>2</w:t>
            </w:r>
          </w:p>
        </w:tc>
        <w:tc>
          <w:tcPr>
            <w:tcW w:w="58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ECB5F7B" w14:textId="77777777" w:rsidR="009F6C07" w:rsidRDefault="00000000">
            <w:pPr>
              <w:jc w:val="center"/>
            </w:pPr>
            <w:r>
              <w:rPr>
                <w:b/>
                <w:bCs/>
                <w:color w:val="375623"/>
              </w:rPr>
              <w:t>2</w:t>
            </w:r>
          </w:p>
        </w:tc>
        <w:tc>
          <w:tcPr>
            <w:tcW w:w="5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1AD9D5" w14:textId="77777777" w:rsidR="009F6C07" w:rsidRDefault="00000000">
            <w:pPr>
              <w:jc w:val="both"/>
            </w:pPr>
            <w:r>
              <w:rPr>
                <w:sz w:val="20"/>
                <w:szCs w:val="20"/>
              </w:rPr>
              <w:t xml:space="preserve">Jade and labradorite beads (non-local), snake-head shaped beads, geometric-incised beads, double-faced serpentinite bead = richest portable symbolic assemblage in the landscape per site; confirms </w:t>
            </w:r>
            <w:proofErr w:type="spellStart"/>
            <w:r>
              <w:rPr>
                <w:sz w:val="20"/>
                <w:szCs w:val="20"/>
              </w:rPr>
              <w:t>Sefertepe</w:t>
            </w:r>
            <w:proofErr w:type="spellEnd"/>
            <w:r>
              <w:rPr>
                <w:sz w:val="20"/>
                <w:szCs w:val="20"/>
              </w:rPr>
              <w:t xml:space="preserve"> as a node in a long-distance symbolic exchange network.</w:t>
            </w:r>
          </w:p>
        </w:tc>
      </w:tr>
      <w:tr w:rsidR="009F6C07" w14:paraId="7D1E88D9" w14:textId="77777777">
        <w:tc>
          <w:tcPr>
            <w:tcW w:w="3200" w:type="dxa"/>
            <w:gridSpan w:val="3"/>
            <w:tcBorders>
              <w:top w:val="single" w:sz="1" w:space="0" w:color="CCCCCC"/>
              <w:left w:val="single" w:sz="1" w:space="0" w:color="CCCCCC"/>
              <w:bottom w:val="single" w:sz="1" w:space="0" w:color="CCCCCC"/>
              <w:right w:val="single" w:sz="1" w:space="0" w:color="CCCCCC"/>
            </w:tcBorders>
            <w:shd w:val="clear" w:color="auto" w:fill="1F3864"/>
            <w:tcMar>
              <w:top w:w="70" w:type="dxa"/>
              <w:left w:w="100" w:type="dxa"/>
              <w:bottom w:w="70" w:type="dxa"/>
              <w:right w:w="100" w:type="dxa"/>
            </w:tcMar>
          </w:tcPr>
          <w:p w14:paraId="73A34846" w14:textId="77777777" w:rsidR="009F6C07" w:rsidRDefault="00000000">
            <w:r>
              <w:rPr>
                <w:b/>
                <w:bCs/>
                <w:color w:val="FFFFFF"/>
                <w:sz w:val="20"/>
                <w:szCs w:val="20"/>
              </w:rPr>
              <w:t xml:space="preserve">COMPOSITE — </w:t>
            </w:r>
            <w:proofErr w:type="spellStart"/>
            <w:r>
              <w:rPr>
                <w:b/>
                <w:bCs/>
                <w:color w:val="FFFFFF"/>
                <w:sz w:val="20"/>
                <w:szCs w:val="20"/>
              </w:rPr>
              <w:t>Sefertepe</w:t>
            </w:r>
            <w:proofErr w:type="spellEnd"/>
          </w:p>
        </w:tc>
        <w:tc>
          <w:tcPr>
            <w:tcW w:w="6160" w:type="dxa"/>
            <w:gridSpan w:val="2"/>
            <w:tcBorders>
              <w:top w:val="single" w:sz="1" w:space="0" w:color="CCCCCC"/>
              <w:left w:val="single" w:sz="1" w:space="0" w:color="CCCCCC"/>
              <w:bottom w:val="single" w:sz="1" w:space="0" w:color="CCCCCC"/>
              <w:right w:val="single" w:sz="1" w:space="0" w:color="CCCCCC"/>
            </w:tcBorders>
            <w:shd w:val="clear" w:color="auto" w:fill="D5E8D4"/>
            <w:tcMar>
              <w:top w:w="70" w:type="dxa"/>
              <w:left w:w="100" w:type="dxa"/>
              <w:bottom w:w="70" w:type="dxa"/>
              <w:right w:w="100" w:type="dxa"/>
            </w:tcMar>
          </w:tcPr>
          <w:p w14:paraId="5A189BD1" w14:textId="77777777" w:rsidR="009F6C07" w:rsidRDefault="00000000">
            <w:pPr>
              <w:jc w:val="center"/>
            </w:pPr>
            <w:r>
              <w:rPr>
                <w:b/>
                <w:bCs/>
              </w:rPr>
              <w:t>10 / 12</w:t>
            </w:r>
          </w:p>
        </w:tc>
      </w:tr>
    </w:tbl>
    <w:p w14:paraId="1774EA91" w14:textId="77777777" w:rsidR="009F6C07" w:rsidRDefault="009F6C07">
      <w:pPr>
        <w:spacing w:before="160"/>
      </w:pPr>
    </w:p>
    <w:p w14:paraId="7B576835" w14:textId="77777777" w:rsidR="009F6C07" w:rsidRDefault="00000000">
      <w:pPr>
        <w:pStyle w:val="Heading1"/>
      </w:pPr>
      <w:r>
        <w:lastRenderedPageBreak/>
        <w:t>3.  Landscape-Level FCP Summary</w:t>
      </w:r>
    </w:p>
    <w:p w14:paraId="6345A78C" w14:textId="77777777" w:rsidR="009F6C07" w:rsidRDefault="00000000">
      <w:pPr>
        <w:spacing w:before="80" w:after="100"/>
        <w:jc w:val="both"/>
      </w:pPr>
      <w:r>
        <w:t xml:space="preserve">The following table aggregates FCP scores across all excavated Taş </w:t>
      </w:r>
      <w:proofErr w:type="spellStart"/>
      <w:r>
        <w:t>Tepeler</w:t>
      </w:r>
      <w:proofErr w:type="spellEnd"/>
      <w:r>
        <w:t xml:space="preserve"> sites. Mendik Tepe and </w:t>
      </w:r>
      <w:proofErr w:type="spellStart"/>
      <w:r>
        <w:t>Ayanlar</w:t>
      </w:r>
      <w:proofErr w:type="spellEnd"/>
      <w:r>
        <w:t xml:space="preserve"> </w:t>
      </w:r>
      <w:proofErr w:type="spellStart"/>
      <w:r>
        <w:t>Höyük</w:t>
      </w:r>
      <w:proofErr w:type="spellEnd"/>
      <w:r>
        <w:t xml:space="preserve"> are scored </w:t>
      </w:r>
      <w:proofErr w:type="gramStart"/>
      <w:r>
        <w:t>on</w:t>
      </w:r>
      <w:proofErr w:type="gramEnd"/>
      <w:r>
        <w:t xml:space="preserve"> 2024–2025 initial trench data only; both are early-stage excavations and scores will be revised as evidence accumulates.</w:t>
      </w:r>
      <w:r>
        <w:rPr>
          <w:rStyle w:val="FootnoteReference"/>
        </w:rPr>
        <w:footnoteReference w:id="21"/>
      </w:r>
      <w:r>
        <w:rPr>
          <w:vertAlign w:val="superscript"/>
        </w:rPr>
        <w:t>,</w:t>
      </w:r>
      <w:r>
        <w:rPr>
          <w:rStyle w:val="FootnoteReference"/>
        </w:rPr>
        <w:footnoteReference w:id="22"/>
      </w:r>
    </w:p>
    <w:p w14:paraId="02398E17"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816"/>
        <w:gridCol w:w="816"/>
        <w:gridCol w:w="816"/>
        <w:gridCol w:w="816"/>
        <w:gridCol w:w="816"/>
        <w:gridCol w:w="816"/>
        <w:gridCol w:w="2564"/>
      </w:tblGrid>
      <w:tr w:rsidR="009F6C07" w14:paraId="70F230AF" w14:textId="77777777">
        <w:trPr>
          <w:tblHeader/>
        </w:trPr>
        <w:tc>
          <w:tcPr>
            <w:tcW w:w="19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750CAEDE" w14:textId="77777777" w:rsidR="009F6C07" w:rsidRDefault="00000000">
            <w:r>
              <w:rPr>
                <w:b/>
                <w:bCs/>
                <w:color w:val="FFFFFF"/>
                <w:sz w:val="19"/>
                <w:szCs w:val="19"/>
              </w:rPr>
              <w:t>Site</w:t>
            </w:r>
          </w:p>
        </w:tc>
        <w:tc>
          <w:tcPr>
            <w:tcW w:w="816"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029D626E" w14:textId="77777777" w:rsidR="009F6C07" w:rsidRDefault="00000000">
            <w:pPr>
              <w:jc w:val="center"/>
            </w:pPr>
            <w:r>
              <w:rPr>
                <w:b/>
                <w:bCs/>
                <w:color w:val="FFFFFF"/>
                <w:sz w:val="19"/>
                <w:szCs w:val="19"/>
              </w:rPr>
              <w:t>MA</w:t>
            </w:r>
          </w:p>
        </w:tc>
        <w:tc>
          <w:tcPr>
            <w:tcW w:w="816"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6AD5D007" w14:textId="77777777" w:rsidR="009F6C07" w:rsidRDefault="00000000">
            <w:pPr>
              <w:jc w:val="center"/>
            </w:pPr>
            <w:r>
              <w:rPr>
                <w:b/>
                <w:bCs/>
                <w:color w:val="FFFFFF"/>
                <w:sz w:val="19"/>
                <w:szCs w:val="19"/>
              </w:rPr>
              <w:t>SS</w:t>
            </w:r>
          </w:p>
        </w:tc>
        <w:tc>
          <w:tcPr>
            <w:tcW w:w="816"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279A93FC" w14:textId="77777777" w:rsidR="009F6C07" w:rsidRDefault="00000000">
            <w:pPr>
              <w:jc w:val="center"/>
            </w:pPr>
            <w:r>
              <w:rPr>
                <w:b/>
                <w:bCs/>
                <w:color w:val="FFFFFF"/>
                <w:sz w:val="19"/>
                <w:szCs w:val="19"/>
              </w:rPr>
              <w:t>EC</w:t>
            </w:r>
          </w:p>
        </w:tc>
        <w:tc>
          <w:tcPr>
            <w:tcW w:w="816"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702BE31D" w14:textId="77777777" w:rsidR="009F6C07" w:rsidRDefault="00000000">
            <w:pPr>
              <w:jc w:val="center"/>
            </w:pPr>
            <w:r>
              <w:rPr>
                <w:b/>
                <w:bCs/>
                <w:color w:val="FFFFFF"/>
                <w:sz w:val="19"/>
                <w:szCs w:val="19"/>
              </w:rPr>
              <w:t>SR</w:t>
            </w:r>
          </w:p>
        </w:tc>
        <w:tc>
          <w:tcPr>
            <w:tcW w:w="816"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5EB4D50E" w14:textId="77777777" w:rsidR="009F6C07" w:rsidRDefault="00000000">
            <w:pPr>
              <w:jc w:val="center"/>
            </w:pPr>
            <w:r>
              <w:rPr>
                <w:b/>
                <w:bCs/>
                <w:color w:val="FFFFFF"/>
                <w:sz w:val="19"/>
                <w:szCs w:val="19"/>
              </w:rPr>
              <w:t>DSA</w:t>
            </w:r>
          </w:p>
        </w:tc>
        <w:tc>
          <w:tcPr>
            <w:tcW w:w="816"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5A5E6E26" w14:textId="77777777" w:rsidR="009F6C07" w:rsidRDefault="00000000">
            <w:pPr>
              <w:jc w:val="center"/>
            </w:pPr>
            <w:r>
              <w:rPr>
                <w:b/>
                <w:bCs/>
                <w:color w:val="FFFFFF"/>
                <w:sz w:val="19"/>
                <w:szCs w:val="19"/>
              </w:rPr>
              <w:t>PSA</w:t>
            </w:r>
          </w:p>
        </w:tc>
        <w:tc>
          <w:tcPr>
            <w:tcW w:w="2564" w:type="dxa"/>
            <w:tcBorders>
              <w:top w:val="single" w:sz="1" w:space="0" w:color="CCCCCC"/>
              <w:left w:val="single" w:sz="1" w:space="0" w:color="CCCCCC"/>
              <w:bottom w:val="single" w:sz="1" w:space="0" w:color="CCCCCC"/>
              <w:right w:val="single" w:sz="1" w:space="0" w:color="CCCCCC"/>
            </w:tcBorders>
            <w:shd w:val="clear" w:color="auto" w:fill="1F3864"/>
            <w:tcMar>
              <w:top w:w="70" w:type="dxa"/>
              <w:left w:w="80" w:type="dxa"/>
              <w:bottom w:w="70" w:type="dxa"/>
              <w:right w:w="80" w:type="dxa"/>
            </w:tcMar>
          </w:tcPr>
          <w:p w14:paraId="73B48F81" w14:textId="77777777" w:rsidR="009F6C07" w:rsidRDefault="00000000">
            <w:r>
              <w:rPr>
                <w:b/>
                <w:bCs/>
                <w:color w:val="FFFFFF"/>
                <w:sz w:val="19"/>
                <w:szCs w:val="19"/>
              </w:rPr>
              <w:t>Score / Status</w:t>
            </w:r>
          </w:p>
        </w:tc>
      </w:tr>
      <w:tr w:rsidR="009F6C07" w14:paraId="53DCD2BD" w14:textId="77777777">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1642AE46" w14:textId="77777777" w:rsidR="009F6C07" w:rsidRDefault="00000000">
            <w:pPr>
              <w:jc w:val="both"/>
            </w:pPr>
            <w:proofErr w:type="spellStart"/>
            <w:r>
              <w:rPr>
                <w:b/>
                <w:bCs/>
                <w:sz w:val="20"/>
                <w:szCs w:val="20"/>
              </w:rPr>
              <w:t>Göbekli</w:t>
            </w:r>
            <w:proofErr w:type="spellEnd"/>
            <w:r>
              <w:rPr>
                <w:b/>
                <w:bCs/>
                <w:sz w:val="20"/>
                <w:szCs w:val="20"/>
              </w:rPr>
              <w:t xml:space="preserve"> Tepe</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7248148"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6E80766E"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14C3A8B"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46EC594"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89EABDC"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5A3402BE" w14:textId="77777777" w:rsidR="009F6C07" w:rsidRDefault="00000000">
            <w:pPr>
              <w:jc w:val="center"/>
            </w:pPr>
            <w:r>
              <w:rPr>
                <w:b/>
                <w:bCs/>
                <w:color w:val="375623"/>
              </w:rPr>
              <w:t>2</w:t>
            </w:r>
          </w:p>
        </w:tc>
        <w:tc>
          <w:tcPr>
            <w:tcW w:w="2564"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5A1B7A" w14:textId="77777777" w:rsidR="009F6C07" w:rsidRDefault="00000000">
            <w:pPr>
              <w:jc w:val="both"/>
            </w:pPr>
            <w:r>
              <w:rPr>
                <w:sz w:val="20"/>
                <w:szCs w:val="20"/>
              </w:rPr>
              <w:t>11/12 — 4/4 criteria</w:t>
            </w:r>
          </w:p>
        </w:tc>
      </w:tr>
      <w:tr w:rsidR="009F6C07" w14:paraId="4E1D24AE" w14:textId="77777777">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98D7812" w14:textId="77777777" w:rsidR="009F6C07" w:rsidRDefault="00000000">
            <w:pPr>
              <w:jc w:val="both"/>
            </w:pPr>
            <w:proofErr w:type="spellStart"/>
            <w:r>
              <w:rPr>
                <w:b/>
                <w:bCs/>
                <w:sz w:val="20"/>
                <w:szCs w:val="20"/>
              </w:rPr>
              <w:t>Karahantepe</w:t>
            </w:r>
            <w:proofErr w:type="spellEnd"/>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3443B75"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BA9C715"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B47205D"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2B137F2"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3BC268B"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041F5DFE" w14:textId="77777777" w:rsidR="009F6C07" w:rsidRDefault="00000000">
            <w:pPr>
              <w:jc w:val="center"/>
            </w:pPr>
            <w:r>
              <w:rPr>
                <w:b/>
                <w:bCs/>
                <w:color w:val="375623"/>
              </w:rPr>
              <w:t>2</w:t>
            </w:r>
          </w:p>
        </w:tc>
        <w:tc>
          <w:tcPr>
            <w:tcW w:w="2564"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65954B" w14:textId="77777777" w:rsidR="009F6C07" w:rsidRDefault="00000000">
            <w:pPr>
              <w:jc w:val="both"/>
            </w:pPr>
            <w:r>
              <w:rPr>
                <w:sz w:val="20"/>
                <w:szCs w:val="20"/>
              </w:rPr>
              <w:t>11/12 — 4/4 criteria</w:t>
            </w:r>
          </w:p>
        </w:tc>
      </w:tr>
      <w:tr w:rsidR="009F6C07" w14:paraId="0C282B32" w14:textId="77777777">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4F14F729" w14:textId="77777777" w:rsidR="009F6C07" w:rsidRDefault="00000000">
            <w:pPr>
              <w:jc w:val="both"/>
            </w:pPr>
            <w:proofErr w:type="spellStart"/>
            <w:r>
              <w:rPr>
                <w:b/>
                <w:bCs/>
                <w:sz w:val="20"/>
                <w:szCs w:val="20"/>
              </w:rPr>
              <w:t>Sayburç</w:t>
            </w:r>
            <w:proofErr w:type="spellEnd"/>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25AB276"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C7D5F84"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0C60E2B"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91A387A"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1DF56448"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6A14EE54" w14:textId="77777777" w:rsidR="009F6C07" w:rsidRDefault="00000000">
            <w:pPr>
              <w:jc w:val="center"/>
            </w:pPr>
            <w:r>
              <w:rPr>
                <w:b/>
                <w:bCs/>
                <w:color w:val="375623"/>
              </w:rPr>
              <w:t>2</w:t>
            </w:r>
          </w:p>
        </w:tc>
        <w:tc>
          <w:tcPr>
            <w:tcW w:w="2564"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07F3FE" w14:textId="77777777" w:rsidR="009F6C07" w:rsidRDefault="00000000">
            <w:pPr>
              <w:jc w:val="both"/>
            </w:pPr>
            <w:r>
              <w:rPr>
                <w:sz w:val="20"/>
                <w:szCs w:val="20"/>
              </w:rPr>
              <w:t>9/12 — 4/4 criteria</w:t>
            </w:r>
          </w:p>
        </w:tc>
      </w:tr>
      <w:tr w:rsidR="009F6C07" w14:paraId="51126E47" w14:textId="77777777">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7C0DE16C" w14:textId="77777777" w:rsidR="009F6C07" w:rsidRDefault="00000000">
            <w:pPr>
              <w:jc w:val="both"/>
            </w:pPr>
            <w:proofErr w:type="spellStart"/>
            <w:r>
              <w:rPr>
                <w:b/>
                <w:bCs/>
                <w:sz w:val="20"/>
                <w:szCs w:val="20"/>
              </w:rPr>
              <w:t>Sefertepe</w:t>
            </w:r>
            <w:proofErr w:type="spellEnd"/>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3B8DD848"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BAF1926"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17649C3A" w14:textId="77777777" w:rsidR="009F6C07" w:rsidRDefault="00000000">
            <w:pPr>
              <w:jc w:val="center"/>
            </w:pPr>
            <w:r>
              <w:rPr>
                <w:b/>
                <w:bCs/>
                <w:color w:val="375623"/>
              </w:rPr>
              <w:t>2</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09CA133F"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285117E1"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4A0DCADC" w14:textId="77777777" w:rsidR="009F6C07" w:rsidRDefault="00000000">
            <w:pPr>
              <w:jc w:val="center"/>
            </w:pPr>
            <w:r>
              <w:rPr>
                <w:b/>
                <w:bCs/>
                <w:color w:val="375623"/>
              </w:rPr>
              <w:t>2</w:t>
            </w:r>
          </w:p>
        </w:tc>
        <w:tc>
          <w:tcPr>
            <w:tcW w:w="2564"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2C35A3" w14:textId="77777777" w:rsidR="009F6C07" w:rsidRDefault="00000000">
            <w:pPr>
              <w:jc w:val="both"/>
            </w:pPr>
            <w:r>
              <w:rPr>
                <w:sz w:val="20"/>
                <w:szCs w:val="20"/>
              </w:rPr>
              <w:t>8/12 — 4/4 criteria</w:t>
            </w:r>
          </w:p>
        </w:tc>
      </w:tr>
      <w:tr w:rsidR="009F6C07" w14:paraId="16B24FF9" w14:textId="77777777">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4B1D7F3F" w14:textId="77777777" w:rsidR="009F6C07" w:rsidRDefault="00000000">
            <w:pPr>
              <w:jc w:val="both"/>
            </w:pPr>
            <w:proofErr w:type="spellStart"/>
            <w:r>
              <w:rPr>
                <w:b/>
                <w:bCs/>
                <w:sz w:val="20"/>
                <w:szCs w:val="20"/>
              </w:rPr>
              <w:t>Çakmaktepe</w:t>
            </w:r>
            <w:proofErr w:type="spellEnd"/>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45A76B7A"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42D30E1F"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35D19D32"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45884A26"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18917C7B"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20614B02" w14:textId="77777777" w:rsidR="009F6C07" w:rsidRDefault="00000000">
            <w:pPr>
              <w:jc w:val="center"/>
            </w:pPr>
            <w:r>
              <w:rPr>
                <w:b/>
                <w:bCs/>
                <w:color w:val="7D6608"/>
              </w:rPr>
              <w:t>1</w:t>
            </w:r>
          </w:p>
        </w:tc>
        <w:tc>
          <w:tcPr>
            <w:tcW w:w="2564"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875AC6" w14:textId="77777777" w:rsidR="009F6C07" w:rsidRDefault="00000000">
            <w:pPr>
              <w:jc w:val="both"/>
            </w:pPr>
            <w:r>
              <w:rPr>
                <w:sz w:val="20"/>
                <w:szCs w:val="20"/>
              </w:rPr>
              <w:t>5/12 — 3/4 criteria</w:t>
            </w:r>
          </w:p>
        </w:tc>
      </w:tr>
      <w:tr w:rsidR="009F6C07" w14:paraId="68CD654B" w14:textId="77777777">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1B2C877" w14:textId="77777777" w:rsidR="009F6C07" w:rsidRDefault="00000000">
            <w:pPr>
              <w:jc w:val="both"/>
            </w:pPr>
            <w:r>
              <w:rPr>
                <w:b/>
                <w:bCs/>
                <w:sz w:val="20"/>
                <w:szCs w:val="20"/>
              </w:rPr>
              <w:t>Mendik Tepe</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52C1623C"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5FE26BF1" w14:textId="77777777" w:rsidR="009F6C07" w:rsidRDefault="00000000">
            <w:pPr>
              <w:jc w:val="center"/>
            </w:pPr>
            <w:r>
              <w:rPr>
                <w:b/>
                <w:bCs/>
                <w:color w:val="C00000"/>
              </w:rPr>
              <w:t>0</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0C53D5B8"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073AAD2B" w14:textId="77777777" w:rsidR="009F6C07" w:rsidRDefault="00000000">
            <w:pPr>
              <w:jc w:val="center"/>
            </w:pPr>
            <w:r>
              <w:rPr>
                <w:b/>
                <w:bCs/>
                <w:color w:val="C00000"/>
              </w:rPr>
              <w:t>0</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7111FC5F" w14:textId="77777777" w:rsidR="009F6C07" w:rsidRDefault="00000000">
            <w:pPr>
              <w:jc w:val="center"/>
            </w:pPr>
            <w:r>
              <w:rPr>
                <w:b/>
                <w:bCs/>
                <w:color w:val="C00000"/>
              </w:rPr>
              <w:t>0</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5A0BB9BA" w14:textId="77777777" w:rsidR="009F6C07" w:rsidRDefault="00000000">
            <w:pPr>
              <w:jc w:val="center"/>
            </w:pPr>
            <w:r>
              <w:rPr>
                <w:b/>
                <w:bCs/>
                <w:color w:val="C00000"/>
              </w:rPr>
              <w:t>0</w:t>
            </w:r>
          </w:p>
        </w:tc>
        <w:tc>
          <w:tcPr>
            <w:tcW w:w="2564"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E10019" w14:textId="77777777" w:rsidR="009F6C07" w:rsidRDefault="00000000">
            <w:pPr>
              <w:jc w:val="both"/>
            </w:pPr>
            <w:r>
              <w:rPr>
                <w:sz w:val="20"/>
                <w:szCs w:val="20"/>
              </w:rPr>
              <w:t>2/12 — 1/4 criteria</w:t>
            </w:r>
          </w:p>
        </w:tc>
      </w:tr>
      <w:tr w:rsidR="009F6C07" w14:paraId="39E0CC5A" w14:textId="77777777">
        <w:tc>
          <w:tcPr>
            <w:tcW w:w="19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2AB3E083" w14:textId="77777777" w:rsidR="009F6C07" w:rsidRDefault="00000000">
            <w:pPr>
              <w:jc w:val="both"/>
            </w:pPr>
            <w:proofErr w:type="spellStart"/>
            <w:r>
              <w:rPr>
                <w:b/>
                <w:bCs/>
                <w:sz w:val="20"/>
                <w:szCs w:val="20"/>
              </w:rPr>
              <w:t>Ayanlar</w:t>
            </w:r>
            <w:proofErr w:type="spellEnd"/>
            <w:r>
              <w:rPr>
                <w:b/>
                <w:bCs/>
                <w:sz w:val="20"/>
                <w:szCs w:val="20"/>
              </w:rPr>
              <w:t xml:space="preserve"> </w:t>
            </w:r>
            <w:proofErr w:type="spellStart"/>
            <w:r>
              <w:rPr>
                <w:b/>
                <w:bCs/>
                <w:sz w:val="20"/>
                <w:szCs w:val="20"/>
              </w:rPr>
              <w:t>Höyük</w:t>
            </w:r>
            <w:proofErr w:type="spellEnd"/>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51B8DB81"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3BC9BC81" w14:textId="77777777" w:rsidR="009F6C07" w:rsidRDefault="00000000">
            <w:pPr>
              <w:jc w:val="center"/>
            </w:pPr>
            <w:r>
              <w:rPr>
                <w:b/>
                <w:bCs/>
                <w:color w:val="C00000"/>
              </w:rPr>
              <w:t>0</w:t>
            </w:r>
          </w:p>
        </w:tc>
        <w:tc>
          <w:tcPr>
            <w:tcW w:w="816" w:type="dxa"/>
            <w:tcBorders>
              <w:top w:val="single" w:sz="1" w:space="0" w:color="CCCCCC"/>
              <w:left w:val="single" w:sz="1" w:space="0" w:color="CCCCCC"/>
              <w:bottom w:val="single" w:sz="1" w:space="0" w:color="CCCCCC"/>
              <w:right w:val="single" w:sz="1" w:space="0" w:color="CCCCCC"/>
            </w:tcBorders>
            <w:shd w:val="clear" w:color="auto" w:fill="FFF2CC"/>
            <w:tcMar>
              <w:top w:w="60" w:type="dxa"/>
              <w:left w:w="80" w:type="dxa"/>
              <w:bottom w:w="60" w:type="dxa"/>
              <w:right w:w="80" w:type="dxa"/>
            </w:tcMar>
          </w:tcPr>
          <w:p w14:paraId="45517622" w14:textId="77777777" w:rsidR="009F6C07" w:rsidRDefault="00000000">
            <w:pPr>
              <w:jc w:val="center"/>
            </w:pPr>
            <w:r>
              <w:rPr>
                <w:b/>
                <w:bCs/>
                <w:color w:val="7D6608"/>
              </w:rPr>
              <w:t>1</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612DC4F3" w14:textId="77777777" w:rsidR="009F6C07" w:rsidRDefault="00000000">
            <w:pPr>
              <w:jc w:val="center"/>
            </w:pPr>
            <w:r>
              <w:rPr>
                <w:b/>
                <w:bCs/>
                <w:color w:val="C00000"/>
              </w:rPr>
              <w:t>0</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33E98CDF" w14:textId="77777777" w:rsidR="009F6C07" w:rsidRDefault="00000000">
            <w:pPr>
              <w:jc w:val="center"/>
            </w:pPr>
            <w:r>
              <w:rPr>
                <w:b/>
                <w:bCs/>
                <w:color w:val="C00000"/>
              </w:rPr>
              <w:t>0</w:t>
            </w:r>
          </w:p>
        </w:tc>
        <w:tc>
          <w:tcPr>
            <w:tcW w:w="816" w:type="dxa"/>
            <w:tcBorders>
              <w:top w:val="single" w:sz="1" w:space="0" w:color="CCCCCC"/>
              <w:left w:val="single" w:sz="1" w:space="0" w:color="CCCCCC"/>
              <w:bottom w:val="single" w:sz="1" w:space="0" w:color="CCCCCC"/>
              <w:right w:val="single" w:sz="1" w:space="0" w:color="CCCCCC"/>
            </w:tcBorders>
            <w:shd w:val="clear" w:color="auto" w:fill="F8CECC"/>
            <w:tcMar>
              <w:top w:w="60" w:type="dxa"/>
              <w:left w:w="80" w:type="dxa"/>
              <w:bottom w:w="60" w:type="dxa"/>
              <w:right w:w="80" w:type="dxa"/>
            </w:tcMar>
          </w:tcPr>
          <w:p w14:paraId="21CE24C0" w14:textId="77777777" w:rsidR="009F6C07" w:rsidRDefault="00000000">
            <w:pPr>
              <w:jc w:val="center"/>
            </w:pPr>
            <w:r>
              <w:rPr>
                <w:b/>
                <w:bCs/>
                <w:color w:val="C00000"/>
              </w:rPr>
              <w:t>0</w:t>
            </w:r>
          </w:p>
        </w:tc>
        <w:tc>
          <w:tcPr>
            <w:tcW w:w="2564"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649624" w14:textId="77777777" w:rsidR="009F6C07" w:rsidRDefault="00000000">
            <w:pPr>
              <w:jc w:val="both"/>
            </w:pPr>
            <w:r>
              <w:rPr>
                <w:sz w:val="20"/>
                <w:szCs w:val="20"/>
              </w:rPr>
              <w:t>2/12 — 1/4 criteria</w:t>
            </w:r>
          </w:p>
        </w:tc>
      </w:tr>
    </w:tbl>
    <w:p w14:paraId="000C7A7B" w14:textId="77777777" w:rsidR="009F6C07" w:rsidRDefault="009F6C07">
      <w:pPr>
        <w:spacing w:before="120"/>
      </w:pPr>
    </w:p>
    <w:p w14:paraId="79C375BB" w14:textId="77777777" w:rsidR="009F6C07" w:rsidRDefault="00000000">
      <w:pPr>
        <w:spacing w:before="80" w:after="100"/>
        <w:jc w:val="both"/>
      </w:pPr>
      <w:r>
        <w:t xml:space="preserve">All four principal sites achieve DSSM saturation. No principal site has any observable scoring 0. The landscape </w:t>
      </w:r>
      <w:proofErr w:type="gramStart"/>
      <w:r>
        <w:t>as a whole satisfies</w:t>
      </w:r>
      <w:proofErr w:type="gramEnd"/>
      <w:r>
        <w:t xml:space="preserve"> all four stabilization criteria.</w:t>
      </w:r>
    </w:p>
    <w:p w14:paraId="5A8877DA" w14:textId="77777777" w:rsidR="009F6C07" w:rsidRDefault="009F6C07">
      <w:pPr>
        <w:spacing w:before="160"/>
      </w:pPr>
    </w:p>
    <w:p w14:paraId="406AC37B" w14:textId="77777777" w:rsidR="009F6C07" w:rsidRDefault="00000000">
      <w:pPr>
        <w:pStyle w:val="Heading1"/>
      </w:pPr>
      <w:r>
        <w:t>4.  DSSM Four-Criterion Assessment</w:t>
      </w:r>
    </w:p>
    <w:p w14:paraId="5ADA24FE" w14:textId="77777777" w:rsidR="009F6C07" w:rsidRDefault="00000000">
      <w:pPr>
        <w:spacing w:before="80" w:after="100"/>
        <w:jc w:val="both"/>
      </w:pPr>
      <w:r>
        <w:t xml:space="preserve">The following table applies the four DSSM stabilization criteria to the Taş </w:t>
      </w:r>
      <w:proofErr w:type="spellStart"/>
      <w:r>
        <w:t>Tepeler</w:t>
      </w:r>
      <w:proofErr w:type="spellEnd"/>
      <w:r>
        <w:t xml:space="preserve"> </w:t>
      </w:r>
      <w:proofErr w:type="gramStart"/>
      <w:r>
        <w:t>landscape as a whole, treating</w:t>
      </w:r>
      <w:proofErr w:type="gramEnd"/>
      <w:r>
        <w:t xml:space="preserve"> it as a single integrated symbolic system — which the architectural, iconographic, and portable artifact evidence supports.</w:t>
      </w:r>
    </w:p>
    <w:p w14:paraId="7DC9FFE8" w14:textId="77777777" w:rsidR="009F6C07" w:rsidRDefault="009F6C07">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200"/>
        <w:gridCol w:w="4960"/>
      </w:tblGrid>
      <w:tr w:rsidR="009F6C07" w14:paraId="40AEA03B" w14:textId="77777777">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496B6D1A" w14:textId="77777777" w:rsidR="009F6C07" w:rsidRDefault="00000000">
            <w:pPr>
              <w:jc w:val="both"/>
            </w:pPr>
            <w:r>
              <w:rPr>
                <w:b/>
                <w:bCs/>
                <w:color w:val="FFFFFF"/>
                <w:sz w:val="20"/>
                <w:szCs w:val="20"/>
              </w:rPr>
              <w:t>Stabilization Criterion</w:t>
            </w:r>
          </w:p>
        </w:tc>
        <w:tc>
          <w:tcPr>
            <w:tcW w:w="12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39456805" w14:textId="77777777" w:rsidR="009F6C07" w:rsidRDefault="00000000">
            <w:pPr>
              <w:jc w:val="both"/>
            </w:pPr>
            <w:r>
              <w:rPr>
                <w:b/>
                <w:bCs/>
                <w:color w:val="FFFFFF"/>
                <w:sz w:val="20"/>
                <w:szCs w:val="20"/>
              </w:rPr>
              <w:t>Verdict</w:t>
            </w:r>
          </w:p>
        </w:tc>
        <w:tc>
          <w:tcPr>
            <w:tcW w:w="49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36B45F09" w14:textId="77777777" w:rsidR="009F6C07" w:rsidRDefault="00000000">
            <w:pPr>
              <w:jc w:val="both"/>
            </w:pPr>
            <w:r>
              <w:rPr>
                <w:b/>
                <w:bCs/>
                <w:color w:val="FFFFFF"/>
                <w:sz w:val="20"/>
                <w:szCs w:val="20"/>
              </w:rPr>
              <w:t>Evidence Base</w:t>
            </w:r>
          </w:p>
        </w:tc>
      </w:tr>
      <w:tr w:rsidR="009F6C07" w14:paraId="1C4697D0" w14:textId="77777777">
        <w:tc>
          <w:tcPr>
            <w:tcW w:w="3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0645C79C" w14:textId="77777777" w:rsidR="009F6C07" w:rsidRDefault="00000000">
            <w:pPr>
              <w:jc w:val="both"/>
            </w:pPr>
            <w:r>
              <w:rPr>
                <w:b/>
                <w:bCs/>
                <w:sz w:val="20"/>
                <w:szCs w:val="20"/>
              </w:rPr>
              <w:t>Criterion 1 — Intergenerational Repetition</w:t>
            </w:r>
          </w:p>
        </w:tc>
        <w:tc>
          <w:tcPr>
            <w:tcW w:w="12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3E076CC9" w14:textId="77777777" w:rsidR="009F6C07" w:rsidRDefault="00000000">
            <w:pPr>
              <w:jc w:val="center"/>
            </w:pPr>
            <w:r>
              <w:rPr>
                <w:b/>
                <w:bCs/>
                <w:color w:val="375623"/>
                <w:sz w:val="20"/>
                <w:szCs w:val="20"/>
              </w:rPr>
              <w:t>✓ PASS</w:t>
            </w:r>
          </w:p>
        </w:tc>
        <w:tc>
          <w:tcPr>
            <w:tcW w:w="4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E52EF1" w14:textId="77777777" w:rsidR="009F6C07" w:rsidRDefault="00000000">
            <w:pPr>
              <w:jc w:val="both"/>
            </w:pPr>
            <w:proofErr w:type="spellStart"/>
            <w:r>
              <w:rPr>
                <w:sz w:val="20"/>
                <w:szCs w:val="20"/>
              </w:rPr>
              <w:t>Göbekli</w:t>
            </w:r>
            <w:proofErr w:type="spellEnd"/>
            <w:r>
              <w:rPr>
                <w:sz w:val="20"/>
                <w:szCs w:val="20"/>
              </w:rPr>
              <w:t xml:space="preserve"> Tepe active c. 9,600–8,000 BCE — 1,600 years of continuous symbolic activity across multiple building phases with consistent T-pillar grammar. </w:t>
            </w:r>
            <w:proofErr w:type="spellStart"/>
            <w:r>
              <w:rPr>
                <w:sz w:val="20"/>
                <w:szCs w:val="20"/>
              </w:rPr>
              <w:t>Karahantepe</w:t>
            </w:r>
            <w:proofErr w:type="spellEnd"/>
            <w:r>
              <w:rPr>
                <w:sz w:val="20"/>
                <w:szCs w:val="20"/>
              </w:rPr>
              <w:t xml:space="preserve">, </w:t>
            </w:r>
            <w:proofErr w:type="spellStart"/>
            <w:r>
              <w:rPr>
                <w:sz w:val="20"/>
                <w:szCs w:val="20"/>
              </w:rPr>
              <w:t>Sayburç</w:t>
            </w:r>
            <w:proofErr w:type="spellEnd"/>
            <w:r>
              <w:rPr>
                <w:sz w:val="20"/>
                <w:szCs w:val="20"/>
              </w:rPr>
              <w:t xml:space="preserve">, and </w:t>
            </w:r>
            <w:proofErr w:type="spellStart"/>
            <w:r>
              <w:rPr>
                <w:sz w:val="20"/>
                <w:szCs w:val="20"/>
              </w:rPr>
              <w:t>Sefertepe</w:t>
            </w:r>
            <w:proofErr w:type="spellEnd"/>
            <w:r>
              <w:rPr>
                <w:sz w:val="20"/>
                <w:szCs w:val="20"/>
              </w:rPr>
              <w:t xml:space="preserve"> independently confirm the same symbolic vocabulary across a minimum 4–6 community generations.</w:t>
            </w:r>
          </w:p>
        </w:tc>
      </w:tr>
      <w:tr w:rsidR="009F6C07" w14:paraId="6F58CF11" w14:textId="77777777">
        <w:tc>
          <w:tcPr>
            <w:tcW w:w="3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B3ACC3F" w14:textId="77777777" w:rsidR="009F6C07" w:rsidRDefault="00000000">
            <w:pPr>
              <w:jc w:val="both"/>
            </w:pPr>
            <w:r>
              <w:rPr>
                <w:b/>
                <w:bCs/>
                <w:sz w:val="20"/>
                <w:szCs w:val="20"/>
              </w:rPr>
              <w:t>Criterion 2 — Spatial Constraint</w:t>
            </w:r>
          </w:p>
        </w:tc>
        <w:tc>
          <w:tcPr>
            <w:tcW w:w="12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79BA63E0" w14:textId="77777777" w:rsidR="009F6C07" w:rsidRDefault="00000000">
            <w:pPr>
              <w:jc w:val="center"/>
            </w:pPr>
            <w:r>
              <w:rPr>
                <w:b/>
                <w:bCs/>
                <w:color w:val="375623"/>
                <w:sz w:val="20"/>
                <w:szCs w:val="20"/>
              </w:rPr>
              <w:t>✓ PASS</w:t>
            </w:r>
          </w:p>
        </w:tc>
        <w:tc>
          <w:tcPr>
            <w:tcW w:w="4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968427" w14:textId="77777777" w:rsidR="009F6C07" w:rsidRDefault="00000000">
            <w:pPr>
              <w:jc w:val="both"/>
            </w:pPr>
            <w:r>
              <w:rPr>
                <w:sz w:val="20"/>
                <w:szCs w:val="20"/>
              </w:rPr>
              <w:t xml:space="preserve">Circular enclosures 10–30m diameter; bilateral central pillar pairs; peripheral pillar benches; axial orientation — replicated independently across 12 sites spanning 200km. UNESCO confirms the shared network testifies to a close social system in the core region of </w:t>
            </w:r>
            <w:proofErr w:type="spellStart"/>
            <w:r>
              <w:rPr>
                <w:sz w:val="20"/>
                <w:szCs w:val="20"/>
              </w:rPr>
              <w:t>Neolithisation</w:t>
            </w:r>
            <w:proofErr w:type="spellEnd"/>
            <w:r>
              <w:rPr>
                <w:sz w:val="20"/>
                <w:szCs w:val="20"/>
              </w:rPr>
              <w:t>.</w:t>
            </w:r>
          </w:p>
        </w:tc>
      </w:tr>
      <w:tr w:rsidR="009F6C07" w14:paraId="459E64A2" w14:textId="77777777">
        <w:tc>
          <w:tcPr>
            <w:tcW w:w="3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3D0CA59A" w14:textId="77777777" w:rsidR="009F6C07" w:rsidRDefault="00000000">
            <w:pPr>
              <w:jc w:val="both"/>
            </w:pPr>
            <w:r>
              <w:rPr>
                <w:b/>
                <w:bCs/>
                <w:sz w:val="20"/>
                <w:szCs w:val="20"/>
              </w:rPr>
              <w:t>Criterion 3 — Cross-Media Redundancy</w:t>
            </w:r>
          </w:p>
        </w:tc>
        <w:tc>
          <w:tcPr>
            <w:tcW w:w="12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2939EA7A" w14:textId="77777777" w:rsidR="009F6C07" w:rsidRDefault="00000000">
            <w:pPr>
              <w:jc w:val="center"/>
            </w:pPr>
            <w:r>
              <w:rPr>
                <w:b/>
                <w:bCs/>
                <w:color w:val="375623"/>
                <w:sz w:val="20"/>
                <w:szCs w:val="20"/>
              </w:rPr>
              <w:t>✓ PASS</w:t>
            </w:r>
          </w:p>
        </w:tc>
        <w:tc>
          <w:tcPr>
            <w:tcW w:w="4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E50285" w14:textId="77777777" w:rsidR="009F6C07" w:rsidRDefault="00000000">
            <w:pPr>
              <w:jc w:val="both"/>
            </w:pPr>
            <w:r>
              <w:rPr>
                <w:sz w:val="20"/>
                <w:szCs w:val="20"/>
              </w:rPr>
              <w:t xml:space="preserve">Symbolic content expressed across monumental limestone pillars, bas-relief and high-relief carving, </w:t>
            </w:r>
            <w:r>
              <w:rPr>
                <w:sz w:val="20"/>
                <w:szCs w:val="20"/>
              </w:rPr>
              <w:lastRenderedPageBreak/>
              <w:t>portable beads (jade, labradorite, serpentine), domestic figurines (baked clay, limestone, chlorite), human skull curation, and architectural spatial encoding. Minimum 4 distinct media confirmed.</w:t>
            </w:r>
          </w:p>
        </w:tc>
      </w:tr>
      <w:tr w:rsidR="009F6C07" w14:paraId="228F31F9" w14:textId="77777777">
        <w:tc>
          <w:tcPr>
            <w:tcW w:w="32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68877D28" w14:textId="77777777" w:rsidR="009F6C07" w:rsidRDefault="00000000">
            <w:pPr>
              <w:jc w:val="both"/>
            </w:pPr>
            <w:r>
              <w:rPr>
                <w:b/>
                <w:bCs/>
                <w:sz w:val="20"/>
                <w:szCs w:val="20"/>
              </w:rPr>
              <w:lastRenderedPageBreak/>
              <w:t>Criterion 4 — Persistence Under Stress</w:t>
            </w:r>
          </w:p>
        </w:tc>
        <w:tc>
          <w:tcPr>
            <w:tcW w:w="1200" w:type="dxa"/>
            <w:tcBorders>
              <w:top w:val="single" w:sz="1" w:space="0" w:color="CCCCCC"/>
              <w:left w:val="single" w:sz="1" w:space="0" w:color="CCCCCC"/>
              <w:bottom w:val="single" w:sz="1" w:space="0" w:color="CCCCCC"/>
              <w:right w:val="single" w:sz="1" w:space="0" w:color="CCCCCC"/>
            </w:tcBorders>
            <w:shd w:val="clear" w:color="auto" w:fill="D5E8D4"/>
            <w:tcMar>
              <w:top w:w="60" w:type="dxa"/>
              <w:left w:w="80" w:type="dxa"/>
              <w:bottom w:w="60" w:type="dxa"/>
              <w:right w:w="80" w:type="dxa"/>
            </w:tcMar>
          </w:tcPr>
          <w:p w14:paraId="30D94D5C" w14:textId="77777777" w:rsidR="009F6C07" w:rsidRDefault="00000000">
            <w:pPr>
              <w:jc w:val="center"/>
            </w:pPr>
            <w:r>
              <w:rPr>
                <w:b/>
                <w:bCs/>
                <w:color w:val="375623"/>
                <w:sz w:val="20"/>
                <w:szCs w:val="20"/>
              </w:rPr>
              <w:t>✓ PASS</w:t>
            </w:r>
          </w:p>
        </w:tc>
        <w:tc>
          <w:tcPr>
            <w:tcW w:w="4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79967E" w14:textId="77777777" w:rsidR="009F6C07" w:rsidRDefault="00000000">
            <w:pPr>
              <w:jc w:val="both"/>
            </w:pPr>
            <w:r>
              <w:rPr>
                <w:sz w:val="20"/>
                <w:szCs w:val="20"/>
              </w:rPr>
              <w:t xml:space="preserve">Symbolic system active across the Younger Dryas recovery (11,700–10,500 BCE) and into the early PPNB (8,800–8,000 BCE). Landslides at </w:t>
            </w:r>
            <w:proofErr w:type="spellStart"/>
            <w:r>
              <w:rPr>
                <w:sz w:val="20"/>
                <w:szCs w:val="20"/>
              </w:rPr>
              <w:t>Göbekli</w:t>
            </w:r>
            <w:proofErr w:type="spellEnd"/>
            <w:r>
              <w:rPr>
                <w:sz w:val="20"/>
                <w:szCs w:val="20"/>
              </w:rPr>
              <w:t xml:space="preserve"> Tepe triggered repair and reconstruction rather than abandonment. Symbolic grammar persisted through multiple structural damage events spanning centuries.</w:t>
            </w:r>
          </w:p>
        </w:tc>
      </w:tr>
    </w:tbl>
    <w:p w14:paraId="6A7CDAE5" w14:textId="77777777" w:rsidR="009F6C07" w:rsidRDefault="009F6C07">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F6C07" w14:paraId="0D7AB33D" w14:textId="77777777">
        <w:tc>
          <w:tcPr>
            <w:tcW w:w="0" w:type="auto"/>
            <w:tcBorders>
              <w:top w:val="single" w:sz="6" w:space="0" w:color="2E5FA3"/>
              <w:left w:val="single" w:sz="6" w:space="0" w:color="2E5FA3"/>
              <w:bottom w:val="single" w:sz="6" w:space="0" w:color="2E5FA3"/>
              <w:right w:val="single" w:sz="6" w:space="0" w:color="2E5FA3"/>
            </w:tcBorders>
            <w:shd w:val="clear" w:color="auto" w:fill="EEF2F7"/>
            <w:tcMar>
              <w:top w:w="120" w:type="dxa"/>
              <w:left w:w="200" w:type="dxa"/>
              <w:bottom w:w="120" w:type="dxa"/>
              <w:right w:w="200" w:type="dxa"/>
            </w:tcMar>
          </w:tcPr>
          <w:p w14:paraId="52E6814B" w14:textId="77777777" w:rsidR="009F6C07" w:rsidRDefault="00000000">
            <w:pPr>
              <w:spacing w:before="60" w:after="20"/>
            </w:pPr>
            <w:r>
              <w:rPr>
                <w:b/>
                <w:bCs/>
              </w:rPr>
              <w:t xml:space="preserve">DSSM Verdict: 4/4 criteria </w:t>
            </w:r>
            <w:proofErr w:type="gramStart"/>
            <w:r>
              <w:rPr>
                <w:b/>
                <w:bCs/>
              </w:rPr>
              <w:t>satisfied  |</w:t>
            </w:r>
            <w:proofErr w:type="gramEnd"/>
            <w:r>
              <w:rPr>
                <w:b/>
                <w:bCs/>
              </w:rPr>
              <w:t xml:space="preserve">  Composite FCP (principal sites avg.): 9.75/12</w:t>
            </w:r>
          </w:p>
          <w:p w14:paraId="6FFB0EFB" w14:textId="77777777" w:rsidR="009F6C07" w:rsidRDefault="00000000">
            <w:pPr>
              <w:spacing w:before="10" w:after="40"/>
            </w:pPr>
            <w:r>
              <w:rPr>
                <w:sz w:val="21"/>
                <w:szCs w:val="21"/>
              </w:rPr>
              <w:t xml:space="preserve">Stage: 3 (Material Amplification and Externalization) with incipient Stage 4 </w:t>
            </w:r>
            <w:proofErr w:type="gramStart"/>
            <w:r>
              <w:rPr>
                <w:sz w:val="21"/>
                <w:szCs w:val="21"/>
              </w:rPr>
              <w:t>signatures  |</w:t>
            </w:r>
            <w:proofErr w:type="gramEnd"/>
            <w:r>
              <w:rPr>
                <w:sz w:val="21"/>
                <w:szCs w:val="21"/>
              </w:rPr>
              <w:t xml:space="preserve">  Pathway: Distributed/Network with emerging Stone-Anchor features</w:t>
            </w:r>
          </w:p>
        </w:tc>
      </w:tr>
    </w:tbl>
    <w:p w14:paraId="373AEEF9" w14:textId="77777777" w:rsidR="009F6C07" w:rsidRDefault="009F6C07">
      <w:pPr>
        <w:spacing w:before="160"/>
      </w:pPr>
    </w:p>
    <w:p w14:paraId="6AEE88B1" w14:textId="77777777" w:rsidR="009F6C07" w:rsidRDefault="00000000">
      <w:pPr>
        <w:pStyle w:val="Heading1"/>
      </w:pPr>
      <w:r>
        <w:t>5.  DSSM Evaluation</w:t>
      </w:r>
    </w:p>
    <w:p w14:paraId="5BFEDE04" w14:textId="77777777" w:rsidR="009F6C07" w:rsidRDefault="00000000">
      <w:pPr>
        <w:pStyle w:val="Heading2"/>
      </w:pPr>
      <w:proofErr w:type="gramStart"/>
      <w:r>
        <w:t>5.1  Stage</w:t>
      </w:r>
      <w:proofErr w:type="gramEnd"/>
      <w:r>
        <w:t xml:space="preserve"> Classification</w:t>
      </w:r>
    </w:p>
    <w:p w14:paraId="5B98390F" w14:textId="77777777" w:rsidR="009F6C07" w:rsidRDefault="00000000">
      <w:pPr>
        <w:spacing w:before="80" w:after="100"/>
        <w:jc w:val="both"/>
      </w:pPr>
      <w:r>
        <w:t xml:space="preserve">Taş </w:t>
      </w:r>
      <w:proofErr w:type="spellStart"/>
      <w:r>
        <w:t>Tepeler</w:t>
      </w:r>
      <w:proofErr w:type="spellEnd"/>
      <w:r>
        <w:t xml:space="preserve"> satisfies all Stage 3 indicators: community sizes sufficient to approach the ~500-person coordination threshold (implied by the labor scale of multi-ton pillar quarrying across a 200km network); symbolic load clearly exceeding biological transmission capacity (12 sites maintaining shared vocabulary, mortuary practices, and portable symbolic anchors across spatial distance); and material externalization functioning as a structural necessity rather than a cultural option.</w:t>
      </w:r>
      <w:r>
        <w:rPr>
          <w:rStyle w:val="FootnoteReference"/>
        </w:rPr>
        <w:footnoteReference w:id="23"/>
      </w:r>
      <w:r>
        <w:rPr>
          <w:vertAlign w:val="superscript"/>
        </w:rPr>
        <w:t>,</w:t>
      </w:r>
      <w:r>
        <w:rPr>
          <w:rStyle w:val="FootnoteReference"/>
        </w:rPr>
        <w:footnoteReference w:id="24"/>
      </w:r>
    </w:p>
    <w:p w14:paraId="79D1ED15" w14:textId="77777777" w:rsidR="009F6C07" w:rsidRDefault="00000000">
      <w:pPr>
        <w:spacing w:before="80" w:after="100"/>
        <w:jc w:val="both"/>
      </w:pPr>
      <w:r>
        <w:t xml:space="preserve">Two incipient Stage 4 signatures are present. At </w:t>
      </w:r>
      <w:proofErr w:type="spellStart"/>
      <w:r>
        <w:t>Göbekli</w:t>
      </w:r>
      <w:proofErr w:type="spellEnd"/>
      <w:r>
        <w:t xml:space="preserve"> Tepe, a human figurine was deliberately placed inside a wall as a votive offering (2025 season)</w:t>
      </w:r>
      <w:r>
        <w:rPr>
          <w:rStyle w:val="FootnoteReference"/>
        </w:rPr>
        <w:footnoteReference w:id="25"/>
      </w:r>
      <w:r>
        <w:t xml:space="preserve"> — proto-institutional behavior in which a symbolic object is formally deposited within architecture as a permanent record. At </w:t>
      </w:r>
      <w:proofErr w:type="spellStart"/>
      <w:r>
        <w:t>Sefertepe</w:t>
      </w:r>
      <w:proofErr w:type="spellEnd"/>
      <w:r>
        <w:t>, the skull room functions as a ritual archive</w:t>
      </w:r>
      <w:r>
        <w:rPr>
          <w:rStyle w:val="FootnoteReference"/>
        </w:rPr>
        <w:footnoteReference w:id="26"/>
      </w:r>
      <w:r>
        <w:t xml:space="preserve"> — a dedicated spatial substrate storing collective ancestral identity across generations. Neither is yet administrative, but both represent the logic from which administrative systems eventually emerge.</w:t>
      </w:r>
    </w:p>
    <w:p w14:paraId="05812968" w14:textId="77777777" w:rsidR="009F6C07" w:rsidRDefault="00000000">
      <w:pPr>
        <w:pStyle w:val="Heading2"/>
      </w:pPr>
      <w:proofErr w:type="gramStart"/>
      <w:r>
        <w:t>5.2  Stabilization</w:t>
      </w:r>
      <w:proofErr w:type="gramEnd"/>
      <w:r>
        <w:t xml:space="preserve"> Pathway</w:t>
      </w:r>
    </w:p>
    <w:p w14:paraId="471E281D" w14:textId="77777777" w:rsidR="009F6C07" w:rsidRDefault="00000000">
      <w:pPr>
        <w:spacing w:before="80" w:after="100"/>
        <w:jc w:val="both"/>
      </w:pPr>
      <w:r>
        <w:t xml:space="preserve">The landscape maps to the Distributed/Network stabilization pathway: symbolic coherence maintained across dispersed ritual centers through shared iconographic grammar, without centralized </w:t>
      </w:r>
      <w:r>
        <w:lastRenderedPageBreak/>
        <w:t>administration.</w:t>
      </w:r>
      <w:r>
        <w:rPr>
          <w:rStyle w:val="FootnoteReference"/>
        </w:rPr>
        <w:footnoteReference w:id="27"/>
      </w:r>
      <w:r>
        <w:t xml:space="preserve"> Two features suggest Stone-Anchor characteristics are beginning to emerge: </w:t>
      </w:r>
      <w:proofErr w:type="spellStart"/>
      <w:r>
        <w:t>Göbekli</w:t>
      </w:r>
      <w:proofErr w:type="spellEnd"/>
      <w:r>
        <w:t xml:space="preserve"> Tepe's 1,600-year occupation creates a degree of spatial anchoring atypical of pure distributed networks; and the consistent replication of T-pillar grammar across 200km implies a normative symbolic authority operating at landscape scale. The mechanism of that authority — pilgrimage, seasonal aggregation, specialist transmission — remains an open research question.</w:t>
      </w:r>
    </w:p>
    <w:p w14:paraId="6AF5B640" w14:textId="77777777" w:rsidR="009F6C07" w:rsidRDefault="00000000">
      <w:pPr>
        <w:pStyle w:val="Heading2"/>
      </w:pPr>
      <w:proofErr w:type="gramStart"/>
      <w:r>
        <w:t>5.3  Subsistence</w:t>
      </w:r>
      <w:proofErr w:type="gramEnd"/>
      <w:r>
        <w:t xml:space="preserve"> Evidence</w:t>
      </w:r>
    </w:p>
    <w:p w14:paraId="6F5DADA8" w14:textId="77777777" w:rsidR="009F6C07" w:rsidRDefault="00000000">
      <w:pPr>
        <w:spacing w:before="80" w:after="100"/>
        <w:jc w:val="both"/>
      </w:pPr>
      <w:r>
        <w:t xml:space="preserve">Archaeological and genetic evidence confirms that the communities responsible for the Taş </w:t>
      </w:r>
      <w:proofErr w:type="spellStart"/>
      <w:r>
        <w:t>Tepeler</w:t>
      </w:r>
      <w:proofErr w:type="spellEnd"/>
      <w:r>
        <w:t xml:space="preserve"> symbolic landscape were largely hunter-gatherers: subsistence based on hunting of gazelle, wild cattle, goat, and pig; intensive processing of wild cereals; communities described as 'neither fully settled farmers nor simple foraging bands.'</w:t>
      </w:r>
      <w:r>
        <w:rPr>
          <w:rStyle w:val="FootnoteReference"/>
        </w:rPr>
        <w:footnoteReference w:id="28"/>
      </w:r>
      <w:r>
        <w:t xml:space="preserve"> The first confirmed wheat domestication in the region dates to approximately 8,500–8,000 BCE — a minimum of one thousand years after the monumental symbolic program was already in full operation at Stage 3 saturation.</w:t>
      </w:r>
      <w:r>
        <w:rPr>
          <w:rStyle w:val="FootnoteReference"/>
        </w:rPr>
        <w:footnoteReference w:id="29"/>
      </w:r>
    </w:p>
    <w:p w14:paraId="77DC0256" w14:textId="77777777" w:rsidR="009F6C07" w:rsidRDefault="00000000">
      <w:pPr>
        <w:pStyle w:val="Heading2"/>
      </w:pPr>
      <w:proofErr w:type="gramStart"/>
      <w:r>
        <w:t>5.4  Site</w:t>
      </w:r>
      <w:proofErr w:type="gramEnd"/>
      <w:r>
        <w:t xml:space="preserve"> Differentiation</w:t>
      </w:r>
    </w:p>
    <w:p w14:paraId="4E528445" w14:textId="77777777" w:rsidR="009F6C07" w:rsidRDefault="00000000">
      <w:pPr>
        <w:spacing w:before="80" w:after="100"/>
        <w:jc w:val="both"/>
      </w:pPr>
      <w:r>
        <w:t xml:space="preserve">The four principal sites carry distinct symbolic identities within a shared structural grammar: </w:t>
      </w:r>
      <w:proofErr w:type="spellStart"/>
      <w:r>
        <w:t>Göbekli</w:t>
      </w:r>
      <w:proofErr w:type="spellEnd"/>
      <w:r>
        <w:t xml:space="preserve"> Tepe is zoomorphic-dominant; </w:t>
      </w:r>
      <w:proofErr w:type="spellStart"/>
      <w:r>
        <w:t>Karahantepe</w:t>
      </w:r>
      <w:proofErr w:type="spellEnd"/>
      <w:r>
        <w:t xml:space="preserve"> is anthropomorphic-dominant; </w:t>
      </w:r>
      <w:proofErr w:type="spellStart"/>
      <w:r>
        <w:t>Sayburç</w:t>
      </w:r>
      <w:proofErr w:type="spellEnd"/>
      <w:r>
        <w:t xml:space="preserve"> introduces narrative composition and explicit death representation; </w:t>
      </w:r>
      <w:proofErr w:type="spellStart"/>
      <w:r>
        <w:t>Sefertepe</w:t>
      </w:r>
      <w:proofErr w:type="spellEnd"/>
      <w:r>
        <w:t xml:space="preserve"> specializes in intimate-scale mortuary and portable symbolic production.</w:t>
      </w:r>
      <w:r>
        <w:rPr>
          <w:rStyle w:val="FootnoteReference"/>
        </w:rPr>
        <w:footnoteReference w:id="30"/>
      </w:r>
      <w:r>
        <w:t xml:space="preserve"> This pattern — structural homology with content differentiation — is the expected Stage 3 signature. It distinguishes a distributed symbolic network from a Stage 4 administrative system, which would produce standardization from above rather than local variation within a shared framework.</w:t>
      </w:r>
    </w:p>
    <w:p w14:paraId="4EA91B9D" w14:textId="77777777" w:rsidR="009F6C07" w:rsidRDefault="00000000">
      <w:pPr>
        <w:pStyle w:val="Heading2"/>
      </w:pPr>
      <w:proofErr w:type="gramStart"/>
      <w:r>
        <w:t>5.5  Negative</w:t>
      </w:r>
      <w:proofErr w:type="gramEnd"/>
      <w:r>
        <w:t xml:space="preserve"> Test Cases</w:t>
      </w:r>
    </w:p>
    <w:p w14:paraId="489539FD" w14:textId="77777777" w:rsidR="009F6C07" w:rsidRDefault="00000000">
      <w:pPr>
        <w:spacing w:before="80" w:after="100"/>
        <w:jc w:val="both"/>
      </w:pPr>
      <w:r>
        <w:t xml:space="preserve">Mendik Tepe and </w:t>
      </w:r>
      <w:proofErr w:type="spellStart"/>
      <w:r>
        <w:t>Ayanlar</w:t>
      </w:r>
      <w:proofErr w:type="spellEnd"/>
      <w:r>
        <w:t xml:space="preserve"> </w:t>
      </w:r>
      <w:proofErr w:type="spellStart"/>
      <w:r>
        <w:t>Höyük</w:t>
      </w:r>
      <w:proofErr w:type="spellEnd"/>
      <w:r>
        <w:t xml:space="preserve"> currently score 2/12 FCP. DSSM predicts two possible outcomes as excavation continues: either these sites represent an earlier developmental stage (Stage 2 transitional, below the material externalization threshold) or they are Stage 3 sites with evidence not yet exposed. Mendik Tepe's distinct architectural style — smaller pillars, no T-shape — is consistent with a parallel symbolic tradition operating at a different scale or stage. Both are active test cases for the threshold prediction.</w:t>
      </w:r>
      <w:r>
        <w:rPr>
          <w:rStyle w:val="FootnoteReference"/>
        </w:rPr>
        <w:footnoteReference w:id="31"/>
      </w:r>
      <w:r>
        <w:rPr>
          <w:vertAlign w:val="superscript"/>
        </w:rPr>
        <w:t>,</w:t>
      </w:r>
      <w:r>
        <w:rPr>
          <w:rStyle w:val="FootnoteReference"/>
        </w:rPr>
        <w:footnoteReference w:id="32"/>
      </w:r>
    </w:p>
    <w:p w14:paraId="1FDE8497" w14:textId="77777777" w:rsidR="009F6C07" w:rsidRDefault="00000000">
      <w:pPr>
        <w:pStyle w:val="Heading1"/>
      </w:pPr>
      <w:r>
        <w:t>6.  Key Symbolic Registers</w:t>
      </w:r>
    </w:p>
    <w:p w14:paraId="36915AFD" w14:textId="77777777" w:rsidR="009F6C07" w:rsidRDefault="00000000">
      <w:pPr>
        <w:pStyle w:val="Heading2"/>
      </w:pPr>
      <w:proofErr w:type="gramStart"/>
      <w:r>
        <w:t>6.1  Death</w:t>
      </w:r>
      <w:proofErr w:type="gramEnd"/>
      <w:r>
        <w:t xml:space="preserve"> Management</w:t>
      </w:r>
    </w:p>
    <w:p w14:paraId="015C765A" w14:textId="77777777" w:rsidR="009F6C07" w:rsidRDefault="00000000">
      <w:pPr>
        <w:spacing w:before="80" w:after="100"/>
        <w:jc w:val="both"/>
      </w:pPr>
      <w:r>
        <w:lastRenderedPageBreak/>
        <w:t xml:space="preserve">Every principal site engages systematically with death: skull curation with deliberate cut-marks and fire exposure at </w:t>
      </w:r>
      <w:proofErr w:type="spellStart"/>
      <w:r>
        <w:t>Karahantepe</w:t>
      </w:r>
      <w:proofErr w:type="spellEnd"/>
      <w:r>
        <w:rPr>
          <w:rStyle w:val="FootnoteReference"/>
        </w:rPr>
        <w:footnoteReference w:id="33"/>
      </w:r>
      <w:r>
        <w:t xml:space="preserve">; skull room with 22 curated crania at </w:t>
      </w:r>
      <w:proofErr w:type="spellStart"/>
      <w:r>
        <w:t>Sefertepe</w:t>
      </w:r>
      <w:proofErr w:type="spellEnd"/>
      <w:r>
        <w:rPr>
          <w:rStyle w:val="FootnoteReference"/>
        </w:rPr>
        <w:footnoteReference w:id="34"/>
      </w:r>
      <w:r>
        <w:t xml:space="preserve">; stitched-mouth death sculpture at </w:t>
      </w:r>
      <w:proofErr w:type="spellStart"/>
      <w:r>
        <w:t>Sayburç</w:t>
      </w:r>
      <w:proofErr w:type="spellEnd"/>
      <w:r>
        <w:rPr>
          <w:rStyle w:val="FootnoteReference"/>
        </w:rPr>
        <w:footnoteReference w:id="35"/>
      </w:r>
      <w:r>
        <w:t xml:space="preserve">; votive figurine placed in wall at </w:t>
      </w:r>
      <w:proofErr w:type="spellStart"/>
      <w:r>
        <w:t>Göbekli</w:t>
      </w:r>
      <w:proofErr w:type="spellEnd"/>
      <w:r>
        <w:t xml:space="preserve"> Tepe.</w:t>
      </w:r>
      <w:r>
        <w:rPr>
          <w:rStyle w:val="FootnoteReference"/>
        </w:rPr>
        <w:footnoteReference w:id="36"/>
      </w:r>
      <w:r>
        <w:t xml:space="preserve"> In DSSM terms, this represents externalization of the most cognitively demanding symbolic challenge any community faces: maintaining social identity and coordination continuity across the death of individual carriers. The Taş </w:t>
      </w:r>
      <w:proofErr w:type="spellStart"/>
      <w:r>
        <w:t>Tepeler</w:t>
      </w:r>
      <w:proofErr w:type="spellEnd"/>
      <w:r>
        <w:t xml:space="preserve"> evidence shows communities that had developed institutional-precursor solutions — in stone, bone, and spatial architecture — for encoding the dead as permanent symbolic objects within the living </w:t>
      </w:r>
      <w:proofErr w:type="gramStart"/>
      <w:r>
        <w:t>community's built</w:t>
      </w:r>
      <w:proofErr w:type="gramEnd"/>
      <w:r>
        <w:t xml:space="preserve"> environment.</w:t>
      </w:r>
    </w:p>
    <w:p w14:paraId="53351763" w14:textId="77777777" w:rsidR="009F6C07" w:rsidRDefault="00000000">
      <w:pPr>
        <w:pStyle w:val="Heading2"/>
      </w:pPr>
      <w:proofErr w:type="gramStart"/>
      <w:r>
        <w:t>6.2  The</w:t>
      </w:r>
      <w:proofErr w:type="gramEnd"/>
      <w:r>
        <w:t xml:space="preserve"> Anthropomorphic Turn</w:t>
      </w:r>
    </w:p>
    <w:p w14:paraId="36CF0FC0" w14:textId="77777777" w:rsidR="009F6C07" w:rsidRDefault="00000000">
      <w:pPr>
        <w:spacing w:before="80" w:after="100"/>
        <w:jc w:val="both"/>
      </w:pPr>
      <w:r>
        <w:t xml:space="preserve">The T-pillar was always implicitly anthropomorphic — arms, hands, and belt confirmed on the central pillars of </w:t>
      </w:r>
      <w:proofErr w:type="spellStart"/>
      <w:r>
        <w:t>Göbekli</w:t>
      </w:r>
      <w:proofErr w:type="spellEnd"/>
      <w:r>
        <w:t xml:space="preserve"> Tepe's Enclosure D.</w:t>
      </w:r>
      <w:r>
        <w:rPr>
          <w:rStyle w:val="FootnoteReference"/>
        </w:rPr>
        <w:footnoteReference w:id="37"/>
      </w:r>
      <w:r>
        <w:t xml:space="preserve"> </w:t>
      </w:r>
      <w:proofErr w:type="spellStart"/>
      <w:r>
        <w:t>Karahantepe</w:t>
      </w:r>
      <w:proofErr w:type="spellEnd"/>
      <w:r>
        <w:t xml:space="preserve"> makes this encoding explicit, culminating in the 2025 discovery of a T-pillar with a fully carved three-dimensional face.</w:t>
      </w:r>
      <w:r>
        <w:rPr>
          <w:rStyle w:val="FootnoteReference"/>
        </w:rPr>
        <w:footnoteReference w:id="38"/>
      </w:r>
      <w:r>
        <w:t xml:space="preserve"> This trajectory — from implied to explicit anthropomorphic encoding — may represent a threshold moment in which the symbolic system begins encoding specific persons (ancestors, role-holders) rather than only categorical forms.</w:t>
      </w:r>
    </w:p>
    <w:p w14:paraId="409C1570" w14:textId="77777777" w:rsidR="009F6C07" w:rsidRDefault="00000000">
      <w:pPr>
        <w:pStyle w:val="Heading2"/>
      </w:pPr>
      <w:proofErr w:type="gramStart"/>
      <w:r>
        <w:t>6.3  Portable</w:t>
      </w:r>
      <w:proofErr w:type="gramEnd"/>
      <w:r>
        <w:t xml:space="preserve"> Symbolic Economy</w:t>
      </w:r>
    </w:p>
    <w:p w14:paraId="3EEF379D" w14:textId="77777777" w:rsidR="009F6C07" w:rsidRDefault="00000000">
      <w:pPr>
        <w:spacing w:before="80" w:after="100"/>
        <w:jc w:val="both"/>
      </w:pPr>
      <w:r>
        <w:t xml:space="preserve">Jade and labradorite beads at </w:t>
      </w:r>
      <w:proofErr w:type="spellStart"/>
      <w:r>
        <w:t>Sefertepe</w:t>
      </w:r>
      <w:proofErr w:type="spellEnd"/>
      <w:r>
        <w:t xml:space="preserve"> are non-local materials, documenting exchange networks extending beyond the immediate landscape.</w:t>
      </w:r>
      <w:r>
        <w:rPr>
          <w:rStyle w:val="FootnoteReference"/>
        </w:rPr>
        <w:footnoteReference w:id="39"/>
      </w:r>
      <w:r>
        <w:t xml:space="preserve"> The double-faced human figurine motif appears first at </w:t>
      </w:r>
      <w:proofErr w:type="spellStart"/>
      <w:r>
        <w:t>Karahantepe</w:t>
      </w:r>
      <w:proofErr w:type="spellEnd"/>
      <w:r>
        <w:t xml:space="preserve"> and </w:t>
      </w:r>
      <w:proofErr w:type="spellStart"/>
      <w:r>
        <w:t>Sayburç</w:t>
      </w:r>
      <w:proofErr w:type="spellEnd"/>
      <w:r>
        <w:t xml:space="preserve"> as architectural-scale objects, then as bead-scale personal ornaments at </w:t>
      </w:r>
      <w:proofErr w:type="spellStart"/>
      <w:r>
        <w:t>Sefertepe</w:t>
      </w:r>
      <w:proofErr w:type="spellEnd"/>
      <w:r>
        <w:t xml:space="preserve"> — showing the miniaturization of monumental symbolic content into portable form for personal transmission.</w:t>
      </w:r>
      <w:r>
        <w:rPr>
          <w:rStyle w:val="FootnoteReference"/>
        </w:rPr>
        <w:footnoteReference w:id="40"/>
      </w:r>
      <w:r>
        <w:t xml:space="preserve"> This is the DSSM PSA mechanism operating at full resolution: symbolic coherence maintained across spatial distance through miniaturized portable anchors, without central administration.</w:t>
      </w:r>
    </w:p>
    <w:p w14:paraId="7A355846" w14:textId="77777777" w:rsidR="009F6C07" w:rsidRDefault="00000000">
      <w:pPr>
        <w:pStyle w:val="Heading1"/>
      </w:pPr>
      <w:r>
        <w:t>7.  Summary Conclusions</w:t>
      </w:r>
    </w:p>
    <w:p w14:paraId="6B887841" w14:textId="77777777" w:rsidR="009F6C07" w:rsidRDefault="009F6C07">
      <w:pPr>
        <w:spacing w:before="80"/>
      </w:pPr>
    </w:p>
    <w:p w14:paraId="6D7A34FF" w14:textId="77777777" w:rsidR="009F6C07" w:rsidRDefault="00000000">
      <w:pPr>
        <w:pStyle w:val="ListParagraph"/>
        <w:numPr>
          <w:ilvl w:val="0"/>
          <w:numId w:val="2"/>
        </w:numPr>
        <w:spacing w:before="40" w:after="40"/>
      </w:pPr>
      <w:r>
        <w:t>DSSM saturation confirmed: all four stabilization criteria satisfied at landscape level; all four principal sites achieve individual FCP saturation (scores 8–11/12).</w:t>
      </w:r>
    </w:p>
    <w:p w14:paraId="044FFD52" w14:textId="77777777" w:rsidR="009F6C07" w:rsidRDefault="00000000">
      <w:pPr>
        <w:pStyle w:val="ListParagraph"/>
        <w:numPr>
          <w:ilvl w:val="0"/>
          <w:numId w:val="2"/>
        </w:numPr>
        <w:spacing w:before="40" w:after="40"/>
      </w:pPr>
      <w:r>
        <w:t xml:space="preserve">Stage classification: Stage 3 (Material Amplification and Externalization) with incipient Stage 4 signatures present at </w:t>
      </w:r>
      <w:proofErr w:type="spellStart"/>
      <w:r>
        <w:t>Göbekli</w:t>
      </w:r>
      <w:proofErr w:type="spellEnd"/>
      <w:r>
        <w:t xml:space="preserve"> Tepe and </w:t>
      </w:r>
      <w:proofErr w:type="spellStart"/>
      <w:r>
        <w:t>Sefertepe</w:t>
      </w:r>
      <w:proofErr w:type="spellEnd"/>
      <w:r>
        <w:t>.</w:t>
      </w:r>
    </w:p>
    <w:p w14:paraId="0BB5EECF" w14:textId="77777777" w:rsidR="009F6C07" w:rsidRDefault="00000000">
      <w:pPr>
        <w:pStyle w:val="ListParagraph"/>
        <w:numPr>
          <w:ilvl w:val="0"/>
          <w:numId w:val="2"/>
        </w:numPr>
        <w:spacing w:before="40" w:after="40"/>
      </w:pPr>
      <w:r>
        <w:lastRenderedPageBreak/>
        <w:t>Stabilization pathway: Distributed/Network with emerging Stone-Anchor features; symbolic coherence maintained through shared grammar across 200km without centralized administration.</w:t>
      </w:r>
    </w:p>
    <w:p w14:paraId="5D9741A1" w14:textId="77777777" w:rsidR="009F6C07" w:rsidRDefault="00000000">
      <w:pPr>
        <w:pStyle w:val="ListParagraph"/>
        <w:numPr>
          <w:ilvl w:val="0"/>
          <w:numId w:val="2"/>
        </w:numPr>
        <w:spacing w:before="40" w:after="40"/>
      </w:pPr>
      <w:r>
        <w:t>Subsistence evidence: the communities responsible for this symbolic landscape were largely hunter-gatherers. Agriculture followed monumental symbolic construction by approximately one thousand years.</w:t>
      </w:r>
      <w:r>
        <w:rPr>
          <w:rStyle w:val="FootnoteReference"/>
        </w:rPr>
        <w:footnoteReference w:id="41"/>
      </w:r>
    </w:p>
    <w:p w14:paraId="0EBDB3CE" w14:textId="77777777" w:rsidR="009F6C07" w:rsidRDefault="00000000">
      <w:pPr>
        <w:pStyle w:val="ListParagraph"/>
        <w:numPr>
          <w:ilvl w:val="0"/>
          <w:numId w:val="2"/>
        </w:numPr>
        <w:spacing w:before="40" w:after="40"/>
      </w:pPr>
      <w:r>
        <w:t>Site differentiation confirms Stage 3 prediction: structural homology with content differentiation across sites is consistent with a distributed symbolic network rather than an administered system.</w:t>
      </w:r>
    </w:p>
    <w:p w14:paraId="1EA7920C" w14:textId="77777777" w:rsidR="009F6C07" w:rsidRDefault="00000000">
      <w:pPr>
        <w:pStyle w:val="ListParagraph"/>
        <w:numPr>
          <w:ilvl w:val="0"/>
          <w:numId w:val="2"/>
        </w:numPr>
        <w:spacing w:before="40" w:after="40"/>
      </w:pPr>
      <w:r>
        <w:t>Death management is the primary symbolic register: systematic, multi-modal engagement with death is present at every principal site, indicating that social continuity across individual mortality was the central organizing demand on the symbolic system.</w:t>
      </w:r>
    </w:p>
    <w:p w14:paraId="1D9A9048" w14:textId="77777777" w:rsidR="009F6C07" w:rsidRDefault="00000000">
      <w:pPr>
        <w:pStyle w:val="ListParagraph"/>
        <w:numPr>
          <w:ilvl w:val="0"/>
          <w:numId w:val="2"/>
        </w:numPr>
        <w:spacing w:before="40" w:after="40"/>
      </w:pPr>
      <w:r>
        <w:t xml:space="preserve">Portable symbolic economy confirms a functional long-distance transmission network: non-local materials and miniaturized motif versions at </w:t>
      </w:r>
      <w:proofErr w:type="spellStart"/>
      <w:r>
        <w:t>Sefertepe</w:t>
      </w:r>
      <w:proofErr w:type="spellEnd"/>
      <w:r>
        <w:t xml:space="preserve"> document exchange and symbolic transmission across spatial distance without administrative infrastructure.</w:t>
      </w:r>
    </w:p>
    <w:p w14:paraId="4D9DDD4B" w14:textId="77777777" w:rsidR="009F6C07" w:rsidRDefault="00000000">
      <w:pPr>
        <w:pStyle w:val="ListParagraph"/>
        <w:numPr>
          <w:ilvl w:val="0"/>
          <w:numId w:val="2"/>
        </w:numPr>
        <w:spacing w:before="40" w:after="40"/>
      </w:pPr>
      <w:r>
        <w:t xml:space="preserve">Mendik Tepe and </w:t>
      </w:r>
      <w:proofErr w:type="spellStart"/>
      <w:r>
        <w:t>Ayanlar</w:t>
      </w:r>
      <w:proofErr w:type="spellEnd"/>
      <w:r>
        <w:t xml:space="preserve"> </w:t>
      </w:r>
      <w:proofErr w:type="spellStart"/>
      <w:r>
        <w:t>Höyük</w:t>
      </w:r>
      <w:proofErr w:type="spellEnd"/>
      <w:r>
        <w:t xml:space="preserve"> are active negative test cases: DSSM predicts their low scores will either remain stable (Stage 2 tradition) or rise as excavation exposes buried Stage 3 evidence.</w:t>
      </w:r>
      <w:r>
        <w:rPr>
          <w:rStyle w:val="FootnoteReference"/>
        </w:rPr>
        <w:footnoteReference w:id="42"/>
      </w:r>
      <w:r>
        <w:rPr>
          <w:vertAlign w:val="superscript"/>
        </w:rPr>
        <w:t>,</w:t>
      </w:r>
      <w:r>
        <w:rPr>
          <w:rStyle w:val="FootnoteReference"/>
        </w:rPr>
        <w:footnoteReference w:id="43"/>
      </w:r>
    </w:p>
    <w:p w14:paraId="3C3F567F" w14:textId="77777777" w:rsidR="009F6C07" w:rsidRDefault="009F6C0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F6C07" w14:paraId="1A753214" w14:textId="77777777">
        <w:tc>
          <w:tcPr>
            <w:tcW w:w="0" w:type="auto"/>
            <w:tcBorders>
              <w:top w:val="single" w:sz="6" w:space="0" w:color="2E5FA3"/>
              <w:left w:val="single" w:sz="6" w:space="0" w:color="2E5FA3"/>
              <w:bottom w:val="single" w:sz="6" w:space="0" w:color="2E5FA3"/>
              <w:right w:val="single" w:sz="6" w:space="0" w:color="2E5FA3"/>
            </w:tcBorders>
            <w:shd w:val="clear" w:color="auto" w:fill="EEF2F7"/>
            <w:tcMar>
              <w:top w:w="120" w:type="dxa"/>
              <w:left w:w="200" w:type="dxa"/>
              <w:bottom w:w="120" w:type="dxa"/>
              <w:right w:w="200" w:type="dxa"/>
            </w:tcMar>
          </w:tcPr>
          <w:p w14:paraId="64E60E37" w14:textId="77777777" w:rsidR="009F6C07" w:rsidRDefault="00000000">
            <w:pPr>
              <w:spacing w:before="60" w:after="20"/>
              <w:rPr>
                <w:b/>
                <w:bCs/>
                <w:color w:val="1F3864"/>
              </w:rPr>
            </w:pPr>
            <w:r>
              <w:rPr>
                <w:b/>
                <w:bCs/>
                <w:color w:val="1F3864"/>
              </w:rPr>
              <w:t xml:space="preserve">On the Taş </w:t>
            </w:r>
            <w:proofErr w:type="spellStart"/>
            <w:r>
              <w:rPr>
                <w:b/>
                <w:bCs/>
                <w:color w:val="1F3864"/>
              </w:rPr>
              <w:t>Tepeler</w:t>
            </w:r>
            <w:proofErr w:type="spellEnd"/>
            <w:r>
              <w:rPr>
                <w:b/>
                <w:bCs/>
                <w:color w:val="1F3864"/>
              </w:rPr>
              <w:t xml:space="preserve"> landscape as an empirical case:</w:t>
            </w:r>
          </w:p>
          <w:p w14:paraId="00719D5E" w14:textId="77777777" w:rsidR="002249E4" w:rsidRDefault="002249E4">
            <w:pPr>
              <w:spacing w:before="60" w:after="20"/>
            </w:pPr>
          </w:p>
          <w:p w14:paraId="68BC4A24" w14:textId="77777777" w:rsidR="009F6C07" w:rsidRDefault="00000000">
            <w:pPr>
              <w:spacing w:before="10" w:after="40"/>
            </w:pPr>
            <w:r>
              <w:rPr>
                <w:sz w:val="21"/>
                <w:szCs w:val="21"/>
              </w:rPr>
              <w:t xml:space="preserve">The four principal sites collectively represent the </w:t>
            </w:r>
            <w:proofErr w:type="gramStart"/>
            <w:r>
              <w:rPr>
                <w:sz w:val="21"/>
                <w:szCs w:val="21"/>
              </w:rPr>
              <w:t>highest-scoring</w:t>
            </w:r>
            <w:proofErr w:type="gramEnd"/>
            <w:r>
              <w:rPr>
                <w:sz w:val="21"/>
                <w:szCs w:val="21"/>
              </w:rPr>
              <w:t>, most comprehensively evidenced DSSM Stage 3 case in the current global archaeological record. The subsistence data provides a clean test condition: a fully saturated symbolic system, operating at Stage 3 across twelve interconnected sites, in communities that had not yet domesticated plants or animals. The causal sequence documented here runs from symbolic stabilization to coordinated labor mobilization to incipient sedentism — not the reverse.</w:t>
            </w:r>
          </w:p>
        </w:tc>
      </w:tr>
    </w:tbl>
    <w:p w14:paraId="1D0EEB6E" w14:textId="77777777" w:rsidR="009F6C07" w:rsidRDefault="009F6C07">
      <w:pPr>
        <w:spacing w:before="160"/>
      </w:pPr>
    </w:p>
    <w:p w14:paraId="606A9D59" w14:textId="77777777" w:rsidR="009F6C07" w:rsidRDefault="00000000">
      <w:r>
        <w:br w:type="page"/>
      </w:r>
    </w:p>
    <w:p w14:paraId="7523369F" w14:textId="77777777" w:rsidR="009F6C07" w:rsidRDefault="00000000">
      <w:pPr>
        <w:pStyle w:val="Heading1"/>
      </w:pPr>
      <w:r>
        <w:lastRenderedPageBreak/>
        <w:t>Bibliography</w:t>
      </w:r>
    </w:p>
    <w:p w14:paraId="62F3630D" w14:textId="77777777" w:rsidR="009F6C07" w:rsidRDefault="00000000">
      <w:pPr>
        <w:spacing w:before="40" w:after="60"/>
        <w:ind w:left="720" w:hanging="720"/>
      </w:pPr>
      <w:r>
        <w:rPr>
          <w:rFonts w:ascii="Times New Roman" w:eastAsia="Times New Roman" w:hAnsi="Times New Roman" w:cs="Times New Roman"/>
          <w:sz w:val="20"/>
          <w:szCs w:val="20"/>
        </w:rPr>
        <w:t>Assmann, Jan. Cultural Memory and Early Civilization: Writing, Remembrance, and Political Imagination. Cambridge: Cambridge University Press, 2011.</w:t>
      </w:r>
    </w:p>
    <w:p w14:paraId="2E2BDC24" w14:textId="77777777" w:rsidR="009F6C07" w:rsidRDefault="00000000">
      <w:pPr>
        <w:spacing w:before="40" w:after="60"/>
        <w:ind w:left="720" w:hanging="720"/>
      </w:pPr>
      <w:r>
        <w:rPr>
          <w:rFonts w:ascii="Times New Roman" w:eastAsia="Times New Roman" w:hAnsi="Times New Roman" w:cs="Times New Roman"/>
          <w:sz w:val="20"/>
          <w:szCs w:val="20"/>
        </w:rPr>
        <w:t>Cauvin, Jacques. The Birth of the Gods and the Origins of Agriculture. Cambridge: Cambridge University Press, 2000.</w:t>
      </w:r>
    </w:p>
    <w:p w14:paraId="63A91290" w14:textId="77777777" w:rsidR="009F6C07" w:rsidRDefault="00000000">
      <w:pPr>
        <w:spacing w:before="40" w:after="60"/>
        <w:ind w:left="720" w:hanging="720"/>
      </w:pPr>
      <w:r>
        <w:rPr>
          <w:rFonts w:ascii="Times New Roman" w:eastAsia="Times New Roman" w:hAnsi="Times New Roman" w:cs="Times New Roman"/>
          <w:sz w:val="20"/>
          <w:szCs w:val="20"/>
        </w:rPr>
        <w:t>Diamond, Jared. Guns, Germs, and Steel: The Fates of Human Societies. New York: Norton, 1997.</w:t>
      </w:r>
    </w:p>
    <w:p w14:paraId="683A1512" w14:textId="77777777" w:rsidR="009F6C07" w:rsidRDefault="00000000">
      <w:pPr>
        <w:spacing w:before="40" w:after="60"/>
        <w:ind w:left="720" w:hanging="720"/>
      </w:pPr>
      <w:r>
        <w:rPr>
          <w:rFonts w:ascii="Times New Roman" w:eastAsia="Times New Roman" w:hAnsi="Times New Roman" w:cs="Times New Roman"/>
          <w:sz w:val="20"/>
          <w:szCs w:val="20"/>
        </w:rPr>
        <w:t>Donald, Merlin. Origins of the Modern Mind: Three Stages in the Evolution of Culture and Cognition. Cambridge, MA: Harvard University Press, 1991.</w:t>
      </w:r>
    </w:p>
    <w:p w14:paraId="17474FEC" w14:textId="77777777" w:rsidR="009F6C07" w:rsidRDefault="00000000">
      <w:pPr>
        <w:spacing w:before="40" w:after="60"/>
        <w:ind w:left="720" w:hanging="720"/>
      </w:pPr>
      <w:r>
        <w:rPr>
          <w:rFonts w:ascii="Times New Roman" w:eastAsia="Times New Roman" w:hAnsi="Times New Roman" w:cs="Times New Roman"/>
          <w:sz w:val="20"/>
          <w:szCs w:val="20"/>
        </w:rPr>
        <w:t>Gamble, Clive. Settling the Earth: The Archaeology of Deep Human History. Cambridge: Cambridge University Press, 2013.</w:t>
      </w:r>
    </w:p>
    <w:p w14:paraId="25D1D84B" w14:textId="77777777" w:rsidR="009F6C07" w:rsidRDefault="00000000">
      <w:pPr>
        <w:spacing w:before="40" w:after="60"/>
        <w:ind w:left="720" w:hanging="720"/>
      </w:pPr>
      <w:r>
        <w:rPr>
          <w:rFonts w:ascii="Times New Roman" w:eastAsia="Times New Roman" w:hAnsi="Times New Roman" w:cs="Times New Roman"/>
          <w:sz w:val="20"/>
          <w:szCs w:val="20"/>
        </w:rPr>
        <w:t>Goody, Jack. The Logic of Writing and the Organization of Society. Cambridge: Cambridge University Press, 1986.</w:t>
      </w:r>
    </w:p>
    <w:p w14:paraId="7E637AA0" w14:textId="77777777" w:rsidR="009F6C07" w:rsidRDefault="00000000">
      <w:pPr>
        <w:spacing w:before="40" w:after="60"/>
        <w:ind w:left="720" w:hanging="720"/>
      </w:pPr>
      <w:r>
        <w:rPr>
          <w:rFonts w:ascii="Times New Roman" w:eastAsia="Times New Roman" w:hAnsi="Times New Roman" w:cs="Times New Roman"/>
          <w:sz w:val="20"/>
          <w:szCs w:val="20"/>
        </w:rPr>
        <w:t>Henrich, Joseph. The Secret of Our Success. Princeton: Princeton University Press, 2016.</w:t>
      </w:r>
    </w:p>
    <w:p w14:paraId="496453F8" w14:textId="77777777" w:rsidR="009F6C07" w:rsidRDefault="00000000">
      <w:pPr>
        <w:spacing w:before="40" w:after="60"/>
        <w:ind w:left="720" w:hanging="720"/>
      </w:pPr>
      <w:proofErr w:type="spellStart"/>
      <w:r>
        <w:rPr>
          <w:rFonts w:ascii="Times New Roman" w:eastAsia="Times New Roman" w:hAnsi="Times New Roman" w:cs="Times New Roman"/>
          <w:sz w:val="20"/>
          <w:szCs w:val="20"/>
        </w:rPr>
        <w:t>Henshilwood</w:t>
      </w:r>
      <w:proofErr w:type="spellEnd"/>
      <w:r>
        <w:rPr>
          <w:rFonts w:ascii="Times New Roman" w:eastAsia="Times New Roman" w:hAnsi="Times New Roman" w:cs="Times New Roman"/>
          <w:sz w:val="20"/>
          <w:szCs w:val="20"/>
        </w:rPr>
        <w:t>, Christopher S. et al. "Engraved Ochres from the Middle Stone Age Levels at Blombos Cave, South Africa." Journal of Human Evolution 57, no. 1 (2009): 27–47.</w:t>
      </w:r>
    </w:p>
    <w:p w14:paraId="28F63713" w14:textId="77777777" w:rsidR="009F6C07" w:rsidRDefault="00000000">
      <w:pPr>
        <w:spacing w:before="40" w:after="60"/>
        <w:ind w:left="720" w:hanging="720"/>
      </w:pPr>
      <w:r>
        <w:rPr>
          <w:rFonts w:ascii="Times New Roman" w:eastAsia="Times New Roman" w:hAnsi="Times New Roman" w:cs="Times New Roman"/>
          <w:sz w:val="20"/>
          <w:szCs w:val="20"/>
        </w:rPr>
        <w:t>Hutchins, Edwin. Cognition in the Wild. Cambridge, MA: MIT Press, 1995.</w:t>
      </w:r>
    </w:p>
    <w:p w14:paraId="08AB8F8D" w14:textId="77777777" w:rsidR="009F6C07" w:rsidRDefault="00000000">
      <w:pPr>
        <w:spacing w:before="40" w:after="60"/>
        <w:ind w:left="720" w:hanging="720"/>
      </w:pPr>
      <w:r>
        <w:rPr>
          <w:rFonts w:ascii="Times New Roman" w:eastAsia="Times New Roman" w:hAnsi="Times New Roman" w:cs="Times New Roman"/>
          <w:sz w:val="20"/>
          <w:szCs w:val="20"/>
        </w:rPr>
        <w:t xml:space="preserve">Jaubert, Jacques et al. "Early Neanderthal Constructions Deep in </w:t>
      </w:r>
      <w:proofErr w:type="spellStart"/>
      <w:r>
        <w:rPr>
          <w:rFonts w:ascii="Times New Roman" w:eastAsia="Times New Roman" w:hAnsi="Times New Roman" w:cs="Times New Roman"/>
          <w:sz w:val="20"/>
          <w:szCs w:val="20"/>
        </w:rPr>
        <w:t>Bruniquel</w:t>
      </w:r>
      <w:proofErr w:type="spellEnd"/>
      <w:r>
        <w:rPr>
          <w:rFonts w:ascii="Times New Roman" w:eastAsia="Times New Roman" w:hAnsi="Times New Roman" w:cs="Times New Roman"/>
          <w:sz w:val="20"/>
          <w:szCs w:val="20"/>
        </w:rPr>
        <w:t xml:space="preserve"> Cave in Southwestern France." Nature 534 (2016): 111–114.</w:t>
      </w:r>
    </w:p>
    <w:p w14:paraId="38AEB7D0" w14:textId="77777777" w:rsidR="009F6C07" w:rsidRDefault="00000000">
      <w:pPr>
        <w:spacing w:before="40" w:after="60"/>
        <w:ind w:left="720" w:hanging="720"/>
      </w:pPr>
      <w:r>
        <w:rPr>
          <w:rFonts w:ascii="Times New Roman" w:eastAsia="Times New Roman" w:hAnsi="Times New Roman" w:cs="Times New Roman"/>
          <w:sz w:val="20"/>
          <w:szCs w:val="20"/>
        </w:rPr>
        <w:t xml:space="preserve">Karul, </w:t>
      </w:r>
      <w:proofErr w:type="spellStart"/>
      <w:r>
        <w:rPr>
          <w:rFonts w:ascii="Times New Roman" w:eastAsia="Times New Roman" w:hAnsi="Times New Roman" w:cs="Times New Roman"/>
          <w:sz w:val="20"/>
          <w:szCs w:val="20"/>
        </w:rPr>
        <w:t>Necmi</w:t>
      </w:r>
      <w:proofErr w:type="spellEnd"/>
      <w:r>
        <w:rPr>
          <w:rFonts w:ascii="Times New Roman" w:eastAsia="Times New Roman" w:hAnsi="Times New Roman" w:cs="Times New Roman"/>
          <w:sz w:val="20"/>
          <w:szCs w:val="20"/>
        </w:rPr>
        <w:t xml:space="preserve">. Taş </w:t>
      </w:r>
      <w:proofErr w:type="spellStart"/>
      <w:r>
        <w:rPr>
          <w:rFonts w:ascii="Times New Roman" w:eastAsia="Times New Roman" w:hAnsi="Times New Roman" w:cs="Times New Roman"/>
          <w:sz w:val="20"/>
          <w:szCs w:val="20"/>
        </w:rPr>
        <w:t>Tepeler</w:t>
      </w:r>
      <w:proofErr w:type="spellEnd"/>
      <w:r>
        <w:rPr>
          <w:rFonts w:ascii="Times New Roman" w:eastAsia="Times New Roman" w:hAnsi="Times New Roman" w:cs="Times New Roman"/>
          <w:sz w:val="20"/>
          <w:szCs w:val="20"/>
        </w:rPr>
        <w:t>: The Land of Great Transformation. Istanbul: Istanbul University / Turkish Ministry of Culture and Tourism, 2021.</w:t>
      </w:r>
    </w:p>
    <w:p w14:paraId="21CE8B1E" w14:textId="77777777" w:rsidR="009F6C07" w:rsidRDefault="00000000">
      <w:pPr>
        <w:spacing w:before="40" w:after="60"/>
        <w:ind w:left="720" w:hanging="720"/>
      </w:pPr>
      <w:r w:rsidRPr="002249E4">
        <w:rPr>
          <w:rFonts w:ascii="Times New Roman" w:eastAsia="Times New Roman" w:hAnsi="Times New Roman" w:cs="Times New Roman"/>
          <w:sz w:val="20"/>
          <w:szCs w:val="20"/>
          <w:lang w:val="it-IT"/>
        </w:rPr>
        <w:t xml:space="preserve">Marean, Curtis W. et al. </w:t>
      </w:r>
      <w:r>
        <w:rPr>
          <w:rFonts w:ascii="Times New Roman" w:eastAsia="Times New Roman" w:hAnsi="Times New Roman" w:cs="Times New Roman"/>
          <w:sz w:val="20"/>
          <w:szCs w:val="20"/>
        </w:rPr>
        <w:t>"Early Human Use of Marine Resources and Pigment in South Africa during the Middle Pleistocene." Nature 449 (2007): 905–908.</w:t>
      </w:r>
    </w:p>
    <w:p w14:paraId="0BBBCE9A" w14:textId="77777777" w:rsidR="009F6C07" w:rsidRDefault="00000000">
      <w:pPr>
        <w:spacing w:before="40" w:after="60"/>
        <w:ind w:left="720" w:hanging="720"/>
      </w:pPr>
      <w:r>
        <w:rPr>
          <w:rFonts w:ascii="Times New Roman" w:eastAsia="Times New Roman" w:hAnsi="Times New Roman" w:cs="Times New Roman"/>
          <w:sz w:val="20"/>
          <w:szCs w:val="20"/>
        </w:rPr>
        <w:t>North, Douglass C. Institutions, Institutional Change and Economic Performance. Cambridge: Cambridge University Press, 1990.</w:t>
      </w:r>
    </w:p>
    <w:p w14:paraId="3EF18F1C" w14:textId="77777777" w:rsidR="009F6C07" w:rsidRDefault="00000000">
      <w:pPr>
        <w:spacing w:before="40" w:after="60"/>
        <w:ind w:left="720" w:hanging="720"/>
      </w:pPr>
      <w:proofErr w:type="spellStart"/>
      <w:r>
        <w:rPr>
          <w:rFonts w:ascii="Times New Roman" w:eastAsia="Times New Roman" w:hAnsi="Times New Roman" w:cs="Times New Roman"/>
          <w:sz w:val="20"/>
          <w:szCs w:val="20"/>
        </w:rPr>
        <w:t>Oktaviana</w:t>
      </w:r>
      <w:proofErr w:type="spellEnd"/>
      <w:r>
        <w:rPr>
          <w:rFonts w:ascii="Times New Roman" w:eastAsia="Times New Roman" w:hAnsi="Times New Roman" w:cs="Times New Roman"/>
          <w:sz w:val="20"/>
          <w:szCs w:val="20"/>
        </w:rPr>
        <w:t>, Adhi Agus et al. "Narrative Cave Art in Indonesia by 51,200 Years Ago." Nature 631 (2024): 814–818.</w:t>
      </w:r>
    </w:p>
    <w:p w14:paraId="540C029B" w14:textId="77777777" w:rsidR="009F6C07" w:rsidRDefault="00000000">
      <w:pPr>
        <w:spacing w:before="40" w:after="60"/>
        <w:ind w:left="720" w:hanging="720"/>
      </w:pPr>
      <w:r>
        <w:rPr>
          <w:rFonts w:ascii="Times New Roman" w:eastAsia="Times New Roman" w:hAnsi="Times New Roman" w:cs="Times New Roman"/>
          <w:sz w:val="20"/>
          <w:szCs w:val="20"/>
        </w:rPr>
        <w:t>Rappaport, Roy A. Ritual and Religion in the Making of Humanity. Cambridge: Cambridge University Press, 1999.</w:t>
      </w:r>
    </w:p>
    <w:p w14:paraId="6BCCE18D" w14:textId="77777777" w:rsidR="009F6C07" w:rsidRPr="002249E4" w:rsidRDefault="00000000">
      <w:pPr>
        <w:spacing w:before="40" w:after="60"/>
        <w:ind w:left="720" w:hanging="720"/>
        <w:rPr>
          <w:lang w:val="it-IT"/>
        </w:rPr>
      </w:pPr>
      <w:r>
        <w:rPr>
          <w:rFonts w:ascii="Times New Roman" w:eastAsia="Times New Roman" w:hAnsi="Times New Roman" w:cs="Times New Roman"/>
          <w:sz w:val="20"/>
          <w:szCs w:val="20"/>
        </w:rPr>
        <w:t>Schmidt, Klaus. "</w:t>
      </w:r>
      <w:proofErr w:type="spellStart"/>
      <w:r>
        <w:rPr>
          <w:rFonts w:ascii="Times New Roman" w:eastAsia="Times New Roman" w:hAnsi="Times New Roman" w:cs="Times New Roman"/>
          <w:sz w:val="20"/>
          <w:szCs w:val="20"/>
        </w:rPr>
        <w:t>Göbekli</w:t>
      </w:r>
      <w:proofErr w:type="spellEnd"/>
      <w:r>
        <w:rPr>
          <w:rFonts w:ascii="Times New Roman" w:eastAsia="Times New Roman" w:hAnsi="Times New Roman" w:cs="Times New Roman"/>
          <w:sz w:val="20"/>
          <w:szCs w:val="20"/>
        </w:rPr>
        <w:t xml:space="preserve"> Tepe: The Stone Age Sanctuaries." </w:t>
      </w:r>
      <w:r w:rsidRPr="002249E4">
        <w:rPr>
          <w:rFonts w:ascii="Times New Roman" w:eastAsia="Times New Roman" w:hAnsi="Times New Roman" w:cs="Times New Roman"/>
          <w:sz w:val="20"/>
          <w:szCs w:val="20"/>
          <w:lang w:val="it-IT"/>
        </w:rPr>
        <w:t xml:space="preserve">Documenta </w:t>
      </w:r>
      <w:proofErr w:type="spellStart"/>
      <w:r w:rsidRPr="002249E4">
        <w:rPr>
          <w:rFonts w:ascii="Times New Roman" w:eastAsia="Times New Roman" w:hAnsi="Times New Roman" w:cs="Times New Roman"/>
          <w:sz w:val="20"/>
          <w:szCs w:val="20"/>
          <w:lang w:val="it-IT"/>
        </w:rPr>
        <w:t>Praehistorica</w:t>
      </w:r>
      <w:proofErr w:type="spellEnd"/>
      <w:r w:rsidRPr="002249E4">
        <w:rPr>
          <w:rFonts w:ascii="Times New Roman" w:eastAsia="Times New Roman" w:hAnsi="Times New Roman" w:cs="Times New Roman"/>
          <w:sz w:val="20"/>
          <w:szCs w:val="20"/>
          <w:lang w:val="it-IT"/>
        </w:rPr>
        <w:t xml:space="preserve"> 37 (2010): 239–256.</w:t>
      </w:r>
    </w:p>
    <w:p w14:paraId="2DF5D7FC" w14:textId="77777777" w:rsidR="009F6C07" w:rsidRDefault="00000000">
      <w:pPr>
        <w:spacing w:before="40" w:after="60"/>
        <w:ind w:left="720" w:hanging="720"/>
      </w:pPr>
      <w:r w:rsidRPr="002249E4">
        <w:rPr>
          <w:rFonts w:ascii="Times New Roman" w:eastAsia="Times New Roman" w:hAnsi="Times New Roman" w:cs="Times New Roman"/>
          <w:sz w:val="20"/>
          <w:szCs w:val="20"/>
          <w:lang w:val="it-IT"/>
        </w:rPr>
        <w:t>Schmandt-</w:t>
      </w:r>
      <w:proofErr w:type="spellStart"/>
      <w:r w:rsidRPr="002249E4">
        <w:rPr>
          <w:rFonts w:ascii="Times New Roman" w:eastAsia="Times New Roman" w:hAnsi="Times New Roman" w:cs="Times New Roman"/>
          <w:sz w:val="20"/>
          <w:szCs w:val="20"/>
          <w:lang w:val="it-IT"/>
        </w:rPr>
        <w:t>Besserat</w:t>
      </w:r>
      <w:proofErr w:type="spellEnd"/>
      <w:r w:rsidRPr="002249E4">
        <w:rPr>
          <w:rFonts w:ascii="Times New Roman" w:eastAsia="Times New Roman" w:hAnsi="Times New Roman" w:cs="Times New Roman"/>
          <w:sz w:val="20"/>
          <w:szCs w:val="20"/>
          <w:lang w:val="it-IT"/>
        </w:rPr>
        <w:t xml:space="preserve">, Denise. </w:t>
      </w:r>
      <w:r>
        <w:rPr>
          <w:rFonts w:ascii="Times New Roman" w:eastAsia="Times New Roman" w:hAnsi="Times New Roman" w:cs="Times New Roman"/>
          <w:sz w:val="20"/>
          <w:szCs w:val="20"/>
        </w:rPr>
        <w:t>Before Writing: From Counting to Cuneiform. Austin: University of Texas Press, 1992.</w:t>
      </w:r>
    </w:p>
    <w:p w14:paraId="4B6B9877" w14:textId="77777777" w:rsidR="009F6C07" w:rsidRDefault="00000000">
      <w:pPr>
        <w:spacing w:before="40" w:after="60"/>
        <w:ind w:left="720" w:hanging="720"/>
      </w:pPr>
      <w:r>
        <w:rPr>
          <w:rFonts w:ascii="Times New Roman" w:eastAsia="Times New Roman" w:hAnsi="Times New Roman" w:cs="Times New Roman"/>
          <w:sz w:val="20"/>
          <w:szCs w:val="20"/>
        </w:rPr>
        <w:t xml:space="preserve">Science Advances. "Modified Human Crania from </w:t>
      </w:r>
      <w:proofErr w:type="spellStart"/>
      <w:r>
        <w:rPr>
          <w:rFonts w:ascii="Times New Roman" w:eastAsia="Times New Roman" w:hAnsi="Times New Roman" w:cs="Times New Roman"/>
          <w:sz w:val="20"/>
          <w:szCs w:val="20"/>
        </w:rPr>
        <w:t>Göbekli</w:t>
      </w:r>
      <w:proofErr w:type="spellEnd"/>
      <w:r>
        <w:rPr>
          <w:rFonts w:ascii="Times New Roman" w:eastAsia="Times New Roman" w:hAnsi="Times New Roman" w:cs="Times New Roman"/>
          <w:sz w:val="20"/>
          <w:szCs w:val="20"/>
        </w:rPr>
        <w:t xml:space="preserve"> Tepe Provide Evidence for a New Form of Neolithic Skull Cult." Science Advances 3, no. 6 (2017): e1700564.</w:t>
      </w:r>
    </w:p>
    <w:p w14:paraId="79C4F6BA" w14:textId="77777777" w:rsidR="009F6C07" w:rsidRDefault="00000000">
      <w:pPr>
        <w:spacing w:before="40" w:after="60"/>
        <w:ind w:left="720" w:hanging="720"/>
      </w:pPr>
      <w:proofErr w:type="spellStart"/>
      <w:r>
        <w:rPr>
          <w:rFonts w:ascii="Times New Roman" w:eastAsia="Times New Roman" w:hAnsi="Times New Roman" w:cs="Times New Roman"/>
          <w:sz w:val="20"/>
          <w:szCs w:val="20"/>
        </w:rPr>
        <w:t>Sterelny</w:t>
      </w:r>
      <w:proofErr w:type="spellEnd"/>
      <w:r>
        <w:rPr>
          <w:rFonts w:ascii="Times New Roman" w:eastAsia="Times New Roman" w:hAnsi="Times New Roman" w:cs="Times New Roman"/>
          <w:sz w:val="20"/>
          <w:szCs w:val="20"/>
        </w:rPr>
        <w:t>, Kim. The Evolved Apprentice: How Evolution Made Humans Unique. Cambridge, MA: MIT Press, 2012.</w:t>
      </w:r>
    </w:p>
    <w:p w14:paraId="143A342F" w14:textId="77777777" w:rsidR="009F6C07" w:rsidRDefault="00000000">
      <w:pPr>
        <w:spacing w:before="40" w:after="60"/>
        <w:ind w:left="720" w:hanging="720"/>
      </w:pPr>
      <w:r>
        <w:rPr>
          <w:rFonts w:ascii="Times New Roman" w:eastAsia="Times New Roman" w:hAnsi="Times New Roman" w:cs="Times New Roman"/>
          <w:sz w:val="20"/>
          <w:szCs w:val="20"/>
        </w:rPr>
        <w:t>Trigger, Bruce G. Understanding Early Civilizations: A Comparative Study. Cambridge: Cambridge University Press, 2003.</w:t>
      </w:r>
    </w:p>
    <w:p w14:paraId="17F0B73C" w14:textId="77777777" w:rsidR="009F6C07" w:rsidRDefault="00000000">
      <w:pPr>
        <w:spacing w:before="40" w:after="60"/>
        <w:ind w:left="720" w:hanging="720"/>
      </w:pPr>
      <w:r>
        <w:rPr>
          <w:rFonts w:ascii="Times New Roman" w:eastAsia="Times New Roman" w:hAnsi="Times New Roman" w:cs="Times New Roman"/>
          <w:sz w:val="20"/>
          <w:szCs w:val="20"/>
        </w:rPr>
        <w:t>UNESCO World Heritage Centre. "</w:t>
      </w:r>
      <w:proofErr w:type="spellStart"/>
      <w:r>
        <w:rPr>
          <w:rFonts w:ascii="Times New Roman" w:eastAsia="Times New Roman" w:hAnsi="Times New Roman" w:cs="Times New Roman"/>
          <w:sz w:val="20"/>
          <w:szCs w:val="20"/>
        </w:rPr>
        <w:t>Göbekli</w:t>
      </w:r>
      <w:proofErr w:type="spellEnd"/>
      <w:r>
        <w:rPr>
          <w:rFonts w:ascii="Times New Roman" w:eastAsia="Times New Roman" w:hAnsi="Times New Roman" w:cs="Times New Roman"/>
          <w:sz w:val="20"/>
          <w:szCs w:val="20"/>
        </w:rPr>
        <w:t xml:space="preserve"> Tepe." WHC Nomination File, 2018. https://whc.unesco.org/en/list/1572.</w:t>
      </w:r>
    </w:p>
    <w:p w14:paraId="08B22934" w14:textId="77777777" w:rsidR="009F6C07" w:rsidRDefault="00000000">
      <w:pPr>
        <w:spacing w:before="40" w:after="60"/>
        <w:ind w:left="720" w:hanging="720"/>
      </w:pPr>
      <w:r>
        <w:rPr>
          <w:rFonts w:ascii="Times New Roman" w:eastAsia="Times New Roman" w:hAnsi="Times New Roman" w:cs="Times New Roman"/>
          <w:sz w:val="20"/>
          <w:szCs w:val="20"/>
        </w:rPr>
        <w:t>United Nations. The Sustainable Development Goals Report 2023. New York: United Nations, 2023.</w:t>
      </w:r>
    </w:p>
    <w:p w14:paraId="35E37068" w14:textId="77777777" w:rsidR="009F6C07" w:rsidRDefault="00000000">
      <w:pPr>
        <w:spacing w:before="40" w:after="60"/>
        <w:ind w:left="720" w:hanging="720"/>
      </w:pPr>
      <w:r>
        <w:rPr>
          <w:rFonts w:ascii="Times New Roman" w:eastAsia="Times New Roman" w:hAnsi="Times New Roman" w:cs="Times New Roman"/>
          <w:sz w:val="20"/>
          <w:szCs w:val="20"/>
        </w:rPr>
        <w:t>Vondoom, Anthony. "The Deep Symbolic Systems Model (DSSM): A Cognitive–Ritual Framework for Early Monumentality and Cultural Continuity." SSRN, 2025. https://doi.org/10.2139/ssrn.6003734.</w:t>
      </w:r>
    </w:p>
    <w:p w14:paraId="715C0851" w14:textId="77777777" w:rsidR="009F6C07" w:rsidRDefault="00000000">
      <w:pPr>
        <w:spacing w:before="120" w:after="80"/>
      </w:pPr>
      <w:r>
        <w:rPr>
          <w:b/>
          <w:bCs/>
        </w:rPr>
        <w:t>Archaeological Reporting Sources (2024–2026)</w:t>
      </w:r>
    </w:p>
    <w:p w14:paraId="72B7F0A7" w14:textId="77777777" w:rsidR="009F6C07" w:rsidRDefault="00000000">
      <w:pPr>
        <w:spacing w:before="40" w:after="60"/>
        <w:ind w:left="720" w:hanging="720"/>
      </w:pPr>
      <w:r>
        <w:rPr>
          <w:rFonts w:ascii="Times New Roman" w:eastAsia="Times New Roman" w:hAnsi="Times New Roman" w:cs="Times New Roman"/>
          <w:sz w:val="20"/>
          <w:szCs w:val="20"/>
        </w:rPr>
        <w:t xml:space="preserve">Anatolian Archaeology. "At </w:t>
      </w:r>
      <w:proofErr w:type="spellStart"/>
      <w:r>
        <w:rPr>
          <w:rFonts w:ascii="Times New Roman" w:eastAsia="Times New Roman" w:hAnsi="Times New Roman" w:cs="Times New Roman"/>
          <w:sz w:val="20"/>
          <w:szCs w:val="20"/>
        </w:rPr>
        <w:t>Sefertepe</w:t>
      </w:r>
      <w:proofErr w:type="spellEnd"/>
      <w:r>
        <w:rPr>
          <w:rFonts w:ascii="Times New Roman" w:eastAsia="Times New Roman" w:hAnsi="Times New Roman" w:cs="Times New Roman"/>
          <w:sz w:val="20"/>
          <w:szCs w:val="20"/>
        </w:rPr>
        <w:t>, Tiny Carvings and a 10,000-Year-Old Skull Room Reveal an Unexpected Symbolic World." December 1, 2025.</w:t>
      </w:r>
    </w:p>
    <w:p w14:paraId="15981FCC" w14:textId="77777777" w:rsidR="009F6C07" w:rsidRDefault="00000000">
      <w:pPr>
        <w:spacing w:before="40" w:after="60"/>
        <w:ind w:left="720" w:hanging="720"/>
      </w:pPr>
      <w:proofErr w:type="spellStart"/>
      <w:r>
        <w:rPr>
          <w:rFonts w:ascii="Times New Roman" w:eastAsia="Times New Roman" w:hAnsi="Times New Roman" w:cs="Times New Roman"/>
          <w:sz w:val="20"/>
          <w:szCs w:val="20"/>
        </w:rPr>
        <w:t>Arkeonews</w:t>
      </w:r>
      <w:proofErr w:type="spellEnd"/>
      <w:r>
        <w:rPr>
          <w:rFonts w:ascii="Times New Roman" w:eastAsia="Times New Roman" w:hAnsi="Times New Roman" w:cs="Times New Roman"/>
          <w:sz w:val="20"/>
          <w:szCs w:val="20"/>
        </w:rPr>
        <w:t xml:space="preserve">. "A Stunning Taş </w:t>
      </w:r>
      <w:proofErr w:type="spellStart"/>
      <w:r>
        <w:rPr>
          <w:rFonts w:ascii="Times New Roman" w:eastAsia="Times New Roman" w:hAnsi="Times New Roman" w:cs="Times New Roman"/>
          <w:sz w:val="20"/>
          <w:szCs w:val="20"/>
        </w:rPr>
        <w:t>Tepeler</w:t>
      </w:r>
      <w:proofErr w:type="spellEnd"/>
      <w:r>
        <w:rPr>
          <w:rFonts w:ascii="Times New Roman" w:eastAsia="Times New Roman" w:hAnsi="Times New Roman" w:cs="Times New Roman"/>
          <w:sz w:val="20"/>
          <w:szCs w:val="20"/>
        </w:rPr>
        <w:t xml:space="preserve"> Discovery: 12,000-Year-Old Human Faces Emerge from </w:t>
      </w:r>
      <w:proofErr w:type="spellStart"/>
      <w:r>
        <w:rPr>
          <w:rFonts w:ascii="Times New Roman" w:eastAsia="Times New Roman" w:hAnsi="Times New Roman" w:cs="Times New Roman"/>
          <w:sz w:val="20"/>
          <w:szCs w:val="20"/>
        </w:rPr>
        <w:t>Sefertepe</w:t>
      </w:r>
      <w:proofErr w:type="spellEnd"/>
      <w:r>
        <w:rPr>
          <w:rFonts w:ascii="Times New Roman" w:eastAsia="Times New Roman" w:hAnsi="Times New Roman" w:cs="Times New Roman"/>
          <w:sz w:val="20"/>
          <w:szCs w:val="20"/>
        </w:rPr>
        <w:t>." November 26, 2025.</w:t>
      </w:r>
    </w:p>
    <w:p w14:paraId="08088298" w14:textId="77777777" w:rsidR="009F6C07" w:rsidRDefault="00000000">
      <w:pPr>
        <w:spacing w:before="40" w:after="60"/>
        <w:ind w:left="720" w:hanging="720"/>
      </w:pPr>
      <w:proofErr w:type="spellStart"/>
      <w:r>
        <w:rPr>
          <w:rFonts w:ascii="Times New Roman" w:eastAsia="Times New Roman" w:hAnsi="Times New Roman" w:cs="Times New Roman"/>
          <w:sz w:val="20"/>
          <w:szCs w:val="20"/>
        </w:rPr>
        <w:t>Arkeonews</w:t>
      </w:r>
      <w:proofErr w:type="spellEnd"/>
      <w:r>
        <w:rPr>
          <w:rFonts w:ascii="Times New Roman" w:eastAsia="Times New Roman" w:hAnsi="Times New Roman" w:cs="Times New Roman"/>
          <w:sz w:val="20"/>
          <w:szCs w:val="20"/>
        </w:rPr>
        <w:t xml:space="preserve">. "An 8,500-Year-Old Micro-Carved Bead — and a 10,000-Year-Old Skull Room — Reveal </w:t>
      </w:r>
      <w:proofErr w:type="spellStart"/>
      <w:r>
        <w:rPr>
          <w:rFonts w:ascii="Times New Roman" w:eastAsia="Times New Roman" w:hAnsi="Times New Roman" w:cs="Times New Roman"/>
          <w:sz w:val="20"/>
          <w:szCs w:val="20"/>
        </w:rPr>
        <w:t>Sefertepe's</w:t>
      </w:r>
      <w:proofErr w:type="spellEnd"/>
      <w:r>
        <w:rPr>
          <w:rFonts w:ascii="Times New Roman" w:eastAsia="Times New Roman" w:hAnsi="Times New Roman" w:cs="Times New Roman"/>
          <w:sz w:val="20"/>
          <w:szCs w:val="20"/>
        </w:rPr>
        <w:t xml:space="preserve"> Hidden Symbolic World." November 30, 2025.</w:t>
      </w:r>
    </w:p>
    <w:p w14:paraId="4986BE83" w14:textId="77777777" w:rsidR="009F6C07" w:rsidRDefault="00000000">
      <w:pPr>
        <w:spacing w:before="40" w:after="60"/>
        <w:ind w:left="720" w:hanging="720"/>
      </w:pPr>
      <w:r>
        <w:rPr>
          <w:rFonts w:ascii="Times New Roman" w:eastAsia="Times New Roman" w:hAnsi="Times New Roman" w:cs="Times New Roman"/>
          <w:sz w:val="20"/>
          <w:szCs w:val="20"/>
        </w:rPr>
        <w:t xml:space="preserve">Cambridge Archaeological Journal. "Geometry and Architectural Planning at </w:t>
      </w:r>
      <w:proofErr w:type="spellStart"/>
      <w:r>
        <w:rPr>
          <w:rFonts w:ascii="Times New Roman" w:eastAsia="Times New Roman" w:hAnsi="Times New Roman" w:cs="Times New Roman"/>
          <w:sz w:val="20"/>
          <w:szCs w:val="20"/>
        </w:rPr>
        <w:t>Göbekli</w:t>
      </w:r>
      <w:proofErr w:type="spellEnd"/>
      <w:r>
        <w:rPr>
          <w:rFonts w:ascii="Times New Roman" w:eastAsia="Times New Roman" w:hAnsi="Times New Roman" w:cs="Times New Roman"/>
          <w:sz w:val="20"/>
          <w:szCs w:val="20"/>
        </w:rPr>
        <w:t xml:space="preserve"> Tepe, Turkey." Published online January 14, 2020. https://doi.org/10.1017/S0959774320000104.</w:t>
      </w:r>
    </w:p>
    <w:p w14:paraId="51477165" w14:textId="77777777" w:rsidR="009F6C07" w:rsidRDefault="00000000">
      <w:pPr>
        <w:spacing w:before="40" w:after="60"/>
        <w:ind w:left="720" w:hanging="720"/>
      </w:pPr>
      <w:r>
        <w:rPr>
          <w:rFonts w:ascii="Times New Roman" w:eastAsia="Times New Roman" w:hAnsi="Times New Roman" w:cs="Times New Roman"/>
          <w:sz w:val="20"/>
          <w:szCs w:val="20"/>
        </w:rPr>
        <w:t xml:space="preserve">Daily Sabah. "Dawn of Civilization Reborn: Türkiye's Taş </w:t>
      </w:r>
      <w:proofErr w:type="spellStart"/>
      <w:r>
        <w:rPr>
          <w:rFonts w:ascii="Times New Roman" w:eastAsia="Times New Roman" w:hAnsi="Times New Roman" w:cs="Times New Roman"/>
          <w:sz w:val="20"/>
          <w:szCs w:val="20"/>
        </w:rPr>
        <w:t>Tepeler</w:t>
      </w:r>
      <w:proofErr w:type="spellEnd"/>
      <w:r>
        <w:rPr>
          <w:rFonts w:ascii="Times New Roman" w:eastAsia="Times New Roman" w:hAnsi="Times New Roman" w:cs="Times New Roman"/>
          <w:sz w:val="20"/>
          <w:szCs w:val="20"/>
        </w:rPr>
        <w:t xml:space="preserve"> Takes the Lead." November 27, 2025.</w:t>
      </w:r>
    </w:p>
    <w:p w14:paraId="3CD6064F" w14:textId="77777777" w:rsidR="009F6C07" w:rsidRDefault="00000000">
      <w:pPr>
        <w:spacing w:before="40" w:after="60"/>
        <w:ind w:left="720" w:hanging="720"/>
      </w:pPr>
      <w:r>
        <w:rPr>
          <w:rFonts w:ascii="Times New Roman" w:eastAsia="Times New Roman" w:hAnsi="Times New Roman" w:cs="Times New Roman"/>
          <w:sz w:val="20"/>
          <w:szCs w:val="20"/>
        </w:rPr>
        <w:t xml:space="preserve">Free Republic / Baird. "New Site Discovered in Turkey Could Be Older Than </w:t>
      </w:r>
      <w:proofErr w:type="spellStart"/>
      <w:r>
        <w:rPr>
          <w:rFonts w:ascii="Times New Roman" w:eastAsia="Times New Roman" w:hAnsi="Times New Roman" w:cs="Times New Roman"/>
          <w:sz w:val="20"/>
          <w:szCs w:val="20"/>
        </w:rPr>
        <w:t>Göbeklitepe</w:t>
      </w:r>
      <w:proofErr w:type="spellEnd"/>
      <w:r>
        <w:rPr>
          <w:rFonts w:ascii="Times New Roman" w:eastAsia="Times New Roman" w:hAnsi="Times New Roman" w:cs="Times New Roman"/>
          <w:sz w:val="20"/>
          <w:szCs w:val="20"/>
        </w:rPr>
        <w:t>." August 2025.</w:t>
      </w:r>
    </w:p>
    <w:p w14:paraId="79BCDDA3" w14:textId="77777777" w:rsidR="009F6C07" w:rsidRDefault="00000000">
      <w:pPr>
        <w:spacing w:before="40" w:after="60"/>
        <w:ind w:left="720" w:hanging="720"/>
      </w:pPr>
      <w:r>
        <w:rPr>
          <w:rFonts w:ascii="Times New Roman" w:eastAsia="Times New Roman" w:hAnsi="Times New Roman" w:cs="Times New Roman"/>
          <w:sz w:val="20"/>
          <w:szCs w:val="20"/>
        </w:rPr>
        <w:lastRenderedPageBreak/>
        <w:t>Hurriyet Daily News. "</w:t>
      </w:r>
      <w:proofErr w:type="spellStart"/>
      <w:r>
        <w:rPr>
          <w:rFonts w:ascii="Times New Roman" w:eastAsia="Times New Roman" w:hAnsi="Times New Roman" w:cs="Times New Roman"/>
          <w:sz w:val="20"/>
          <w:szCs w:val="20"/>
        </w:rPr>
        <w:t>Sefertepe</w:t>
      </w:r>
      <w:proofErr w:type="spellEnd"/>
      <w:r>
        <w:rPr>
          <w:rFonts w:ascii="Times New Roman" w:eastAsia="Times New Roman" w:hAnsi="Times New Roman" w:cs="Times New Roman"/>
          <w:sz w:val="20"/>
          <w:szCs w:val="20"/>
        </w:rPr>
        <w:t xml:space="preserve"> Artifacts Reveal Ancient Craftsmanship." December 10, 2025.</w:t>
      </w:r>
    </w:p>
    <w:p w14:paraId="5D8FA75B" w14:textId="77777777" w:rsidR="009F6C07" w:rsidRDefault="00000000">
      <w:pPr>
        <w:spacing w:before="40" w:after="60"/>
        <w:ind w:left="720" w:hanging="720"/>
      </w:pPr>
      <w:r>
        <w:rPr>
          <w:rFonts w:ascii="Times New Roman" w:eastAsia="Times New Roman" w:hAnsi="Times New Roman" w:cs="Times New Roman"/>
          <w:sz w:val="20"/>
          <w:szCs w:val="20"/>
        </w:rPr>
        <w:t>Karahantepe.net. "</w:t>
      </w:r>
      <w:proofErr w:type="spellStart"/>
      <w:r>
        <w:rPr>
          <w:rFonts w:ascii="Times New Roman" w:eastAsia="Times New Roman" w:hAnsi="Times New Roman" w:cs="Times New Roman"/>
          <w:sz w:val="20"/>
          <w:szCs w:val="20"/>
        </w:rPr>
        <w:t>Göbekli</w:t>
      </w:r>
      <w:proofErr w:type="spellEnd"/>
      <w:r>
        <w:rPr>
          <w:rFonts w:ascii="Times New Roman" w:eastAsia="Times New Roman" w:hAnsi="Times New Roman" w:cs="Times New Roman"/>
          <w:sz w:val="20"/>
          <w:szCs w:val="20"/>
        </w:rPr>
        <w:t xml:space="preserve"> Tepe Wasn't Alone: </w:t>
      </w:r>
      <w:proofErr w:type="spellStart"/>
      <w:r>
        <w:rPr>
          <w:rFonts w:ascii="Times New Roman" w:eastAsia="Times New Roman" w:hAnsi="Times New Roman" w:cs="Times New Roman"/>
          <w:sz w:val="20"/>
          <w:szCs w:val="20"/>
        </w:rPr>
        <w:t>Ayanlar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Höyük</w:t>
      </w:r>
      <w:proofErr w:type="spellEnd"/>
      <w:r>
        <w:rPr>
          <w:rFonts w:ascii="Times New Roman" w:eastAsia="Times New Roman" w:hAnsi="Times New Roman" w:cs="Times New Roman"/>
          <w:sz w:val="20"/>
          <w:szCs w:val="20"/>
        </w:rPr>
        <w:t xml:space="preserve"> Proves It." April 2026.</w:t>
      </w:r>
    </w:p>
    <w:p w14:paraId="6B143289" w14:textId="77777777" w:rsidR="009F6C07" w:rsidRDefault="00000000">
      <w:pPr>
        <w:spacing w:before="40" w:after="60"/>
        <w:ind w:left="720" w:hanging="720"/>
      </w:pPr>
      <w:r>
        <w:rPr>
          <w:rFonts w:ascii="Times New Roman" w:eastAsia="Times New Roman" w:hAnsi="Times New Roman" w:cs="Times New Roman"/>
          <w:sz w:val="20"/>
          <w:szCs w:val="20"/>
        </w:rPr>
        <w:t>Karahantepe.net. "Second Human Statue at Karahan Tepe Revealed." December 4, 2025.</w:t>
      </w:r>
    </w:p>
    <w:p w14:paraId="00E3A1DE" w14:textId="77777777" w:rsidR="009F6C07" w:rsidRDefault="00000000">
      <w:pPr>
        <w:spacing w:before="40" w:after="60"/>
        <w:ind w:left="720" w:hanging="720"/>
      </w:pPr>
      <w:r>
        <w:rPr>
          <w:rFonts w:ascii="Times New Roman" w:eastAsia="Times New Roman" w:hAnsi="Times New Roman" w:cs="Times New Roman"/>
          <w:sz w:val="20"/>
          <w:szCs w:val="20"/>
        </w:rPr>
        <w:t xml:space="preserve">New Central Asia. "Taş </w:t>
      </w:r>
      <w:proofErr w:type="spellStart"/>
      <w:r>
        <w:rPr>
          <w:rFonts w:ascii="Times New Roman" w:eastAsia="Times New Roman" w:hAnsi="Times New Roman" w:cs="Times New Roman"/>
          <w:sz w:val="20"/>
          <w:szCs w:val="20"/>
        </w:rPr>
        <w:t>Tepeler</w:t>
      </w:r>
      <w:proofErr w:type="spellEnd"/>
      <w:r>
        <w:rPr>
          <w:rFonts w:ascii="Times New Roman" w:eastAsia="Times New Roman" w:hAnsi="Times New Roman" w:cs="Times New Roman"/>
          <w:sz w:val="20"/>
          <w:szCs w:val="20"/>
        </w:rPr>
        <w:t xml:space="preserve"> Project Marks Five Years of Rewriting Human History." November 30, 2025.</w:t>
      </w:r>
    </w:p>
    <w:p w14:paraId="37C56AEF" w14:textId="77777777" w:rsidR="009F6C07" w:rsidRDefault="00000000">
      <w:pPr>
        <w:spacing w:before="40" w:after="60"/>
        <w:ind w:left="720" w:hanging="720"/>
      </w:pPr>
      <w:r>
        <w:rPr>
          <w:rFonts w:ascii="Times New Roman" w:eastAsia="Times New Roman" w:hAnsi="Times New Roman" w:cs="Times New Roman"/>
          <w:sz w:val="20"/>
          <w:szCs w:val="20"/>
        </w:rPr>
        <w:t xml:space="preserve">Türkiye Today. "Stitched-Mouth Neolithic Statue from </w:t>
      </w:r>
      <w:proofErr w:type="spellStart"/>
      <w:r>
        <w:rPr>
          <w:rFonts w:ascii="Times New Roman" w:eastAsia="Times New Roman" w:hAnsi="Times New Roman" w:cs="Times New Roman"/>
          <w:sz w:val="20"/>
          <w:szCs w:val="20"/>
        </w:rPr>
        <w:t>Sayburç</w:t>
      </w:r>
      <w:proofErr w:type="spellEnd"/>
      <w:r>
        <w:rPr>
          <w:rFonts w:ascii="Times New Roman" w:eastAsia="Times New Roman" w:hAnsi="Times New Roman" w:cs="Times New Roman"/>
          <w:sz w:val="20"/>
          <w:szCs w:val="20"/>
        </w:rPr>
        <w:t xml:space="preserve"> Reshapes Understanding of Death Rituals in Taş </w:t>
      </w:r>
      <w:proofErr w:type="spellStart"/>
      <w:r>
        <w:rPr>
          <w:rFonts w:ascii="Times New Roman" w:eastAsia="Times New Roman" w:hAnsi="Times New Roman" w:cs="Times New Roman"/>
          <w:sz w:val="20"/>
          <w:szCs w:val="20"/>
        </w:rPr>
        <w:t>Tepeler</w:t>
      </w:r>
      <w:proofErr w:type="spellEnd"/>
      <w:r>
        <w:rPr>
          <w:rFonts w:ascii="Times New Roman" w:eastAsia="Times New Roman" w:hAnsi="Times New Roman" w:cs="Times New Roman"/>
          <w:sz w:val="20"/>
          <w:szCs w:val="20"/>
        </w:rPr>
        <w:t>." November 28, 2025.</w:t>
      </w:r>
    </w:p>
    <w:p w14:paraId="2BA42FE3" w14:textId="77777777" w:rsidR="009F6C07" w:rsidRDefault="00000000">
      <w:pPr>
        <w:spacing w:before="40" w:after="60"/>
        <w:ind w:left="720" w:hanging="720"/>
      </w:pPr>
      <w:r>
        <w:rPr>
          <w:rFonts w:ascii="Times New Roman" w:eastAsia="Times New Roman" w:hAnsi="Times New Roman" w:cs="Times New Roman"/>
          <w:sz w:val="20"/>
          <w:szCs w:val="20"/>
        </w:rPr>
        <w:t xml:space="preserve">Türkiye Today. "Who Built </w:t>
      </w:r>
      <w:proofErr w:type="spellStart"/>
      <w:r>
        <w:rPr>
          <w:rFonts w:ascii="Times New Roman" w:eastAsia="Times New Roman" w:hAnsi="Times New Roman" w:cs="Times New Roman"/>
          <w:sz w:val="20"/>
          <w:szCs w:val="20"/>
        </w:rPr>
        <w:t>Göbeklitepe</w:t>
      </w:r>
      <w:proofErr w:type="spellEnd"/>
      <w:r>
        <w:rPr>
          <w:rFonts w:ascii="Times New Roman" w:eastAsia="Times New Roman" w:hAnsi="Times New Roman" w:cs="Times New Roman"/>
          <w:sz w:val="20"/>
          <w:szCs w:val="20"/>
        </w:rPr>
        <w:t xml:space="preserve">? Hidden World of Taş </w:t>
      </w:r>
      <w:proofErr w:type="spellStart"/>
      <w:r>
        <w:rPr>
          <w:rFonts w:ascii="Times New Roman" w:eastAsia="Times New Roman" w:hAnsi="Times New Roman" w:cs="Times New Roman"/>
          <w:sz w:val="20"/>
          <w:szCs w:val="20"/>
        </w:rPr>
        <w:t>Tepeler's</w:t>
      </w:r>
      <w:proofErr w:type="spellEnd"/>
      <w:r>
        <w:rPr>
          <w:rFonts w:ascii="Times New Roman" w:eastAsia="Times New Roman" w:hAnsi="Times New Roman" w:cs="Times New Roman"/>
          <w:sz w:val="20"/>
          <w:szCs w:val="20"/>
        </w:rPr>
        <w:t xml:space="preserve"> Hunter-Gatherers." March 11, 2026.</w:t>
      </w:r>
    </w:p>
    <w:p w14:paraId="54CDED55" w14:textId="77777777" w:rsidR="009F6C07" w:rsidRDefault="00000000">
      <w:pPr>
        <w:spacing w:before="40" w:after="60"/>
        <w:ind w:left="720" w:hanging="720"/>
      </w:pPr>
      <w:r>
        <w:rPr>
          <w:rFonts w:ascii="Times New Roman" w:eastAsia="Times New Roman" w:hAnsi="Times New Roman" w:cs="Times New Roman"/>
          <w:sz w:val="20"/>
          <w:szCs w:val="20"/>
        </w:rPr>
        <w:t>Xinhua News Agency. "Türkiye Announces New Neolithic-Era Findings from Major Archaeology Project." November 27, 2025.</w:t>
      </w:r>
    </w:p>
    <w:sectPr w:rsidR="009F6C07">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9695" w14:textId="77777777" w:rsidR="00D919A0" w:rsidRDefault="00D919A0">
      <w:r>
        <w:separator/>
      </w:r>
    </w:p>
  </w:endnote>
  <w:endnote w:type="continuationSeparator" w:id="0">
    <w:p w14:paraId="2150D44D" w14:textId="77777777" w:rsidR="00D919A0" w:rsidRDefault="00D9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C85D" w14:textId="77777777" w:rsidR="00D919A0" w:rsidRDefault="00D919A0">
      <w:r>
        <w:separator/>
      </w:r>
    </w:p>
  </w:footnote>
  <w:footnote w:type="continuationSeparator" w:id="0">
    <w:p w14:paraId="7F802CC4" w14:textId="77777777" w:rsidR="00D919A0" w:rsidRDefault="00D919A0">
      <w:r>
        <w:continuationSeparator/>
      </w:r>
    </w:p>
  </w:footnote>
  <w:footnote w:id="1">
    <w:p w14:paraId="1C76A216" w14:textId="77777777" w:rsidR="009F6C07" w:rsidRDefault="00000000">
      <w:pPr>
        <w:pStyle w:val="FootnoteText"/>
      </w:pPr>
      <w:r>
        <w:rPr>
          <w:rStyle w:val="FootnoteReference"/>
        </w:rPr>
        <w:footnoteRef/>
      </w:r>
      <w:r>
        <w:rPr>
          <w:rFonts w:ascii="Times New Roman" w:hAnsi="Times New Roman" w:cs="Times New Roman"/>
          <w:sz w:val="20"/>
          <w:szCs w:val="20"/>
        </w:rPr>
        <w:t>Anthony Vondoom, "The Deep Symbolic Systems Model (DSSM): A Cognitive–Ritual Framework for Early Monumentality and Cultural Continuity," SSRN, 2025. https://doi.org/10.2139/ssrn.6003734.</w:t>
      </w:r>
    </w:p>
  </w:footnote>
  <w:footnote w:id="2">
    <w:p w14:paraId="0E34F006" w14:textId="77777777" w:rsidR="009F6C07" w:rsidRDefault="00000000">
      <w:pPr>
        <w:pStyle w:val="FootnoteText"/>
      </w:pPr>
      <w:r>
        <w:rPr>
          <w:rStyle w:val="FootnoteReference"/>
        </w:rPr>
        <w:footnoteRef/>
      </w:r>
      <w:r>
        <w:rPr>
          <w:rFonts w:ascii="Times New Roman" w:hAnsi="Times New Roman" w:cs="Times New Roman"/>
          <w:sz w:val="20"/>
          <w:szCs w:val="20"/>
        </w:rPr>
        <w:t xml:space="preserve">Türkiye Today, "Who Built </w:t>
      </w:r>
      <w:proofErr w:type="spellStart"/>
      <w:r>
        <w:rPr>
          <w:rFonts w:ascii="Times New Roman" w:hAnsi="Times New Roman" w:cs="Times New Roman"/>
          <w:sz w:val="20"/>
          <w:szCs w:val="20"/>
        </w:rPr>
        <w:t>Göbeklitepe</w:t>
      </w:r>
      <w:proofErr w:type="spellEnd"/>
      <w:r>
        <w:rPr>
          <w:rFonts w:ascii="Times New Roman" w:hAnsi="Times New Roman" w:cs="Times New Roman"/>
          <w:sz w:val="20"/>
          <w:szCs w:val="20"/>
        </w:rPr>
        <w:t xml:space="preserve">? Hidden World of Taş </w:t>
      </w:r>
      <w:proofErr w:type="spellStart"/>
      <w:r>
        <w:rPr>
          <w:rFonts w:ascii="Times New Roman" w:hAnsi="Times New Roman" w:cs="Times New Roman"/>
          <w:sz w:val="20"/>
          <w:szCs w:val="20"/>
        </w:rPr>
        <w:t>Tepeler's</w:t>
      </w:r>
      <w:proofErr w:type="spellEnd"/>
      <w:r>
        <w:rPr>
          <w:rFonts w:ascii="Times New Roman" w:hAnsi="Times New Roman" w:cs="Times New Roman"/>
          <w:sz w:val="20"/>
          <w:szCs w:val="20"/>
        </w:rPr>
        <w:t xml:space="preserve"> Hunter-Gatherers," March 11, 2026.</w:t>
      </w:r>
    </w:p>
  </w:footnote>
  <w:footnote w:id="3">
    <w:p w14:paraId="1FE8DB57" w14:textId="77777777" w:rsidR="009F6C07" w:rsidRDefault="00000000">
      <w:pPr>
        <w:pStyle w:val="FootnoteText"/>
      </w:pPr>
      <w:r>
        <w:rPr>
          <w:rStyle w:val="FootnoteReference"/>
        </w:rPr>
        <w:footnoteRef/>
      </w:r>
      <w:r>
        <w:rPr>
          <w:rFonts w:ascii="Times New Roman" w:hAnsi="Times New Roman" w:cs="Times New Roman"/>
          <w:sz w:val="20"/>
          <w:szCs w:val="20"/>
        </w:rPr>
        <w:t>Anthony Vondoom, "The Deep Symbolic Systems Model (DSSM): A Cognitive–Ritual Framework for Early Monumentality and Cultural Continuity," SSRN, 2025. https://doi.org/10.2139/ssrn.6003734.</w:t>
      </w:r>
    </w:p>
  </w:footnote>
  <w:footnote w:id="4">
    <w:p w14:paraId="4333652F" w14:textId="77777777" w:rsidR="009F6C07" w:rsidRDefault="00000000">
      <w:pPr>
        <w:pStyle w:val="FootnoteText"/>
      </w:pPr>
      <w:r>
        <w:rPr>
          <w:rStyle w:val="FootnoteReference"/>
        </w:rPr>
        <w:footnoteRef/>
      </w:r>
      <w:r>
        <w:rPr>
          <w:rFonts w:ascii="Times New Roman" w:hAnsi="Times New Roman" w:cs="Times New Roman"/>
          <w:sz w:val="20"/>
          <w:szCs w:val="20"/>
        </w:rPr>
        <w:t xml:space="preserve">Merlin Donald, </w:t>
      </w:r>
      <w:r>
        <w:rPr>
          <w:rFonts w:ascii="Times New Roman" w:hAnsi="Times New Roman" w:cs="Times New Roman"/>
          <w:i/>
          <w:iCs/>
          <w:sz w:val="20"/>
          <w:szCs w:val="20"/>
        </w:rPr>
        <w:t>Origins of the Modern Mind: Three Stages in the Evolution of Culture and Cognition</w:t>
      </w:r>
      <w:r>
        <w:rPr>
          <w:rFonts w:ascii="Times New Roman" w:hAnsi="Times New Roman" w:cs="Times New Roman"/>
          <w:sz w:val="20"/>
          <w:szCs w:val="20"/>
        </w:rPr>
        <w:t xml:space="preserve"> (Cambridge, MA: Harvard University Press, 1991).</w:t>
      </w:r>
    </w:p>
  </w:footnote>
  <w:footnote w:id="5">
    <w:p w14:paraId="25BD87FA" w14:textId="77777777" w:rsidR="009F6C07" w:rsidRDefault="00000000">
      <w:pPr>
        <w:pStyle w:val="FootnoteText"/>
      </w:pPr>
      <w:r>
        <w:rPr>
          <w:rStyle w:val="FootnoteReference"/>
        </w:rPr>
        <w:footnoteRef/>
      </w:r>
      <w:r>
        <w:rPr>
          <w:rFonts w:ascii="Times New Roman" w:hAnsi="Times New Roman" w:cs="Times New Roman"/>
          <w:sz w:val="20"/>
          <w:szCs w:val="20"/>
        </w:rPr>
        <w:t xml:space="preserve">Jan Assmann, </w:t>
      </w:r>
      <w:r>
        <w:rPr>
          <w:rFonts w:ascii="Times New Roman" w:hAnsi="Times New Roman" w:cs="Times New Roman"/>
          <w:i/>
          <w:iCs/>
          <w:sz w:val="20"/>
          <w:szCs w:val="20"/>
        </w:rPr>
        <w:t>Cultural Memory and Early Civilization: Writing, Remembrance, and Political Imagination</w:t>
      </w:r>
      <w:r>
        <w:rPr>
          <w:rFonts w:ascii="Times New Roman" w:hAnsi="Times New Roman" w:cs="Times New Roman"/>
          <w:sz w:val="20"/>
          <w:szCs w:val="20"/>
        </w:rPr>
        <w:t xml:space="preserve"> (Cambridge: Cambridge University Press, 2011).</w:t>
      </w:r>
    </w:p>
  </w:footnote>
  <w:footnote w:id="6">
    <w:p w14:paraId="73165BBB" w14:textId="77777777" w:rsidR="009F6C07" w:rsidRDefault="00000000">
      <w:pPr>
        <w:pStyle w:val="FootnoteText"/>
      </w:pPr>
      <w:r>
        <w:rPr>
          <w:rStyle w:val="FootnoteReference"/>
        </w:rPr>
        <w:footnoteRef/>
      </w:r>
      <w:r>
        <w:rPr>
          <w:rFonts w:ascii="Times New Roman" w:hAnsi="Times New Roman" w:cs="Times New Roman"/>
          <w:sz w:val="20"/>
          <w:szCs w:val="20"/>
        </w:rPr>
        <w:t xml:space="preserve">Joseph Henrich, </w:t>
      </w:r>
      <w:r>
        <w:rPr>
          <w:rFonts w:ascii="Times New Roman" w:hAnsi="Times New Roman" w:cs="Times New Roman"/>
          <w:i/>
          <w:iCs/>
          <w:sz w:val="20"/>
          <w:szCs w:val="20"/>
        </w:rPr>
        <w:t>The Secret of Our Success</w:t>
      </w:r>
      <w:r>
        <w:rPr>
          <w:rFonts w:ascii="Times New Roman" w:hAnsi="Times New Roman" w:cs="Times New Roman"/>
          <w:sz w:val="20"/>
          <w:szCs w:val="20"/>
        </w:rPr>
        <w:t xml:space="preserve"> (Princeton: Princeton University Press, 2016).</w:t>
      </w:r>
    </w:p>
  </w:footnote>
  <w:footnote w:id="7">
    <w:p w14:paraId="3BCA13F0" w14:textId="77777777" w:rsidR="009F6C07" w:rsidRDefault="00000000">
      <w:pPr>
        <w:pStyle w:val="FootnoteText"/>
      </w:pPr>
      <w:r>
        <w:rPr>
          <w:rStyle w:val="FootnoteReference"/>
        </w:rPr>
        <w:footnoteRef/>
      </w:r>
      <w:r>
        <w:rPr>
          <w:rFonts w:ascii="Times New Roman" w:hAnsi="Times New Roman" w:cs="Times New Roman"/>
          <w:sz w:val="20"/>
          <w:szCs w:val="20"/>
        </w:rPr>
        <w:t xml:space="preserve">Kim Sterelny, </w:t>
      </w:r>
      <w:r>
        <w:rPr>
          <w:rFonts w:ascii="Times New Roman" w:hAnsi="Times New Roman" w:cs="Times New Roman"/>
          <w:i/>
          <w:iCs/>
          <w:sz w:val="20"/>
          <w:szCs w:val="20"/>
        </w:rPr>
        <w:t>The Evolved Apprentice: How Evolution Made Humans Unique</w:t>
      </w:r>
      <w:r>
        <w:rPr>
          <w:rFonts w:ascii="Times New Roman" w:hAnsi="Times New Roman" w:cs="Times New Roman"/>
          <w:sz w:val="20"/>
          <w:szCs w:val="20"/>
        </w:rPr>
        <w:t xml:space="preserve"> (Cambridge, MA: MIT Press, 2012).</w:t>
      </w:r>
    </w:p>
  </w:footnote>
  <w:footnote w:id="8">
    <w:p w14:paraId="526BB388" w14:textId="77777777" w:rsidR="009F6C07" w:rsidRDefault="00000000">
      <w:pPr>
        <w:pStyle w:val="FootnoteText"/>
      </w:pPr>
      <w:r>
        <w:rPr>
          <w:rStyle w:val="FootnoteReference"/>
        </w:rPr>
        <w:footnoteRef/>
      </w:r>
      <w:r>
        <w:rPr>
          <w:rFonts w:ascii="Times New Roman" w:hAnsi="Times New Roman" w:cs="Times New Roman"/>
          <w:sz w:val="20"/>
          <w:szCs w:val="20"/>
        </w:rPr>
        <w:t>Anthony Vondoom, "The Deep Symbolic Systems Model (DSSM): A Cognitive–Ritual Framework for Early Monumentality and Cultural Continuity," SSRN, 2025. https://doi.org/10.2139/ssrn.6003734.</w:t>
      </w:r>
    </w:p>
  </w:footnote>
  <w:footnote w:id="9">
    <w:p w14:paraId="08D33DFA" w14:textId="77777777" w:rsidR="009F6C07"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10">
    <w:p w14:paraId="2AFD63EF" w14:textId="77777777" w:rsidR="009F6C07" w:rsidRDefault="00000000">
      <w:pPr>
        <w:pStyle w:val="FootnoteText"/>
      </w:pPr>
      <w:r>
        <w:rPr>
          <w:rStyle w:val="FootnoteReference"/>
        </w:rPr>
        <w:footnoteRef/>
      </w:r>
      <w:r>
        <w:rPr>
          <w:rFonts w:ascii="Times New Roman" w:hAnsi="Times New Roman" w:cs="Times New Roman"/>
          <w:sz w:val="20"/>
          <w:szCs w:val="20"/>
        </w:rPr>
        <w:t xml:space="preserve">Daily Sabah, "Dawn of Civilization Reborn: Türkiye's Taş </w:t>
      </w:r>
      <w:proofErr w:type="spellStart"/>
      <w:r>
        <w:rPr>
          <w:rFonts w:ascii="Times New Roman" w:hAnsi="Times New Roman" w:cs="Times New Roman"/>
          <w:sz w:val="20"/>
          <w:szCs w:val="20"/>
        </w:rPr>
        <w:t>Tepeler</w:t>
      </w:r>
      <w:proofErr w:type="spellEnd"/>
      <w:r>
        <w:rPr>
          <w:rFonts w:ascii="Times New Roman" w:hAnsi="Times New Roman" w:cs="Times New Roman"/>
          <w:sz w:val="20"/>
          <w:szCs w:val="20"/>
        </w:rPr>
        <w:t xml:space="preserve"> Takes the Lead," November 27, 2025.</w:t>
      </w:r>
    </w:p>
  </w:footnote>
  <w:footnote w:id="11">
    <w:p w14:paraId="55EF7F92" w14:textId="77777777" w:rsidR="009F6C07" w:rsidRDefault="00000000">
      <w:pPr>
        <w:pStyle w:val="FootnoteText"/>
      </w:pPr>
      <w:r>
        <w:rPr>
          <w:rStyle w:val="FootnoteReference"/>
        </w:rPr>
        <w:footnoteRef/>
      </w:r>
      <w:r>
        <w:rPr>
          <w:rFonts w:ascii="Times New Roman" w:hAnsi="Times New Roman" w:cs="Times New Roman"/>
          <w:sz w:val="20"/>
          <w:szCs w:val="20"/>
        </w:rPr>
        <w:t>UNESCO World Heritage Centre,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WHC Nomination File, 2018. https://whc.unesco.org/en/list/1572.</w:t>
      </w:r>
    </w:p>
  </w:footnote>
  <w:footnote w:id="12">
    <w:p w14:paraId="5FFDE345" w14:textId="77777777" w:rsidR="009F6C07"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13">
    <w:p w14:paraId="2A04C91A" w14:textId="77777777" w:rsidR="009F6C07" w:rsidRDefault="00000000">
      <w:pPr>
        <w:pStyle w:val="FootnoteText"/>
      </w:pPr>
      <w:r>
        <w:rPr>
          <w:rStyle w:val="FootnoteReference"/>
        </w:rPr>
        <w:footnoteRef/>
      </w:r>
      <w:r>
        <w:rPr>
          <w:rFonts w:ascii="Times New Roman" w:hAnsi="Times New Roman" w:cs="Times New Roman"/>
          <w:sz w:val="20"/>
          <w:szCs w:val="20"/>
        </w:rPr>
        <w:t>UNESCO World Heritage Centre,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WHC Nomination File, 2018. https://whc.unesco.org/en/list/1572.</w:t>
      </w:r>
    </w:p>
  </w:footnote>
  <w:footnote w:id="14">
    <w:p w14:paraId="14A3A7AA" w14:textId="77777777" w:rsidR="009F6C07" w:rsidRDefault="00000000">
      <w:pPr>
        <w:pStyle w:val="FootnoteText"/>
      </w:pPr>
      <w:r>
        <w:rPr>
          <w:rStyle w:val="FootnoteReference"/>
        </w:rPr>
        <w:footnoteRef/>
      </w:r>
      <w:r>
        <w:rPr>
          <w:rFonts w:ascii="Times New Roman" w:hAnsi="Times New Roman" w:cs="Times New Roman"/>
          <w:sz w:val="20"/>
          <w:szCs w:val="20"/>
        </w:rPr>
        <w:t>Karahantepe.net, "Second Human Statue at Karahan Tepe Revealed," December 4, 2025.</w:t>
      </w:r>
    </w:p>
  </w:footnote>
  <w:footnote w:id="15">
    <w:p w14:paraId="6563E798" w14:textId="77777777" w:rsidR="009F6C07" w:rsidRDefault="00000000">
      <w:pPr>
        <w:pStyle w:val="FootnoteText"/>
      </w:pPr>
      <w:r>
        <w:rPr>
          <w:rStyle w:val="FootnoteReference"/>
        </w:rPr>
        <w:footnoteRef/>
      </w:r>
      <w:r>
        <w:rPr>
          <w:rFonts w:ascii="Times New Roman" w:hAnsi="Times New Roman" w:cs="Times New Roman"/>
          <w:sz w:val="20"/>
          <w:szCs w:val="20"/>
        </w:rPr>
        <w:t xml:space="preserve">Mehmet Nuri Ersoy, briefing at </w:t>
      </w:r>
      <w:proofErr w:type="spellStart"/>
      <w:r>
        <w:rPr>
          <w:rFonts w:ascii="Times New Roman" w:hAnsi="Times New Roman" w:cs="Times New Roman"/>
          <w:sz w:val="20"/>
          <w:szCs w:val="20"/>
        </w:rPr>
        <w:t>Karahantepe</w:t>
      </w:r>
      <w:proofErr w:type="spellEnd"/>
      <w:r>
        <w:rPr>
          <w:rFonts w:ascii="Times New Roman" w:hAnsi="Times New Roman" w:cs="Times New Roman"/>
          <w:sz w:val="20"/>
          <w:szCs w:val="20"/>
        </w:rPr>
        <w:t xml:space="preserve"> Visitor Center, </w:t>
      </w:r>
      <w:proofErr w:type="spellStart"/>
      <w:r>
        <w:rPr>
          <w:rFonts w:ascii="Times New Roman" w:hAnsi="Times New Roman" w:cs="Times New Roman"/>
          <w:sz w:val="20"/>
          <w:szCs w:val="20"/>
        </w:rPr>
        <w:t>Şanlıurfa</w:t>
      </w:r>
      <w:proofErr w:type="spellEnd"/>
      <w:r>
        <w:rPr>
          <w:rFonts w:ascii="Times New Roman" w:hAnsi="Times New Roman" w:cs="Times New Roman"/>
          <w:sz w:val="20"/>
          <w:szCs w:val="20"/>
        </w:rPr>
        <w:t>, November 26, 2025. Reported by Xinhua News Agency, "Türkiye Announces New Neolithic-Era Findings from Major Archaeology Project," November 27, 2025.</w:t>
      </w:r>
    </w:p>
  </w:footnote>
  <w:footnote w:id="16">
    <w:p w14:paraId="44B88CF5" w14:textId="77777777" w:rsidR="009F6C07"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17">
    <w:p w14:paraId="77046B91" w14:textId="77777777" w:rsidR="009F6C07" w:rsidRDefault="00000000">
      <w:pPr>
        <w:pStyle w:val="FootnoteText"/>
      </w:pPr>
      <w:r>
        <w:rPr>
          <w:rStyle w:val="FootnoteReference"/>
        </w:rPr>
        <w:footnoteRef/>
      </w:r>
      <w:r>
        <w:rPr>
          <w:rFonts w:ascii="Times New Roman" w:hAnsi="Times New Roman" w:cs="Times New Roman"/>
          <w:sz w:val="20"/>
          <w:szCs w:val="20"/>
        </w:rPr>
        <w:t xml:space="preserve">Türkiye Today, "Stitched-Mouth Neolithic Statue from </w:t>
      </w:r>
      <w:proofErr w:type="spellStart"/>
      <w:r>
        <w:rPr>
          <w:rFonts w:ascii="Times New Roman" w:hAnsi="Times New Roman" w:cs="Times New Roman"/>
          <w:sz w:val="20"/>
          <w:szCs w:val="20"/>
        </w:rPr>
        <w:t>Sayburç</w:t>
      </w:r>
      <w:proofErr w:type="spellEnd"/>
      <w:r>
        <w:rPr>
          <w:rFonts w:ascii="Times New Roman" w:hAnsi="Times New Roman" w:cs="Times New Roman"/>
          <w:sz w:val="20"/>
          <w:szCs w:val="20"/>
        </w:rPr>
        <w:t xml:space="preserve"> Reshapes Understanding of Death Rituals in Taş </w:t>
      </w:r>
      <w:proofErr w:type="spellStart"/>
      <w:r>
        <w:rPr>
          <w:rFonts w:ascii="Times New Roman" w:hAnsi="Times New Roman" w:cs="Times New Roman"/>
          <w:sz w:val="20"/>
          <w:szCs w:val="20"/>
        </w:rPr>
        <w:t>Tepeler</w:t>
      </w:r>
      <w:proofErr w:type="spellEnd"/>
      <w:r>
        <w:rPr>
          <w:rFonts w:ascii="Times New Roman" w:hAnsi="Times New Roman" w:cs="Times New Roman"/>
          <w:sz w:val="20"/>
          <w:szCs w:val="20"/>
        </w:rPr>
        <w:t>," November 28, 2025.</w:t>
      </w:r>
    </w:p>
  </w:footnote>
  <w:footnote w:id="18">
    <w:p w14:paraId="7F9F8E56" w14:textId="77777777" w:rsidR="009F6C07" w:rsidRDefault="00000000">
      <w:pPr>
        <w:pStyle w:val="FootnoteText"/>
      </w:pPr>
      <w:r>
        <w:rPr>
          <w:rStyle w:val="FootnoteReference"/>
        </w:rPr>
        <w:footnoteRef/>
      </w:r>
      <w:r>
        <w:rPr>
          <w:rFonts w:ascii="Times New Roman" w:hAnsi="Times New Roman" w:cs="Times New Roman"/>
          <w:sz w:val="20"/>
          <w:szCs w:val="20"/>
        </w:rPr>
        <w:t xml:space="preserve">Anatolian Archaeology, "At </w:t>
      </w:r>
      <w:proofErr w:type="spellStart"/>
      <w:r>
        <w:rPr>
          <w:rFonts w:ascii="Times New Roman" w:hAnsi="Times New Roman" w:cs="Times New Roman"/>
          <w:sz w:val="20"/>
          <w:szCs w:val="20"/>
        </w:rPr>
        <w:t>Sefertepe</w:t>
      </w:r>
      <w:proofErr w:type="spellEnd"/>
      <w:r>
        <w:rPr>
          <w:rFonts w:ascii="Times New Roman" w:hAnsi="Times New Roman" w:cs="Times New Roman"/>
          <w:sz w:val="20"/>
          <w:szCs w:val="20"/>
        </w:rPr>
        <w:t>, Tiny Carvings and a 10,000-Year-Old Skull Room Reveal an Unexpected Symbolic World," December 1, 2025.</w:t>
      </w:r>
    </w:p>
  </w:footnote>
  <w:footnote w:id="19">
    <w:p w14:paraId="27247267" w14:textId="77777777" w:rsidR="009F6C07" w:rsidRDefault="00000000">
      <w:pPr>
        <w:pStyle w:val="FootnoteText"/>
      </w:pPr>
      <w:r>
        <w:rPr>
          <w:rStyle w:val="FootnoteReference"/>
        </w:rPr>
        <w:footnoteRef/>
      </w:r>
      <w:proofErr w:type="spellStart"/>
      <w:r>
        <w:rPr>
          <w:rFonts w:ascii="Times New Roman" w:hAnsi="Times New Roman" w:cs="Times New Roman"/>
          <w:sz w:val="20"/>
          <w:szCs w:val="20"/>
        </w:rPr>
        <w:t>Arkeonews</w:t>
      </w:r>
      <w:proofErr w:type="spellEnd"/>
      <w:r>
        <w:rPr>
          <w:rFonts w:ascii="Times New Roman" w:hAnsi="Times New Roman" w:cs="Times New Roman"/>
          <w:sz w:val="20"/>
          <w:szCs w:val="20"/>
        </w:rPr>
        <w:t xml:space="preserve">, "A Stunning Taş </w:t>
      </w:r>
      <w:proofErr w:type="spellStart"/>
      <w:r>
        <w:rPr>
          <w:rFonts w:ascii="Times New Roman" w:hAnsi="Times New Roman" w:cs="Times New Roman"/>
          <w:sz w:val="20"/>
          <w:szCs w:val="20"/>
        </w:rPr>
        <w:t>Tepeler</w:t>
      </w:r>
      <w:proofErr w:type="spellEnd"/>
      <w:r>
        <w:rPr>
          <w:rFonts w:ascii="Times New Roman" w:hAnsi="Times New Roman" w:cs="Times New Roman"/>
          <w:sz w:val="20"/>
          <w:szCs w:val="20"/>
        </w:rPr>
        <w:t xml:space="preserve"> Discovery: 12,000-Year-Old Human Faces Emerge from </w:t>
      </w:r>
      <w:proofErr w:type="spellStart"/>
      <w:r>
        <w:rPr>
          <w:rFonts w:ascii="Times New Roman" w:hAnsi="Times New Roman" w:cs="Times New Roman"/>
          <w:sz w:val="20"/>
          <w:szCs w:val="20"/>
        </w:rPr>
        <w:t>Sefertepe</w:t>
      </w:r>
      <w:proofErr w:type="spellEnd"/>
      <w:r>
        <w:rPr>
          <w:rFonts w:ascii="Times New Roman" w:hAnsi="Times New Roman" w:cs="Times New Roman"/>
          <w:sz w:val="20"/>
          <w:szCs w:val="20"/>
        </w:rPr>
        <w:t>," November 26, 2025.</w:t>
      </w:r>
    </w:p>
  </w:footnote>
  <w:footnote w:id="20">
    <w:p w14:paraId="3C45A851" w14:textId="77777777" w:rsidR="009F6C07" w:rsidRDefault="00000000">
      <w:pPr>
        <w:pStyle w:val="FootnoteText"/>
      </w:pPr>
      <w:r>
        <w:rPr>
          <w:rStyle w:val="FootnoteReference"/>
        </w:rPr>
        <w:footnoteRef/>
      </w:r>
      <w:r>
        <w:rPr>
          <w:rFonts w:ascii="Times New Roman" w:hAnsi="Times New Roman" w:cs="Times New Roman"/>
          <w:sz w:val="20"/>
          <w:szCs w:val="20"/>
        </w:rPr>
        <w:t>Hurriyet Daily News, "</w:t>
      </w:r>
      <w:proofErr w:type="spellStart"/>
      <w:r>
        <w:rPr>
          <w:rFonts w:ascii="Times New Roman" w:hAnsi="Times New Roman" w:cs="Times New Roman"/>
          <w:sz w:val="20"/>
          <w:szCs w:val="20"/>
        </w:rPr>
        <w:t>Sefertepe</w:t>
      </w:r>
      <w:proofErr w:type="spellEnd"/>
      <w:r>
        <w:rPr>
          <w:rFonts w:ascii="Times New Roman" w:hAnsi="Times New Roman" w:cs="Times New Roman"/>
          <w:sz w:val="20"/>
          <w:szCs w:val="20"/>
        </w:rPr>
        <w:t xml:space="preserve"> Artifacts Reveal Ancient Craftsmanship," December 10, 2025.</w:t>
      </w:r>
    </w:p>
  </w:footnote>
  <w:footnote w:id="21">
    <w:p w14:paraId="57570F87" w14:textId="77777777" w:rsidR="009F6C07" w:rsidRDefault="00000000">
      <w:pPr>
        <w:pStyle w:val="FootnoteText"/>
      </w:pPr>
      <w:r>
        <w:rPr>
          <w:rStyle w:val="FootnoteReference"/>
        </w:rPr>
        <w:footnoteRef/>
      </w:r>
      <w:r>
        <w:rPr>
          <w:rFonts w:ascii="Times New Roman" w:hAnsi="Times New Roman" w:cs="Times New Roman"/>
          <w:sz w:val="20"/>
          <w:szCs w:val="20"/>
        </w:rPr>
        <w:t xml:space="preserve">Free Republic / Baird, "New Site Discovered in Turkey Could Be Older Than </w:t>
      </w:r>
      <w:proofErr w:type="spellStart"/>
      <w:r>
        <w:rPr>
          <w:rFonts w:ascii="Times New Roman" w:hAnsi="Times New Roman" w:cs="Times New Roman"/>
          <w:sz w:val="20"/>
          <w:szCs w:val="20"/>
        </w:rPr>
        <w:t>Göbeklitepe</w:t>
      </w:r>
      <w:proofErr w:type="spellEnd"/>
      <w:r>
        <w:rPr>
          <w:rFonts w:ascii="Times New Roman" w:hAnsi="Times New Roman" w:cs="Times New Roman"/>
          <w:sz w:val="20"/>
          <w:szCs w:val="20"/>
        </w:rPr>
        <w:t>," August 2025.</w:t>
      </w:r>
    </w:p>
  </w:footnote>
  <w:footnote w:id="22">
    <w:p w14:paraId="41FBA1A8" w14:textId="77777777" w:rsidR="009F6C07" w:rsidRDefault="00000000">
      <w:pPr>
        <w:pStyle w:val="FootnoteText"/>
      </w:pPr>
      <w:r>
        <w:rPr>
          <w:rStyle w:val="FootnoteReference"/>
        </w:rPr>
        <w:footnoteRef/>
      </w:r>
      <w:r>
        <w:rPr>
          <w:rFonts w:ascii="Times New Roman" w:hAnsi="Times New Roman" w:cs="Times New Roman"/>
          <w:sz w:val="20"/>
          <w:szCs w:val="20"/>
        </w:rPr>
        <w:t>Karahantepe.net,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Wasn't Alone: </w:t>
      </w:r>
      <w:proofErr w:type="spellStart"/>
      <w:r>
        <w:rPr>
          <w:rFonts w:ascii="Times New Roman" w:hAnsi="Times New Roman" w:cs="Times New Roman"/>
          <w:sz w:val="20"/>
          <w:szCs w:val="20"/>
        </w:rPr>
        <w:t>Ayanlar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Höyük</w:t>
      </w:r>
      <w:proofErr w:type="spellEnd"/>
      <w:r>
        <w:rPr>
          <w:rFonts w:ascii="Times New Roman" w:hAnsi="Times New Roman" w:cs="Times New Roman"/>
          <w:sz w:val="20"/>
          <w:szCs w:val="20"/>
        </w:rPr>
        <w:t xml:space="preserve"> Proves It," April 2026.</w:t>
      </w:r>
    </w:p>
  </w:footnote>
  <w:footnote w:id="23">
    <w:p w14:paraId="6D758E48" w14:textId="77777777" w:rsidR="009F6C07" w:rsidRDefault="00000000">
      <w:pPr>
        <w:pStyle w:val="FootnoteText"/>
      </w:pPr>
      <w:r>
        <w:rPr>
          <w:rStyle w:val="FootnoteReference"/>
        </w:rPr>
        <w:footnoteRef/>
      </w:r>
      <w:r>
        <w:rPr>
          <w:rFonts w:ascii="Times New Roman" w:hAnsi="Times New Roman" w:cs="Times New Roman"/>
          <w:sz w:val="20"/>
          <w:szCs w:val="20"/>
        </w:rPr>
        <w:t xml:space="preserve">Edwin Hutchins, </w:t>
      </w:r>
      <w:r>
        <w:rPr>
          <w:rFonts w:ascii="Times New Roman" w:hAnsi="Times New Roman" w:cs="Times New Roman"/>
          <w:i/>
          <w:iCs/>
          <w:sz w:val="20"/>
          <w:szCs w:val="20"/>
        </w:rPr>
        <w:t>Cognition in the Wild</w:t>
      </w:r>
      <w:r>
        <w:rPr>
          <w:rFonts w:ascii="Times New Roman" w:hAnsi="Times New Roman" w:cs="Times New Roman"/>
          <w:sz w:val="20"/>
          <w:szCs w:val="20"/>
        </w:rPr>
        <w:t xml:space="preserve"> (Cambridge, MA: MIT Press, 1995).</w:t>
      </w:r>
    </w:p>
  </w:footnote>
  <w:footnote w:id="24">
    <w:p w14:paraId="51E061B5" w14:textId="77777777" w:rsidR="009F6C07" w:rsidRDefault="00000000">
      <w:pPr>
        <w:pStyle w:val="FootnoteText"/>
      </w:pPr>
      <w:r>
        <w:rPr>
          <w:rStyle w:val="FootnoteReference"/>
        </w:rPr>
        <w:footnoteRef/>
      </w:r>
      <w:r>
        <w:rPr>
          <w:rFonts w:ascii="Times New Roman" w:hAnsi="Times New Roman" w:cs="Times New Roman"/>
          <w:sz w:val="20"/>
          <w:szCs w:val="20"/>
        </w:rPr>
        <w:t xml:space="preserve">Clive Gamble, </w:t>
      </w:r>
      <w:r>
        <w:rPr>
          <w:rFonts w:ascii="Times New Roman" w:hAnsi="Times New Roman" w:cs="Times New Roman"/>
          <w:i/>
          <w:iCs/>
          <w:sz w:val="20"/>
          <w:szCs w:val="20"/>
        </w:rPr>
        <w:t>Settling the Earth: The Archaeology of Deep Human History</w:t>
      </w:r>
      <w:r>
        <w:rPr>
          <w:rFonts w:ascii="Times New Roman" w:hAnsi="Times New Roman" w:cs="Times New Roman"/>
          <w:sz w:val="20"/>
          <w:szCs w:val="20"/>
        </w:rPr>
        <w:t xml:space="preserve"> (Cambridge: Cambridge University Press, 2013).</w:t>
      </w:r>
    </w:p>
  </w:footnote>
  <w:footnote w:id="25">
    <w:p w14:paraId="281138D8" w14:textId="77777777" w:rsidR="009F6C07" w:rsidRDefault="00000000">
      <w:pPr>
        <w:pStyle w:val="FootnoteText"/>
      </w:pPr>
      <w:r>
        <w:rPr>
          <w:rStyle w:val="FootnoteReference"/>
        </w:rPr>
        <w:footnoteRef/>
      </w:r>
      <w:r>
        <w:rPr>
          <w:rFonts w:ascii="Times New Roman" w:hAnsi="Times New Roman" w:cs="Times New Roman"/>
          <w:sz w:val="20"/>
          <w:szCs w:val="20"/>
        </w:rPr>
        <w:t xml:space="preserve">Daily Sabah, "Dawn of Civilization Reborn: Türkiye's Taş </w:t>
      </w:r>
      <w:proofErr w:type="spellStart"/>
      <w:r>
        <w:rPr>
          <w:rFonts w:ascii="Times New Roman" w:hAnsi="Times New Roman" w:cs="Times New Roman"/>
          <w:sz w:val="20"/>
          <w:szCs w:val="20"/>
        </w:rPr>
        <w:t>Tepeler</w:t>
      </w:r>
      <w:proofErr w:type="spellEnd"/>
      <w:r>
        <w:rPr>
          <w:rFonts w:ascii="Times New Roman" w:hAnsi="Times New Roman" w:cs="Times New Roman"/>
          <w:sz w:val="20"/>
          <w:szCs w:val="20"/>
        </w:rPr>
        <w:t xml:space="preserve"> Takes the Lead," November 27, 2025.</w:t>
      </w:r>
    </w:p>
  </w:footnote>
  <w:footnote w:id="26">
    <w:p w14:paraId="37BE7303" w14:textId="77777777" w:rsidR="009F6C07" w:rsidRDefault="00000000">
      <w:pPr>
        <w:pStyle w:val="FootnoteText"/>
      </w:pPr>
      <w:r>
        <w:rPr>
          <w:rStyle w:val="FootnoteReference"/>
        </w:rPr>
        <w:footnoteRef/>
      </w:r>
      <w:r>
        <w:rPr>
          <w:rFonts w:ascii="Times New Roman" w:hAnsi="Times New Roman" w:cs="Times New Roman"/>
          <w:sz w:val="20"/>
          <w:szCs w:val="20"/>
        </w:rPr>
        <w:t xml:space="preserve">Anatolian Archaeology, "At </w:t>
      </w:r>
      <w:proofErr w:type="spellStart"/>
      <w:r>
        <w:rPr>
          <w:rFonts w:ascii="Times New Roman" w:hAnsi="Times New Roman" w:cs="Times New Roman"/>
          <w:sz w:val="20"/>
          <w:szCs w:val="20"/>
        </w:rPr>
        <w:t>Sefertepe</w:t>
      </w:r>
      <w:proofErr w:type="spellEnd"/>
      <w:r>
        <w:rPr>
          <w:rFonts w:ascii="Times New Roman" w:hAnsi="Times New Roman" w:cs="Times New Roman"/>
          <w:sz w:val="20"/>
          <w:szCs w:val="20"/>
        </w:rPr>
        <w:t>, Tiny Carvings and a 10,000-Year-Old Skull Room Reveal an Unexpected Symbolic World," December 1, 2025.</w:t>
      </w:r>
    </w:p>
  </w:footnote>
  <w:footnote w:id="27">
    <w:p w14:paraId="204F0AF1" w14:textId="77777777" w:rsidR="009F6C07" w:rsidRDefault="00000000">
      <w:pPr>
        <w:pStyle w:val="FootnoteText"/>
      </w:pPr>
      <w:r>
        <w:rPr>
          <w:rStyle w:val="FootnoteReference"/>
        </w:rPr>
        <w:footnoteRef/>
      </w:r>
      <w:r>
        <w:rPr>
          <w:rFonts w:ascii="Times New Roman" w:hAnsi="Times New Roman" w:cs="Times New Roman"/>
          <w:sz w:val="20"/>
          <w:szCs w:val="20"/>
        </w:rPr>
        <w:t xml:space="preserve">Bruce G. Trigger, </w:t>
      </w:r>
      <w:r>
        <w:rPr>
          <w:rFonts w:ascii="Times New Roman" w:hAnsi="Times New Roman" w:cs="Times New Roman"/>
          <w:i/>
          <w:iCs/>
          <w:sz w:val="20"/>
          <w:szCs w:val="20"/>
        </w:rPr>
        <w:t>Understanding Early Civilizations: A Comparative Study</w:t>
      </w:r>
      <w:r>
        <w:rPr>
          <w:rFonts w:ascii="Times New Roman" w:hAnsi="Times New Roman" w:cs="Times New Roman"/>
          <w:sz w:val="20"/>
          <w:szCs w:val="20"/>
        </w:rPr>
        <w:t xml:space="preserve"> (Cambridge: Cambridge University Press, 2003).</w:t>
      </w:r>
    </w:p>
  </w:footnote>
  <w:footnote w:id="28">
    <w:p w14:paraId="136372A8" w14:textId="77777777" w:rsidR="009F6C07" w:rsidRDefault="00000000">
      <w:pPr>
        <w:pStyle w:val="FootnoteText"/>
      </w:pPr>
      <w:r>
        <w:rPr>
          <w:rStyle w:val="FootnoteReference"/>
        </w:rPr>
        <w:footnoteRef/>
      </w:r>
      <w:r>
        <w:rPr>
          <w:rFonts w:ascii="Times New Roman" w:hAnsi="Times New Roman" w:cs="Times New Roman"/>
          <w:sz w:val="20"/>
          <w:szCs w:val="20"/>
        </w:rPr>
        <w:t xml:space="preserve">Türkiye Today, "Who Built </w:t>
      </w:r>
      <w:proofErr w:type="spellStart"/>
      <w:r>
        <w:rPr>
          <w:rFonts w:ascii="Times New Roman" w:hAnsi="Times New Roman" w:cs="Times New Roman"/>
          <w:sz w:val="20"/>
          <w:szCs w:val="20"/>
        </w:rPr>
        <w:t>Göbeklitepe</w:t>
      </w:r>
      <w:proofErr w:type="spellEnd"/>
      <w:r>
        <w:rPr>
          <w:rFonts w:ascii="Times New Roman" w:hAnsi="Times New Roman" w:cs="Times New Roman"/>
          <w:sz w:val="20"/>
          <w:szCs w:val="20"/>
        </w:rPr>
        <w:t xml:space="preserve">? Hidden World of Taş </w:t>
      </w:r>
      <w:proofErr w:type="spellStart"/>
      <w:r>
        <w:rPr>
          <w:rFonts w:ascii="Times New Roman" w:hAnsi="Times New Roman" w:cs="Times New Roman"/>
          <w:sz w:val="20"/>
          <w:szCs w:val="20"/>
        </w:rPr>
        <w:t>Tepeler's</w:t>
      </w:r>
      <w:proofErr w:type="spellEnd"/>
      <w:r>
        <w:rPr>
          <w:rFonts w:ascii="Times New Roman" w:hAnsi="Times New Roman" w:cs="Times New Roman"/>
          <w:sz w:val="20"/>
          <w:szCs w:val="20"/>
        </w:rPr>
        <w:t xml:space="preserve"> Hunter-Gatherers," March 11, 2026.</w:t>
      </w:r>
    </w:p>
  </w:footnote>
  <w:footnote w:id="29">
    <w:p w14:paraId="693245DC" w14:textId="77777777" w:rsidR="009F6C07" w:rsidRDefault="00000000">
      <w:pPr>
        <w:pStyle w:val="FootnoteText"/>
      </w:pPr>
      <w:r>
        <w:rPr>
          <w:rStyle w:val="FootnoteReference"/>
        </w:rPr>
        <w:footnoteRef/>
      </w:r>
      <w:r>
        <w:rPr>
          <w:rFonts w:ascii="Times New Roman" w:hAnsi="Times New Roman" w:cs="Times New Roman"/>
          <w:sz w:val="20"/>
          <w:szCs w:val="20"/>
        </w:rPr>
        <w:t xml:space="preserve">Jacques Cauvin, </w:t>
      </w:r>
      <w:r>
        <w:rPr>
          <w:rFonts w:ascii="Times New Roman" w:hAnsi="Times New Roman" w:cs="Times New Roman"/>
          <w:i/>
          <w:iCs/>
          <w:sz w:val="20"/>
          <w:szCs w:val="20"/>
        </w:rPr>
        <w:t>The Birth of the Gods and the Origins of Agriculture</w:t>
      </w:r>
      <w:r>
        <w:rPr>
          <w:rFonts w:ascii="Times New Roman" w:hAnsi="Times New Roman" w:cs="Times New Roman"/>
          <w:sz w:val="20"/>
          <w:szCs w:val="20"/>
        </w:rPr>
        <w:t xml:space="preserve"> (Cambridge: Cambridge University Press, 2000).</w:t>
      </w:r>
    </w:p>
  </w:footnote>
  <w:footnote w:id="30">
    <w:p w14:paraId="48AEF6EB" w14:textId="77777777" w:rsidR="009F6C07" w:rsidRDefault="00000000">
      <w:pPr>
        <w:pStyle w:val="FootnoteText"/>
      </w:pPr>
      <w:r>
        <w:rPr>
          <w:rStyle w:val="FootnoteReference"/>
        </w:rPr>
        <w:footnoteRef/>
      </w:r>
      <w:r>
        <w:rPr>
          <w:rFonts w:ascii="Times New Roman" w:hAnsi="Times New Roman" w:cs="Times New Roman"/>
          <w:sz w:val="20"/>
          <w:szCs w:val="20"/>
        </w:rPr>
        <w:t xml:space="preserve">Cambridge Archaeological Journal, "Geometry and Architectural Planning at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Turkey." Published online January 14, 2020. https://doi.org/10.1017/S0959774320000104.</w:t>
      </w:r>
    </w:p>
  </w:footnote>
  <w:footnote w:id="31">
    <w:p w14:paraId="7B4361B8" w14:textId="77777777" w:rsidR="009F6C07" w:rsidRDefault="00000000">
      <w:pPr>
        <w:pStyle w:val="FootnoteText"/>
      </w:pPr>
      <w:r>
        <w:rPr>
          <w:rStyle w:val="FootnoteReference"/>
        </w:rPr>
        <w:footnoteRef/>
      </w:r>
      <w:r>
        <w:rPr>
          <w:rFonts w:ascii="Times New Roman" w:hAnsi="Times New Roman" w:cs="Times New Roman"/>
          <w:sz w:val="20"/>
          <w:szCs w:val="20"/>
        </w:rPr>
        <w:t xml:space="preserve">Free Republic / Baird, "New Site Discovered in Turkey Could Be Older Than </w:t>
      </w:r>
      <w:proofErr w:type="spellStart"/>
      <w:r>
        <w:rPr>
          <w:rFonts w:ascii="Times New Roman" w:hAnsi="Times New Roman" w:cs="Times New Roman"/>
          <w:sz w:val="20"/>
          <w:szCs w:val="20"/>
        </w:rPr>
        <w:t>Göbeklitepe</w:t>
      </w:r>
      <w:proofErr w:type="spellEnd"/>
      <w:r>
        <w:rPr>
          <w:rFonts w:ascii="Times New Roman" w:hAnsi="Times New Roman" w:cs="Times New Roman"/>
          <w:sz w:val="20"/>
          <w:szCs w:val="20"/>
        </w:rPr>
        <w:t>," August 2025.</w:t>
      </w:r>
    </w:p>
  </w:footnote>
  <w:footnote w:id="32">
    <w:p w14:paraId="6308D391" w14:textId="77777777" w:rsidR="009F6C07" w:rsidRDefault="00000000">
      <w:pPr>
        <w:pStyle w:val="FootnoteText"/>
      </w:pPr>
      <w:r>
        <w:rPr>
          <w:rStyle w:val="FootnoteReference"/>
        </w:rPr>
        <w:footnoteRef/>
      </w:r>
      <w:r>
        <w:rPr>
          <w:rFonts w:ascii="Times New Roman" w:hAnsi="Times New Roman" w:cs="Times New Roman"/>
          <w:sz w:val="20"/>
          <w:szCs w:val="20"/>
        </w:rPr>
        <w:t>Karahantepe.net,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Wasn't Alone: </w:t>
      </w:r>
      <w:proofErr w:type="spellStart"/>
      <w:r>
        <w:rPr>
          <w:rFonts w:ascii="Times New Roman" w:hAnsi="Times New Roman" w:cs="Times New Roman"/>
          <w:sz w:val="20"/>
          <w:szCs w:val="20"/>
        </w:rPr>
        <w:t>Ayanlar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Höyük</w:t>
      </w:r>
      <w:proofErr w:type="spellEnd"/>
      <w:r>
        <w:rPr>
          <w:rFonts w:ascii="Times New Roman" w:hAnsi="Times New Roman" w:cs="Times New Roman"/>
          <w:sz w:val="20"/>
          <w:szCs w:val="20"/>
        </w:rPr>
        <w:t xml:space="preserve"> Proves It," April 2026.</w:t>
      </w:r>
    </w:p>
  </w:footnote>
  <w:footnote w:id="33">
    <w:p w14:paraId="64A947F3" w14:textId="77777777" w:rsidR="009F6C07" w:rsidRDefault="00000000">
      <w:pPr>
        <w:pStyle w:val="FootnoteText"/>
      </w:pPr>
      <w:r>
        <w:rPr>
          <w:rStyle w:val="FootnoteReference"/>
        </w:rPr>
        <w:footnoteRef/>
      </w:r>
      <w:r>
        <w:rPr>
          <w:rFonts w:ascii="Times New Roman" w:hAnsi="Times New Roman" w:cs="Times New Roman"/>
          <w:sz w:val="20"/>
          <w:szCs w:val="20"/>
        </w:rPr>
        <w:t xml:space="preserve">Science Advances, "Modified Human Crania from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Provide Evidence for a New Form of Neolithic Skull Cult," </w:t>
      </w:r>
      <w:r>
        <w:rPr>
          <w:rFonts w:ascii="Times New Roman" w:hAnsi="Times New Roman" w:cs="Times New Roman"/>
          <w:i/>
          <w:iCs/>
          <w:sz w:val="20"/>
          <w:szCs w:val="20"/>
        </w:rPr>
        <w:t>Science Advances</w:t>
      </w:r>
      <w:r>
        <w:rPr>
          <w:rFonts w:ascii="Times New Roman" w:hAnsi="Times New Roman" w:cs="Times New Roman"/>
          <w:sz w:val="20"/>
          <w:szCs w:val="20"/>
        </w:rPr>
        <w:t xml:space="preserve"> 3, no. 6 (2017): e1700564.</w:t>
      </w:r>
    </w:p>
  </w:footnote>
  <w:footnote w:id="34">
    <w:p w14:paraId="4D3A3328" w14:textId="77777777" w:rsidR="009F6C07" w:rsidRDefault="00000000">
      <w:pPr>
        <w:pStyle w:val="FootnoteText"/>
      </w:pPr>
      <w:r>
        <w:rPr>
          <w:rStyle w:val="FootnoteReference"/>
        </w:rPr>
        <w:footnoteRef/>
      </w:r>
      <w:r>
        <w:rPr>
          <w:rFonts w:ascii="Times New Roman" w:hAnsi="Times New Roman" w:cs="Times New Roman"/>
          <w:sz w:val="20"/>
          <w:szCs w:val="20"/>
        </w:rPr>
        <w:t xml:space="preserve">Anatolian Archaeology, "At </w:t>
      </w:r>
      <w:proofErr w:type="spellStart"/>
      <w:r>
        <w:rPr>
          <w:rFonts w:ascii="Times New Roman" w:hAnsi="Times New Roman" w:cs="Times New Roman"/>
          <w:sz w:val="20"/>
          <w:szCs w:val="20"/>
        </w:rPr>
        <w:t>Sefertepe</w:t>
      </w:r>
      <w:proofErr w:type="spellEnd"/>
      <w:r>
        <w:rPr>
          <w:rFonts w:ascii="Times New Roman" w:hAnsi="Times New Roman" w:cs="Times New Roman"/>
          <w:sz w:val="20"/>
          <w:szCs w:val="20"/>
        </w:rPr>
        <w:t>, Tiny Carvings and a 10,000-Year-Old Skull Room Reveal an Unexpected Symbolic World," December 1, 2025.</w:t>
      </w:r>
    </w:p>
  </w:footnote>
  <w:footnote w:id="35">
    <w:p w14:paraId="4CC9655D" w14:textId="77777777" w:rsidR="009F6C07" w:rsidRDefault="00000000">
      <w:pPr>
        <w:pStyle w:val="FootnoteText"/>
      </w:pPr>
      <w:r>
        <w:rPr>
          <w:rStyle w:val="FootnoteReference"/>
        </w:rPr>
        <w:footnoteRef/>
      </w:r>
      <w:r>
        <w:rPr>
          <w:rFonts w:ascii="Times New Roman" w:hAnsi="Times New Roman" w:cs="Times New Roman"/>
          <w:sz w:val="20"/>
          <w:szCs w:val="20"/>
        </w:rPr>
        <w:t xml:space="preserve">Türkiye Today, "Stitched-Mouth Neolithic Statue from </w:t>
      </w:r>
      <w:proofErr w:type="spellStart"/>
      <w:r>
        <w:rPr>
          <w:rFonts w:ascii="Times New Roman" w:hAnsi="Times New Roman" w:cs="Times New Roman"/>
          <w:sz w:val="20"/>
          <w:szCs w:val="20"/>
        </w:rPr>
        <w:t>Sayburç</w:t>
      </w:r>
      <w:proofErr w:type="spellEnd"/>
      <w:r>
        <w:rPr>
          <w:rFonts w:ascii="Times New Roman" w:hAnsi="Times New Roman" w:cs="Times New Roman"/>
          <w:sz w:val="20"/>
          <w:szCs w:val="20"/>
        </w:rPr>
        <w:t xml:space="preserve"> Reshapes Understanding of Death Rituals in Taş </w:t>
      </w:r>
      <w:proofErr w:type="spellStart"/>
      <w:r>
        <w:rPr>
          <w:rFonts w:ascii="Times New Roman" w:hAnsi="Times New Roman" w:cs="Times New Roman"/>
          <w:sz w:val="20"/>
          <w:szCs w:val="20"/>
        </w:rPr>
        <w:t>Tepeler</w:t>
      </w:r>
      <w:proofErr w:type="spellEnd"/>
      <w:r>
        <w:rPr>
          <w:rFonts w:ascii="Times New Roman" w:hAnsi="Times New Roman" w:cs="Times New Roman"/>
          <w:sz w:val="20"/>
          <w:szCs w:val="20"/>
        </w:rPr>
        <w:t>," November 28, 2025.</w:t>
      </w:r>
    </w:p>
  </w:footnote>
  <w:footnote w:id="36">
    <w:p w14:paraId="654286D6" w14:textId="77777777" w:rsidR="009F6C07" w:rsidRDefault="00000000">
      <w:pPr>
        <w:pStyle w:val="FootnoteText"/>
      </w:pPr>
      <w:r>
        <w:rPr>
          <w:rStyle w:val="FootnoteReference"/>
        </w:rPr>
        <w:footnoteRef/>
      </w:r>
      <w:r>
        <w:rPr>
          <w:rFonts w:ascii="Times New Roman" w:hAnsi="Times New Roman" w:cs="Times New Roman"/>
          <w:sz w:val="20"/>
          <w:szCs w:val="20"/>
        </w:rPr>
        <w:t xml:space="preserve">Daily Sabah, "Dawn of Civilization Reborn: Türkiye's Taş </w:t>
      </w:r>
      <w:proofErr w:type="spellStart"/>
      <w:r>
        <w:rPr>
          <w:rFonts w:ascii="Times New Roman" w:hAnsi="Times New Roman" w:cs="Times New Roman"/>
          <w:sz w:val="20"/>
          <w:szCs w:val="20"/>
        </w:rPr>
        <w:t>Tepeler</w:t>
      </w:r>
      <w:proofErr w:type="spellEnd"/>
      <w:r>
        <w:rPr>
          <w:rFonts w:ascii="Times New Roman" w:hAnsi="Times New Roman" w:cs="Times New Roman"/>
          <w:sz w:val="20"/>
          <w:szCs w:val="20"/>
        </w:rPr>
        <w:t xml:space="preserve"> Takes the Lead," November 27, 2025.</w:t>
      </w:r>
    </w:p>
  </w:footnote>
  <w:footnote w:id="37">
    <w:p w14:paraId="443BA8B7" w14:textId="77777777" w:rsidR="009F6C07"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38">
    <w:p w14:paraId="3FC460AD" w14:textId="77777777" w:rsidR="009F6C07" w:rsidRDefault="00000000">
      <w:pPr>
        <w:pStyle w:val="FootnoteText"/>
      </w:pPr>
      <w:r>
        <w:rPr>
          <w:rStyle w:val="FootnoteReference"/>
        </w:rPr>
        <w:footnoteRef/>
      </w:r>
      <w:r>
        <w:rPr>
          <w:rFonts w:ascii="Times New Roman" w:hAnsi="Times New Roman" w:cs="Times New Roman"/>
          <w:sz w:val="20"/>
          <w:szCs w:val="20"/>
        </w:rPr>
        <w:t xml:space="preserve">Mehmet Nuri Ersoy, briefing at </w:t>
      </w:r>
      <w:proofErr w:type="spellStart"/>
      <w:r>
        <w:rPr>
          <w:rFonts w:ascii="Times New Roman" w:hAnsi="Times New Roman" w:cs="Times New Roman"/>
          <w:sz w:val="20"/>
          <w:szCs w:val="20"/>
        </w:rPr>
        <w:t>Karahantepe</w:t>
      </w:r>
      <w:proofErr w:type="spellEnd"/>
      <w:r>
        <w:rPr>
          <w:rFonts w:ascii="Times New Roman" w:hAnsi="Times New Roman" w:cs="Times New Roman"/>
          <w:sz w:val="20"/>
          <w:szCs w:val="20"/>
        </w:rPr>
        <w:t xml:space="preserve"> Visitor Center, </w:t>
      </w:r>
      <w:proofErr w:type="spellStart"/>
      <w:r>
        <w:rPr>
          <w:rFonts w:ascii="Times New Roman" w:hAnsi="Times New Roman" w:cs="Times New Roman"/>
          <w:sz w:val="20"/>
          <w:szCs w:val="20"/>
        </w:rPr>
        <w:t>Şanlıurfa</w:t>
      </w:r>
      <w:proofErr w:type="spellEnd"/>
      <w:r>
        <w:rPr>
          <w:rFonts w:ascii="Times New Roman" w:hAnsi="Times New Roman" w:cs="Times New Roman"/>
          <w:sz w:val="20"/>
          <w:szCs w:val="20"/>
        </w:rPr>
        <w:t>, November 26, 2025. Reported by Xinhua News Agency, "Türkiye Announces New Neolithic-Era Findings from Major Archaeology Project," November 27, 2025.</w:t>
      </w:r>
    </w:p>
  </w:footnote>
  <w:footnote w:id="39">
    <w:p w14:paraId="6BBDB1C6" w14:textId="77777777" w:rsidR="009F6C07" w:rsidRDefault="00000000">
      <w:pPr>
        <w:pStyle w:val="FootnoteText"/>
      </w:pPr>
      <w:r>
        <w:rPr>
          <w:rStyle w:val="FootnoteReference"/>
        </w:rPr>
        <w:footnoteRef/>
      </w:r>
      <w:proofErr w:type="spellStart"/>
      <w:r>
        <w:rPr>
          <w:rFonts w:ascii="Times New Roman" w:hAnsi="Times New Roman" w:cs="Times New Roman"/>
          <w:sz w:val="20"/>
          <w:szCs w:val="20"/>
        </w:rPr>
        <w:t>Arkeonews</w:t>
      </w:r>
      <w:proofErr w:type="spellEnd"/>
      <w:r>
        <w:rPr>
          <w:rFonts w:ascii="Times New Roman" w:hAnsi="Times New Roman" w:cs="Times New Roman"/>
          <w:sz w:val="20"/>
          <w:szCs w:val="20"/>
        </w:rPr>
        <w:t xml:space="preserve">, "An 8,500-Year-Old Micro-Carved Bead — and a 10,000-Year-Old Skull Room — Reveal </w:t>
      </w:r>
      <w:proofErr w:type="spellStart"/>
      <w:r>
        <w:rPr>
          <w:rFonts w:ascii="Times New Roman" w:hAnsi="Times New Roman" w:cs="Times New Roman"/>
          <w:sz w:val="20"/>
          <w:szCs w:val="20"/>
        </w:rPr>
        <w:t>Sefertepe's</w:t>
      </w:r>
      <w:proofErr w:type="spellEnd"/>
      <w:r>
        <w:rPr>
          <w:rFonts w:ascii="Times New Roman" w:hAnsi="Times New Roman" w:cs="Times New Roman"/>
          <w:sz w:val="20"/>
          <w:szCs w:val="20"/>
        </w:rPr>
        <w:t xml:space="preserve"> Hidden Symbolic World," November 30, 2025.</w:t>
      </w:r>
    </w:p>
  </w:footnote>
  <w:footnote w:id="40">
    <w:p w14:paraId="6759EC78" w14:textId="77777777" w:rsidR="009F6C07" w:rsidRDefault="00000000">
      <w:pPr>
        <w:pStyle w:val="FootnoteText"/>
      </w:pPr>
      <w:r>
        <w:rPr>
          <w:rStyle w:val="FootnoteReference"/>
        </w:rPr>
        <w:footnoteRef/>
      </w:r>
      <w:r>
        <w:rPr>
          <w:rFonts w:ascii="Times New Roman" w:hAnsi="Times New Roman" w:cs="Times New Roman"/>
          <w:sz w:val="20"/>
          <w:szCs w:val="20"/>
        </w:rPr>
        <w:t>Hurriyet Daily News, "</w:t>
      </w:r>
      <w:proofErr w:type="spellStart"/>
      <w:r>
        <w:rPr>
          <w:rFonts w:ascii="Times New Roman" w:hAnsi="Times New Roman" w:cs="Times New Roman"/>
          <w:sz w:val="20"/>
          <w:szCs w:val="20"/>
        </w:rPr>
        <w:t>Sefertepe</w:t>
      </w:r>
      <w:proofErr w:type="spellEnd"/>
      <w:r>
        <w:rPr>
          <w:rFonts w:ascii="Times New Roman" w:hAnsi="Times New Roman" w:cs="Times New Roman"/>
          <w:sz w:val="20"/>
          <w:szCs w:val="20"/>
        </w:rPr>
        <w:t xml:space="preserve"> Artifacts Reveal Ancient Craftsmanship," December 10, 2025.</w:t>
      </w:r>
    </w:p>
  </w:footnote>
  <w:footnote w:id="41">
    <w:p w14:paraId="7FD194E0" w14:textId="77777777" w:rsidR="009F6C07" w:rsidRDefault="00000000">
      <w:pPr>
        <w:pStyle w:val="FootnoteText"/>
      </w:pPr>
      <w:r>
        <w:rPr>
          <w:rStyle w:val="FootnoteReference"/>
        </w:rPr>
        <w:footnoteRef/>
      </w:r>
      <w:r>
        <w:rPr>
          <w:rFonts w:ascii="Times New Roman" w:hAnsi="Times New Roman" w:cs="Times New Roman"/>
          <w:sz w:val="20"/>
          <w:szCs w:val="20"/>
        </w:rPr>
        <w:t xml:space="preserve">Türkiye Today, "Who Built </w:t>
      </w:r>
      <w:proofErr w:type="spellStart"/>
      <w:r>
        <w:rPr>
          <w:rFonts w:ascii="Times New Roman" w:hAnsi="Times New Roman" w:cs="Times New Roman"/>
          <w:sz w:val="20"/>
          <w:szCs w:val="20"/>
        </w:rPr>
        <w:t>Göbeklitepe</w:t>
      </w:r>
      <w:proofErr w:type="spellEnd"/>
      <w:r>
        <w:rPr>
          <w:rFonts w:ascii="Times New Roman" w:hAnsi="Times New Roman" w:cs="Times New Roman"/>
          <w:sz w:val="20"/>
          <w:szCs w:val="20"/>
        </w:rPr>
        <w:t xml:space="preserve">? Hidden World of Taş </w:t>
      </w:r>
      <w:proofErr w:type="spellStart"/>
      <w:r>
        <w:rPr>
          <w:rFonts w:ascii="Times New Roman" w:hAnsi="Times New Roman" w:cs="Times New Roman"/>
          <w:sz w:val="20"/>
          <w:szCs w:val="20"/>
        </w:rPr>
        <w:t>Tepeler's</w:t>
      </w:r>
      <w:proofErr w:type="spellEnd"/>
      <w:r>
        <w:rPr>
          <w:rFonts w:ascii="Times New Roman" w:hAnsi="Times New Roman" w:cs="Times New Roman"/>
          <w:sz w:val="20"/>
          <w:szCs w:val="20"/>
        </w:rPr>
        <w:t xml:space="preserve"> Hunter-Gatherers," March 11, 2026.</w:t>
      </w:r>
    </w:p>
  </w:footnote>
  <w:footnote w:id="42">
    <w:p w14:paraId="26495B0D" w14:textId="77777777" w:rsidR="009F6C07" w:rsidRDefault="00000000">
      <w:pPr>
        <w:pStyle w:val="FootnoteText"/>
      </w:pPr>
      <w:r>
        <w:rPr>
          <w:rStyle w:val="FootnoteReference"/>
        </w:rPr>
        <w:footnoteRef/>
      </w:r>
      <w:r>
        <w:rPr>
          <w:rFonts w:ascii="Times New Roman" w:hAnsi="Times New Roman" w:cs="Times New Roman"/>
          <w:sz w:val="20"/>
          <w:szCs w:val="20"/>
        </w:rPr>
        <w:t xml:space="preserve">Free Republic / Baird, "New Site Discovered in Turkey Could Be Older Than </w:t>
      </w:r>
      <w:proofErr w:type="spellStart"/>
      <w:r>
        <w:rPr>
          <w:rFonts w:ascii="Times New Roman" w:hAnsi="Times New Roman" w:cs="Times New Roman"/>
          <w:sz w:val="20"/>
          <w:szCs w:val="20"/>
        </w:rPr>
        <w:t>Göbeklitepe</w:t>
      </w:r>
      <w:proofErr w:type="spellEnd"/>
      <w:r>
        <w:rPr>
          <w:rFonts w:ascii="Times New Roman" w:hAnsi="Times New Roman" w:cs="Times New Roman"/>
          <w:sz w:val="20"/>
          <w:szCs w:val="20"/>
        </w:rPr>
        <w:t>," August 2025.</w:t>
      </w:r>
    </w:p>
  </w:footnote>
  <w:footnote w:id="43">
    <w:p w14:paraId="6736B6FF" w14:textId="77777777" w:rsidR="009F6C07" w:rsidRDefault="00000000">
      <w:pPr>
        <w:pStyle w:val="FootnoteText"/>
      </w:pPr>
      <w:r>
        <w:rPr>
          <w:rStyle w:val="FootnoteReference"/>
        </w:rPr>
        <w:footnoteRef/>
      </w:r>
      <w:r>
        <w:rPr>
          <w:rFonts w:ascii="Times New Roman" w:hAnsi="Times New Roman" w:cs="Times New Roman"/>
          <w:sz w:val="20"/>
          <w:szCs w:val="20"/>
        </w:rPr>
        <w:t>Karahantepe.net,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Wasn't Alone: </w:t>
      </w:r>
      <w:proofErr w:type="spellStart"/>
      <w:r>
        <w:rPr>
          <w:rFonts w:ascii="Times New Roman" w:hAnsi="Times New Roman" w:cs="Times New Roman"/>
          <w:sz w:val="20"/>
          <w:szCs w:val="20"/>
        </w:rPr>
        <w:t>Ayanlar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Höyük</w:t>
      </w:r>
      <w:proofErr w:type="spellEnd"/>
      <w:r>
        <w:rPr>
          <w:rFonts w:ascii="Times New Roman" w:hAnsi="Times New Roman" w:cs="Times New Roman"/>
          <w:sz w:val="20"/>
          <w:szCs w:val="20"/>
        </w:rPr>
        <w:t xml:space="preserve"> Proves It," April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140B"/>
    <w:multiLevelType w:val="hybridMultilevel"/>
    <w:tmpl w:val="18D0511E"/>
    <w:lvl w:ilvl="0" w:tplc="62747910">
      <w:start w:val="1"/>
      <w:numFmt w:val="bullet"/>
      <w:lvlText w:val="•"/>
      <w:lvlJc w:val="left"/>
      <w:pPr>
        <w:ind w:left="720" w:hanging="360"/>
      </w:pPr>
    </w:lvl>
    <w:lvl w:ilvl="1" w:tplc="BBBEF490">
      <w:numFmt w:val="decimal"/>
      <w:lvlText w:val=""/>
      <w:lvlJc w:val="left"/>
    </w:lvl>
    <w:lvl w:ilvl="2" w:tplc="E2683004">
      <w:numFmt w:val="decimal"/>
      <w:lvlText w:val=""/>
      <w:lvlJc w:val="left"/>
    </w:lvl>
    <w:lvl w:ilvl="3" w:tplc="6D0CCB08">
      <w:numFmt w:val="decimal"/>
      <w:lvlText w:val=""/>
      <w:lvlJc w:val="left"/>
    </w:lvl>
    <w:lvl w:ilvl="4" w:tplc="A0988BC4">
      <w:numFmt w:val="decimal"/>
      <w:lvlText w:val=""/>
      <w:lvlJc w:val="left"/>
    </w:lvl>
    <w:lvl w:ilvl="5" w:tplc="4572A832">
      <w:numFmt w:val="decimal"/>
      <w:lvlText w:val=""/>
      <w:lvlJc w:val="left"/>
    </w:lvl>
    <w:lvl w:ilvl="6" w:tplc="27A69638">
      <w:numFmt w:val="decimal"/>
      <w:lvlText w:val=""/>
      <w:lvlJc w:val="left"/>
    </w:lvl>
    <w:lvl w:ilvl="7" w:tplc="4A421F88">
      <w:numFmt w:val="decimal"/>
      <w:lvlText w:val=""/>
      <w:lvlJc w:val="left"/>
    </w:lvl>
    <w:lvl w:ilvl="8" w:tplc="F6D28214">
      <w:numFmt w:val="decimal"/>
      <w:lvlText w:val=""/>
      <w:lvlJc w:val="left"/>
    </w:lvl>
  </w:abstractNum>
  <w:abstractNum w:abstractNumId="1" w15:restartNumberingAfterBreak="0">
    <w:nsid w:val="47C51481"/>
    <w:multiLevelType w:val="hybridMultilevel"/>
    <w:tmpl w:val="743CAB92"/>
    <w:lvl w:ilvl="0" w:tplc="941EA62E">
      <w:start w:val="1"/>
      <w:numFmt w:val="bullet"/>
      <w:lvlText w:val="●"/>
      <w:lvlJc w:val="left"/>
      <w:pPr>
        <w:ind w:left="720" w:hanging="360"/>
      </w:pPr>
    </w:lvl>
    <w:lvl w:ilvl="1" w:tplc="A0569416">
      <w:start w:val="1"/>
      <w:numFmt w:val="bullet"/>
      <w:lvlText w:val="○"/>
      <w:lvlJc w:val="left"/>
      <w:pPr>
        <w:ind w:left="1440" w:hanging="360"/>
      </w:pPr>
    </w:lvl>
    <w:lvl w:ilvl="2" w:tplc="834C6E1C">
      <w:start w:val="1"/>
      <w:numFmt w:val="bullet"/>
      <w:lvlText w:val="■"/>
      <w:lvlJc w:val="left"/>
      <w:pPr>
        <w:ind w:left="2160" w:hanging="360"/>
      </w:pPr>
    </w:lvl>
    <w:lvl w:ilvl="3" w:tplc="CA62AE02">
      <w:start w:val="1"/>
      <w:numFmt w:val="bullet"/>
      <w:lvlText w:val="●"/>
      <w:lvlJc w:val="left"/>
      <w:pPr>
        <w:ind w:left="2880" w:hanging="360"/>
      </w:pPr>
    </w:lvl>
    <w:lvl w:ilvl="4" w:tplc="21680A38">
      <w:start w:val="1"/>
      <w:numFmt w:val="bullet"/>
      <w:lvlText w:val="○"/>
      <w:lvlJc w:val="left"/>
      <w:pPr>
        <w:ind w:left="3600" w:hanging="360"/>
      </w:pPr>
    </w:lvl>
    <w:lvl w:ilvl="5" w:tplc="43B62F52">
      <w:start w:val="1"/>
      <w:numFmt w:val="bullet"/>
      <w:lvlText w:val="■"/>
      <w:lvlJc w:val="left"/>
      <w:pPr>
        <w:ind w:left="4320" w:hanging="360"/>
      </w:pPr>
    </w:lvl>
    <w:lvl w:ilvl="6" w:tplc="A552DF50">
      <w:start w:val="1"/>
      <w:numFmt w:val="bullet"/>
      <w:lvlText w:val="●"/>
      <w:lvlJc w:val="left"/>
      <w:pPr>
        <w:ind w:left="5040" w:hanging="360"/>
      </w:pPr>
    </w:lvl>
    <w:lvl w:ilvl="7" w:tplc="8CEA7EAA">
      <w:start w:val="1"/>
      <w:numFmt w:val="bullet"/>
      <w:lvlText w:val="●"/>
      <w:lvlJc w:val="left"/>
      <w:pPr>
        <w:ind w:left="5760" w:hanging="360"/>
      </w:pPr>
    </w:lvl>
    <w:lvl w:ilvl="8" w:tplc="E71A834E">
      <w:start w:val="1"/>
      <w:numFmt w:val="bullet"/>
      <w:lvlText w:val="●"/>
      <w:lvlJc w:val="left"/>
      <w:pPr>
        <w:ind w:left="6480" w:hanging="360"/>
      </w:pPr>
    </w:lvl>
  </w:abstractNum>
  <w:num w:numId="1" w16cid:durableId="1925070993">
    <w:abstractNumId w:val="1"/>
    <w:lvlOverride w:ilvl="0">
      <w:startOverride w:val="1"/>
    </w:lvlOverride>
  </w:num>
  <w:num w:numId="2" w16cid:durableId="1576433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07"/>
    <w:rsid w:val="002249E4"/>
    <w:rsid w:val="00257D7F"/>
    <w:rsid w:val="009B19A5"/>
    <w:rsid w:val="009F6C07"/>
    <w:rsid w:val="00D919A0"/>
    <w:rsid w:val="00F3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F2277"/>
  <w15:docId w15:val="{B4C3C8F8-D10F-0647-A2EE-967D4E11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30"/>
      <w:szCs w:val="30"/>
    </w:rPr>
  </w:style>
  <w:style w:type="paragraph" w:styleId="Heading2">
    <w:name w:val="heading 2"/>
    <w:uiPriority w:val="9"/>
    <w:unhideWhenUsed/>
    <w:qFormat/>
    <w:pPr>
      <w:spacing w:before="260" w:after="12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pPr>
      <w:spacing w:after="60"/>
    </w:pPr>
    <w:rPr>
      <w:sz w:val="18"/>
      <w:szCs w:val="18"/>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3424F"/>
    <w:rPr>
      <w:color w:val="605E5C"/>
      <w:shd w:val="clear" w:color="auto" w:fill="E1DFDD"/>
    </w:rPr>
  </w:style>
  <w:style w:type="character" w:styleId="FollowedHyperlink">
    <w:name w:val="FollowedHyperlink"/>
    <w:basedOn w:val="DefaultParagraphFont"/>
    <w:uiPriority w:val="99"/>
    <w:semiHidden/>
    <w:unhideWhenUsed/>
    <w:rsid w:val="00F342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4072</Words>
  <Characters>25904</Characters>
  <Application>Microsoft Office Word</Application>
  <DocSecurity>0</DocSecurity>
  <Lines>681</Lines>
  <Paragraphs>405</Paragraphs>
  <ScaleCrop>false</ScaleCrop>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4</cp:revision>
  <cp:lastPrinted>2026-05-03T13:16:00Z</cp:lastPrinted>
  <dcterms:created xsi:type="dcterms:W3CDTF">2026-05-03T13:16:00Z</dcterms:created>
  <dcterms:modified xsi:type="dcterms:W3CDTF">2026-05-03T13:26:00Z</dcterms:modified>
</cp:coreProperties>
</file>