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50DEA" w14:textId="77777777" w:rsidR="005B30DC" w:rsidRDefault="005B30DC">
      <w:pPr>
        <w:spacing w:before="60" w:after="60"/>
      </w:pPr>
    </w:p>
    <w:p w14:paraId="1BC383A1" w14:textId="77777777" w:rsidR="005B30DC" w:rsidRDefault="005B30DC">
      <w:pPr>
        <w:spacing w:before="60" w:after="60"/>
      </w:pPr>
    </w:p>
    <w:p w14:paraId="369D851D" w14:textId="77777777" w:rsidR="005B30DC" w:rsidRDefault="00000000">
      <w:pPr>
        <w:spacing w:before="480" w:after="80"/>
        <w:jc w:val="center"/>
      </w:pPr>
      <w:r>
        <w:rPr>
          <w:b/>
          <w:bCs/>
          <w:color w:val="1F3864"/>
          <w:sz w:val="56"/>
          <w:szCs w:val="56"/>
        </w:rPr>
        <w:t>The Rehearsed Sacred</w:t>
      </w:r>
    </w:p>
    <w:p w14:paraId="54088A44" w14:textId="77777777" w:rsidR="005B30DC" w:rsidRDefault="00000000">
      <w:pPr>
        <w:spacing w:after="200"/>
        <w:jc w:val="center"/>
      </w:pPr>
      <w:r>
        <w:rPr>
          <w:rFonts w:ascii="Arial" w:eastAsia="Arial" w:hAnsi="Arial" w:cs="Arial"/>
          <w:i/>
          <w:iCs/>
          <w:color w:val="2E5496"/>
          <w:sz w:val="24"/>
          <w:szCs w:val="24"/>
        </w:rPr>
        <w:t>Belief as the Cognitive Foundation of Human Civilization</w:t>
      </w:r>
    </w:p>
    <w:p w14:paraId="0B6A3762" w14:textId="70BF9391" w:rsidR="00842CE9" w:rsidRDefault="00842CE9" w:rsidP="00842CE9">
      <w:pPr>
        <w:spacing w:before="60" w:after="60"/>
        <w:jc w:val="center"/>
      </w:pPr>
      <w:r>
        <w:t>Zenodo</w:t>
      </w:r>
    </w:p>
    <w:p w14:paraId="66AD3FA6" w14:textId="24D67EBA" w:rsidR="005B30DC" w:rsidRDefault="00842CE9" w:rsidP="00842CE9">
      <w:pPr>
        <w:spacing w:before="60" w:after="60"/>
        <w:jc w:val="center"/>
      </w:pPr>
      <w:r>
        <w:fldChar w:fldCharType="begin"/>
      </w:r>
      <w:r>
        <w:instrText>HYPERLINK "https://doi.org/10.5281/zenodo.19595013"</w:instrText>
      </w:r>
      <w:r>
        <w:fldChar w:fldCharType="separate"/>
      </w:r>
      <w:r w:rsidR="00F12C55" w:rsidRPr="00F12C55">
        <w:rPr>
          <w:rStyle w:val="Hyperlink"/>
        </w:rPr>
        <w:t>https://doi.org/10.5281/zenodo.20036012</w:t>
      </w:r>
      <w:r>
        <w:fldChar w:fldCharType="end"/>
      </w:r>
    </w:p>
    <w:p w14:paraId="0A6E48F8" w14:textId="77777777" w:rsidR="00842CE9" w:rsidRDefault="00842CE9" w:rsidP="00842CE9">
      <w:pPr>
        <w:spacing w:before="60" w:after="60"/>
        <w:jc w:val="center"/>
      </w:pPr>
    </w:p>
    <w:p w14:paraId="1F6FA131" w14:textId="77777777" w:rsidR="005B30DC" w:rsidRDefault="00000000">
      <w:pPr>
        <w:spacing w:after="80"/>
        <w:jc w:val="center"/>
      </w:pPr>
      <w:r>
        <w:rPr>
          <w:rFonts w:ascii="Arial" w:eastAsia="Arial" w:hAnsi="Arial" w:cs="Arial"/>
          <w:color w:val="555555"/>
          <w:sz w:val="20"/>
          <w:szCs w:val="20"/>
        </w:rPr>
        <w:t>Anthony Vondoom</w:t>
      </w:r>
    </w:p>
    <w:p w14:paraId="18879F22" w14:textId="77777777" w:rsidR="005B30DC" w:rsidRDefault="00000000">
      <w:pPr>
        <w:spacing w:after="80"/>
        <w:jc w:val="center"/>
      </w:pPr>
      <w:r>
        <w:rPr>
          <w:rFonts w:ascii="Arial" w:eastAsia="Arial" w:hAnsi="Arial" w:cs="Arial"/>
          <w:color w:val="555555"/>
          <w:sz w:val="20"/>
          <w:szCs w:val="20"/>
        </w:rPr>
        <w:t>ORCID: 0009-0003-4953-1427</w:t>
      </w:r>
    </w:p>
    <w:p w14:paraId="25F09606" w14:textId="77777777" w:rsidR="005B30DC" w:rsidRDefault="00000000">
      <w:pPr>
        <w:spacing w:after="80"/>
        <w:jc w:val="center"/>
      </w:pPr>
      <w:r>
        <w:rPr>
          <w:rFonts w:ascii="Arial" w:eastAsia="Arial" w:hAnsi="Arial" w:cs="Arial"/>
          <w:color w:val="555555"/>
          <w:sz w:val="20"/>
          <w:szCs w:val="20"/>
        </w:rPr>
        <w:t>Independent Researcher | Deep Symbolic Systems Model (DSSM)</w:t>
      </w:r>
    </w:p>
    <w:p w14:paraId="19B82046" w14:textId="77777777" w:rsidR="005B30DC" w:rsidRDefault="00000000">
      <w:pPr>
        <w:spacing w:after="80"/>
        <w:jc w:val="center"/>
      </w:pPr>
      <w:r>
        <w:rPr>
          <w:rFonts w:ascii="Arial" w:eastAsia="Arial" w:hAnsi="Arial" w:cs="Arial"/>
          <w:color w:val="555555"/>
          <w:sz w:val="20"/>
          <w:szCs w:val="20"/>
        </w:rPr>
        <w:t>Anthony.vondoom@outlook.com</w:t>
      </w:r>
    </w:p>
    <w:p w14:paraId="47BAEAD5" w14:textId="77777777" w:rsidR="005B30DC" w:rsidRDefault="00000000">
      <w:pPr>
        <w:spacing w:after="80"/>
        <w:jc w:val="center"/>
      </w:pPr>
      <w:r>
        <w:rPr>
          <w:rFonts w:ascii="Arial" w:eastAsia="Arial" w:hAnsi="Arial" w:cs="Arial"/>
          <w:color w:val="555555"/>
          <w:sz w:val="20"/>
          <w:szCs w:val="20"/>
        </w:rPr>
        <w:t>April 2026</w:t>
      </w:r>
    </w:p>
    <w:p w14:paraId="68CFB934" w14:textId="77777777" w:rsidR="005B30DC" w:rsidRDefault="005B30DC">
      <w:pPr>
        <w:spacing w:before="60" w:after="60"/>
      </w:pPr>
    </w:p>
    <w:p w14:paraId="0400F934" w14:textId="77777777" w:rsidR="005B30DC" w:rsidRDefault="005B30DC">
      <w:pPr>
        <w:spacing w:before="60" w:after="60"/>
      </w:pPr>
    </w:p>
    <w:p w14:paraId="3464F64A" w14:textId="77777777" w:rsidR="005B30DC" w:rsidRDefault="005B30DC">
      <w:pPr>
        <w:pBdr>
          <w:bottom w:val="single" w:sz="4" w:space="1" w:color="BBBBBB"/>
        </w:pBdr>
        <w:spacing w:before="240" w:after="240"/>
      </w:pPr>
    </w:p>
    <w:p w14:paraId="204949C7" w14:textId="77777777" w:rsidR="005B30DC" w:rsidRDefault="00000000">
      <w:pPr>
        <w:pStyle w:val="Heading1"/>
      </w:pPr>
      <w:r>
        <w:t>Abstract</w:t>
      </w:r>
    </w:p>
    <w:p w14:paraId="36A0296A" w14:textId="77777777" w:rsidR="005B30DC" w:rsidRDefault="00000000">
      <w:pPr>
        <w:spacing w:after="180" w:line="380" w:lineRule="auto"/>
        <w:jc w:val="both"/>
      </w:pPr>
      <w:r>
        <w:t>Somewhere in the Levant, roughly 92,000 years ago, someone buried a person they loved. They placed red ochre on the body. They laid marine shells nearby. Then they walked away — and came back in their dreams.</w:t>
      </w:r>
    </w:p>
    <w:p w14:paraId="3961A458" w14:textId="77777777" w:rsidR="005B30DC" w:rsidRDefault="00000000">
      <w:pPr>
        <w:spacing w:after="180" w:line="380" w:lineRule="auto"/>
        <w:jc w:val="both"/>
      </w:pPr>
      <w:r>
        <w:t>Not with the first temple, or the first written prayer, or the first named god — everything begins with grief. With the refusal to accept that the people we love simply stop existing. That refusal, and the behavioral logic it generated across tens of thousands of years, is the cognitive origin of religious belief and of civilization itself.</w:t>
      </w:r>
    </w:p>
    <w:p w14:paraId="71EA9FD4" w14:textId="77777777" w:rsidR="005B30DC" w:rsidRDefault="00000000">
      <w:pPr>
        <w:spacing w:after="180" w:line="380" w:lineRule="auto"/>
        <w:jc w:val="both"/>
      </w:pPr>
      <w:r>
        <w:t>Archaeological evidence spanning 176,000 years, the neuroscience of REM dreaming, cross-cultural patterns of ancestor veneration, and the documented emergence of pantheons through regional deity synthesis all point toward the same conclusion: religion was never invented. It was generated — continuously, universally, inevitably — from the same cognitive hardware operating under the same existential conditions across every culture that has ever existed. It did not slow civilization. It made civilization thinkable.</w:t>
      </w:r>
    </w:p>
    <w:p w14:paraId="51027C61" w14:textId="77777777" w:rsidR="005B30DC" w:rsidRDefault="005B30DC">
      <w:pPr>
        <w:pBdr>
          <w:bottom w:val="single" w:sz="4" w:space="1" w:color="BBBBBB"/>
        </w:pBdr>
        <w:spacing w:before="240" w:after="240"/>
      </w:pPr>
    </w:p>
    <w:p w14:paraId="3A11B001" w14:textId="77777777" w:rsidR="005B30DC" w:rsidRDefault="00000000">
      <w:pPr>
        <w:pStyle w:val="Heading1"/>
      </w:pPr>
      <w:r>
        <w:lastRenderedPageBreak/>
        <w:t>Introduction</w:t>
      </w:r>
    </w:p>
    <w:p w14:paraId="3A11B002" w14:textId="77777777" w:rsidR="005B30DC" w:rsidRDefault="00000000">
      <w:pPr>
        <w:spacing w:after="180" w:line="380" w:lineRule="auto"/>
        <w:jc w:val="both"/>
      </w:pPr>
      <w:r>
        <w:t>The origins of religious belief have been debated across philosophy, anthropology, cognitive science, and archaeology for over a century. The dominant explanatory traditions — functionalist accounts emphasizing social cohesion, cognitivist accounts emphasizing agency detection and theory of mind, and materialist accounts emphasizing elite manipulation and ideological control — share a common structural assumption: that religion requires explanation because it is, at bottom, a response to something other than what its practitioners believed it to be. Thunder misread as intention. Social hierarchy misread as divine mandate. Grief misread as contact.</w:t>
      </w:r>
    </w:p>
    <w:p w14:paraId="3A11B003" w14:textId="77777777" w:rsidR="005B30DC" w:rsidRDefault="00000000">
      <w:pPr>
        <w:spacing w:after="180" w:line="380" w:lineRule="auto"/>
        <w:jc w:val="both"/>
      </w:pPr>
      <w:r>
        <w:t>This paper proposes a different starting point. Rather than asking what early humans got wrong, it asks what they were actually experiencing — and follows the behavioral and material consequences of that experience across 176,000 years of archaeological, neurological, and cross-cultural evidence.</w:t>
      </w:r>
    </w:p>
    <w:p w14:paraId="3A11B004" w14:textId="77777777" w:rsidR="005B30DC" w:rsidRDefault="00000000">
      <w:pPr>
        <w:spacing w:after="180" w:line="380" w:lineRule="auto"/>
        <w:jc w:val="both"/>
      </w:pPr>
      <w:r>
        <w:t>The central argument is as follows. Human beings dream. They dream with particular intensity about the people they have lost. In the absence of neuroscience, the most rational inference available from that experience is that the deceased continues to exist in a state accessible through altered consciousness. That inference generates obligations — to equip the dead, to communicate with them, to maintain their presence in community life. The dead who prove consistently helpful accumulate attributed interventions. Over generations, they are promoted: from person, to ancestor, to protective spirit, to deity. Regional deities, brought into contact through trade and migration, merge through the only hierarchical template available — kinship — producing the family structures that define every major pantheon. The institution eventually absorbs and partially obscures the mechanism. But the mechanism never stops.</w:t>
      </w:r>
    </w:p>
    <w:p w14:paraId="3A11B005" w14:textId="77777777" w:rsidR="005B30DC" w:rsidRDefault="00000000">
      <w:pPr>
        <w:spacing w:after="180" w:line="380" w:lineRule="auto"/>
        <w:jc w:val="both"/>
      </w:pPr>
      <w:r>
        <w:t>This sequence is not reconstructed backward from its outputs. The earliest physical evidence of the grief-driven behavioral logic — intentional burial with ochre and marine shells at Qafzeh, Israel, approximately 92,000 years before the present — predates the first named deity by tens of thousands of years. The family structure of every major pantheon is not the evidence of grief as origin. Qafzeh is the evidence. The pantheons are confirmation that the mechanism ran continuously from the first burial to the last myth.</w:t>
      </w:r>
    </w:p>
    <w:p w14:paraId="3A11B006" w14:textId="77777777" w:rsidR="005B30DC" w:rsidRDefault="00000000">
      <w:pPr>
        <w:spacing w:after="180" w:line="380" w:lineRule="auto"/>
        <w:jc w:val="both"/>
      </w:pPr>
      <w:r>
        <w:lastRenderedPageBreak/>
        <w:t>The paper situates this argument within the broader framework of the Deep Symbolic Systems Model (DSSM), which holds that civilization advances through the recursive stabilization of embodied practices into durable symbolic systems. On this account, the sacred is not a product of settled life or institutional formation. It is the symbolic load-bearing structure that made both possible. The mortuary behavior at Bruniquel (176,000 BP) and Qafzeh (92,000 BP) represents proto-symbolic behavior — gesture and spatial organization that carry symbolic weight without yet constituting a fully stabilized system. What the grief mechanism supplied across the subsequent millennia was the motivational pressure urgent enough, and universal enough, to drive communities into the recursive rehearsal that stabilization requires. Civilization is rehearsed. The sacred is where the rehearsal began.</w:t>
      </w:r>
    </w:p>
    <w:p w14:paraId="3A11B007" w14:textId="77777777" w:rsidR="005B30DC" w:rsidRDefault="00000000">
      <w:pPr>
        <w:spacing w:after="180" w:line="380" w:lineRule="auto"/>
        <w:jc w:val="both"/>
      </w:pPr>
      <w:r>
        <w:t>The paper proceeds as follows. Section 1 addresses the framing problem in existing scholarship. Section 2 examines the neurological and phenomenological basis of grief-driven dream contact. Section 3 traces the promotion sequence from deceased person to deity. Section 4 analyses the kinship template underlying pantheon formation. Section 5 addresses the appearance of discontinuity across the evidentiary chain. Section 6 surveys the archaeological record from Bruniquel through the Abrahamic traditions to contemporary ancestor veneration practice. Section 7 examines the civilizational function of shared belief as a cooperative substrate. Section 8 addresses the implications for cross-cultural recognition. Section 9 offers a concluding synthesis.</w:t>
      </w:r>
    </w:p>
    <w:p w14:paraId="676A7286" w14:textId="77777777" w:rsidR="005B30DC" w:rsidRDefault="00000000">
      <w:pPr>
        <w:pStyle w:val="Heading1"/>
      </w:pPr>
      <w:r>
        <w:t>1. The Wrong Question</w:t>
      </w:r>
    </w:p>
    <w:p w14:paraId="79B85DFC" w14:textId="77777777" w:rsidR="005B30DC" w:rsidRDefault="00000000">
      <w:pPr>
        <w:spacing w:after="180" w:line="380" w:lineRule="auto"/>
        <w:jc w:val="both"/>
      </w:pPr>
      <w:r>
        <w:t>For most of modern intellectual history, religion has been treated as a problem to be explained away — a cognitive error, a mechanism of social control, a pre-scientific attempt to account for natural phenomena. The dominant framing positions belief as a stage humanity passed through on the way to reason.</w:t>
      </w:r>
    </w:p>
    <w:p w14:paraId="30FA8E8C" w14:textId="77777777" w:rsidR="005B30DC" w:rsidRDefault="00000000">
      <w:pPr>
        <w:spacing w:after="180" w:line="380" w:lineRule="auto"/>
        <w:jc w:val="both"/>
      </w:pPr>
      <w:r>
        <w:t>The question being asked is: what did early humans get wrong? The more useful question is: what were they actually experiencing?</w:t>
      </w:r>
    </w:p>
    <w:p w14:paraId="173B7065" w14:textId="77777777" w:rsidR="005B30DC" w:rsidRDefault="00000000">
      <w:pPr>
        <w:spacing w:after="180" w:line="380" w:lineRule="auto"/>
        <w:jc w:val="both"/>
      </w:pPr>
      <w:r>
        <w:t xml:space="preserve">The archaeological record does not show religion emerging as an explanatory framework for thunder or flood. It shows religion emerging from grief. The oldest unambiguous evidence of symbolic mortuary behavior — intentional burial with ochre and marine shells at Qafzeh, Israel, dated to approximately 92,000 years before the present — is not a theory about storms. </w:t>
      </w:r>
      <w:r>
        <w:lastRenderedPageBreak/>
        <w:t>It is a gesture toward a person who was loved and lost. It is the material residue of someone asking, with ochre and shells and careful placement: where did you go? Can I still reach you?</w:t>
      </w:r>
    </w:p>
    <w:p w14:paraId="5E539CDE" w14:textId="77777777" w:rsidR="005B30DC" w:rsidRDefault="00000000">
      <w:pPr>
        <w:pBdr>
          <w:left w:val="single" w:sz="12" w:space="20" w:color="2E5496"/>
        </w:pBdr>
        <w:spacing w:before="240" w:after="240" w:line="360" w:lineRule="auto"/>
        <w:ind w:left="720" w:right="720"/>
        <w:jc w:val="both"/>
      </w:pPr>
      <w:r>
        <w:rPr>
          <w:i/>
          <w:iCs/>
          <w:color w:val="2E5496"/>
          <w:sz w:val="24"/>
          <w:szCs w:val="24"/>
        </w:rPr>
        <w:t>Religion was not a primitive error. It was a rational response to genuine experience — experience that has not changed, and has not stopped.</w:t>
      </w:r>
    </w:p>
    <w:p w14:paraId="48B5EA1B" w14:textId="77777777" w:rsidR="005B30DC" w:rsidRDefault="00000000">
      <w:pPr>
        <w:pStyle w:val="Heading1"/>
      </w:pPr>
      <w:r>
        <w:t>2. The Dream and Its Consequences</w:t>
      </w:r>
    </w:p>
    <w:p w14:paraId="05E2F883" w14:textId="77777777" w:rsidR="005B30DC" w:rsidRDefault="00000000">
      <w:pPr>
        <w:spacing w:after="180" w:line="380" w:lineRule="auto"/>
        <w:jc w:val="both"/>
      </w:pPr>
      <w:r>
        <w:t>Every night, without exception, in every culture, at every point in history, human beings dream.</w:t>
      </w:r>
    </w:p>
    <w:p w14:paraId="6F645FE0" w14:textId="77777777" w:rsidR="005B30DC" w:rsidRDefault="00000000">
      <w:pPr>
        <w:spacing w:after="180" w:line="380" w:lineRule="auto"/>
        <w:jc w:val="both"/>
      </w:pPr>
      <w:r>
        <w:t>REM consciousness produces vivid, emotionally intense, narratively structured experiences that are phenomenologically indistinguishable from waking reality. A person appears. They speak. They give direction. They feel as present as anyone in the room. And then you wake up, and they are the person you buried last season.</w:t>
      </w:r>
    </w:p>
    <w:p w14:paraId="78BF0D9B" w14:textId="77777777" w:rsidR="005B30DC" w:rsidRDefault="00000000">
      <w:pPr>
        <w:spacing w:after="180" w:line="380" w:lineRule="auto"/>
        <w:jc w:val="both"/>
      </w:pPr>
      <w:r>
        <w:t>Without neuroscience, this is not a metaphor. It is data. The most rational available inference — given the complete absence of counter-evidence — is that the deceased continues to exist somewhere accessible through altered states of consciousness. Concluding that the dead mother who appeared in a dream still exists is not irrationality. It is correct reasoning from the available evidence.</w:t>
      </w:r>
    </w:p>
    <w:p w14:paraId="5479EF77" w14:textId="77777777" w:rsidR="005B30DC" w:rsidRDefault="00000000">
      <w:pPr>
        <w:spacing w:after="180" w:line="380" w:lineRule="auto"/>
        <w:jc w:val="both"/>
      </w:pPr>
      <w:r>
        <w:t>The relevant neurological conditions are well established. Emotional preoccupation during waking hours predictably increases the likelihood of dreaming about the subject of that preoccupation. A grieving person will dream of the person they have lost — not possibly, but reliably. The signal-to-noise ratio of pre-modern cognition was structurally different from our own: lower in ambient cognitive load, free from the layered abstraction of literacy and complex information systems. Dream states would have been proportionally more vivid and dominant relative to waking experience. The analogy is instructive: a child who watches a frightening film before sleep experiences vivid, memorable dreams — not because children are more credulous, but because their cognitive landscape is less cluttered. The dream dominates an unoccupied space. Pre-modern adult cognition operated structurally closer to this end of the spectrum.</w:t>
      </w:r>
    </w:p>
    <w:p w14:paraId="64E48151" w14:textId="77777777" w:rsidR="005B30DC" w:rsidRDefault="00000000">
      <w:pPr>
        <w:spacing w:after="180" w:line="380" w:lineRule="auto"/>
        <w:jc w:val="both"/>
      </w:pPr>
      <w:r>
        <w:lastRenderedPageBreak/>
        <w:t>Sleep-dependent insight is also documented — the phenomenon where a problem being consciously wrestled with during the day finds lateral resolution during dreaming, through associative connections the focused waking mind cannot access. To a mind without that explanation, a solution arriving in a dream featuring a trusted deceased person is experientially indistinguishable from that person providing the solution. The dreamer wakes. They apply it. It works. They tell others.</w:t>
      </w:r>
    </w:p>
    <w:p w14:paraId="2D41FF81" w14:textId="77777777" w:rsidR="005B30DC" w:rsidRDefault="00000000">
      <w:pPr>
        <w:spacing w:after="180" w:line="380" w:lineRule="auto"/>
        <w:jc w:val="both"/>
      </w:pPr>
      <w:r>
        <w:t>That last point is where the mechanism becomes socially consequential. Not in the dream itself, which leaves no physical trace, but in the behavior the dream generates: burial practice, ritual space, sacred objects, and eventually the material culture of religion. At Qafzeh, that behavior was excavated.</w:t>
      </w:r>
    </w:p>
    <w:p w14:paraId="57F3D419" w14:textId="77777777" w:rsidR="005B30DC" w:rsidRDefault="00000000">
      <w:pPr>
        <w:pStyle w:val="Heading1"/>
      </w:pPr>
      <w:r>
        <w:t>3. From Grief to Deity: The Promotion Sequence</w:t>
      </w:r>
    </w:p>
    <w:p w14:paraId="401CB3ED" w14:textId="77777777" w:rsidR="005B30DC" w:rsidRDefault="00000000">
      <w:pPr>
        <w:spacing w:after="180" w:line="380" w:lineRule="auto"/>
        <w:jc w:val="both"/>
      </w:pPr>
      <w:r>
        <w:t>Once the deceased is understood to continue, a behavioral logic unfolds that is emotionally coherent and socially productive.</w:t>
      </w:r>
    </w:p>
    <w:p w14:paraId="282F53B4" w14:textId="77777777" w:rsidR="005B30DC" w:rsidRDefault="00000000">
      <w:pPr>
        <w:spacing w:after="180" w:line="380" w:lineRule="auto"/>
        <w:jc w:val="both"/>
      </w:pPr>
      <w:r>
        <w:t>The living acquire obligations to the dead. The dead must be equipped for continued existence — hence burial with goods. They must be communicated with — hence ritual, trance, and the maintenance of sacred space. The dead who give useful guidance through dreams accumulate attributed interventions. Over generations, the most frequently contacted and most reliably helpful dead are promoted. From person, to revered ancestor, to protective spirit, to deity. Each step follows from the previous through ordinary reasoning applied to extraordinary but genuine experience.</w:t>
      </w:r>
    </w:p>
    <w:p w14:paraId="3AAAFA9B" w14:textId="77777777" w:rsidR="005B30DC" w:rsidRDefault="00000000">
      <w:pPr>
        <w:spacing w:after="180" w:line="380" w:lineRule="auto"/>
        <w:jc w:val="both"/>
      </w:pPr>
      <w:r>
        <w:t>Across every inhabited continent, independently, this process produced the same result: ancestor veneration as the universal precursor to institutionalized religion. The cross-cultural universality of this pattern is not evidence of a single geographic origin. It is evidence that the same cognitive hardware, under the same existential pressure, generates the same output. Death is universal. Dreaming is universal. The love that makes loss unbearable is universal. Religion follows from these not as invention but as consequence.</w:t>
      </w:r>
    </w:p>
    <w:p w14:paraId="4C5CDA75" w14:textId="77777777" w:rsidR="005B30DC" w:rsidRDefault="00000000">
      <w:pPr>
        <w:pStyle w:val="Heading1"/>
      </w:pPr>
      <w:r>
        <w:t>4. The Regional God, the Kinship Template, and the Origin of Pantheons</w:t>
      </w:r>
    </w:p>
    <w:p w14:paraId="2135A5A7" w14:textId="77777777" w:rsidR="005B30DC" w:rsidRDefault="00000000">
      <w:pPr>
        <w:spacing w:after="180" w:line="380" w:lineRule="auto"/>
        <w:jc w:val="both"/>
      </w:pPr>
      <w:r>
        <w:lastRenderedPageBreak/>
        <w:t>Because the ancestor being promoted belongs to a specific lineage in a specific place, the earliest documented deities are radically local. The god of this valley. The patron of this city-state. The protector of this clan. In ancient Mesopotamia, each city-state maintained its own patron deity. In Egypt, each nome had its own god before unification imposed a hierarchy. In Greece, local hero cults and regional shrines predated the unified Olympian system by centuries.</w:t>
      </w:r>
    </w:p>
    <w:p w14:paraId="2220C7C5" w14:textId="77777777" w:rsidR="005B30DC" w:rsidRDefault="00000000">
      <w:pPr>
        <w:spacing w:after="180" w:line="380" w:lineRule="auto"/>
        <w:jc w:val="both"/>
      </w:pPr>
      <w:r>
        <w:t>These are not separate theological answers to the same cosmic question. They are the same answer — the promoted dead — expressed through different local lineages, generated independently, at different times, under identical cognitive conditions.</w:t>
      </w:r>
    </w:p>
    <w:p w14:paraId="5E9C8AB6" w14:textId="77777777" w:rsidR="005B30DC" w:rsidRDefault="00000000">
      <w:pPr>
        <w:spacing w:after="180" w:line="380" w:lineRule="auto"/>
        <w:jc w:val="both"/>
      </w:pPr>
      <w:r>
        <w:t>When these communities came into contact through trade, migration, and conquest, the merger of their deity traditions did not produce an abstract theological taxonomy. It produced a family. A sky god from one tradition and a sky god from another do not merge into equals in a systematic classification. One becomes father, the other son, or rival, or consort. The merger is organized through the only hierarchical template humans possessed for managing groups of powerful agents with differentiated but related functions: kinship. The family structure does not get imposed on the pantheon. It falls out of the merger process.</w:t>
      </w:r>
    </w:p>
    <w:p w14:paraId="36824029" w14:textId="77777777" w:rsidR="005B30DC" w:rsidRDefault="00000000">
      <w:pPr>
        <w:spacing w:after="180" w:line="380" w:lineRule="auto"/>
        <w:jc w:val="both"/>
      </w:pPr>
      <w:r>
        <w:t>The family drama of major pantheons — Osiris murdered by his brother Set, Isis grieving, Horus avenging — is recognizable across millennia not because it is cosmologically sophisticated, but because every person in every civilization that encountered it had lost someone to betrayal, had grieved someone who should not have died, had needed restoration of what was broken. The gods are the promoted dead. The myths are family histories scaled to cosmic proportion.</w:t>
      </w:r>
    </w:p>
    <w:p w14:paraId="3DE428C8" w14:textId="77777777" w:rsidR="005B30DC" w:rsidRDefault="00000000">
      <w:pPr>
        <w:spacing w:after="180" w:line="380" w:lineRule="auto"/>
        <w:jc w:val="both"/>
      </w:pPr>
      <w:r>
        <w:t>The grief mechanism that generated this structure is not inferred backward from the structure itself. It is documented independently in the physical record at Qafzeh, around 92,000 years before the first named deity. Grief-driven burial behavior predates every pantheon by tens of thousands of years. The family structure of the pantheon is therefore not the evidence of grief as origin — Qafzeh is the evidence. The family structure is the confirmation that the mechanism ran continuously from the first burial to the last myth.</w:t>
      </w:r>
    </w:p>
    <w:p w14:paraId="74FD49DC" w14:textId="77777777" w:rsidR="005B30DC" w:rsidRDefault="00000000">
      <w:pPr>
        <w:pBdr>
          <w:left w:val="single" w:sz="12" w:space="20" w:color="2E5496"/>
        </w:pBdr>
        <w:spacing w:before="240" w:after="240" w:line="360" w:lineRule="auto"/>
        <w:ind w:left="720" w:right="720"/>
        <w:jc w:val="both"/>
      </w:pPr>
      <w:r>
        <w:rPr>
          <w:i/>
          <w:iCs/>
          <w:color w:val="2E5496"/>
          <w:sz w:val="24"/>
          <w:szCs w:val="24"/>
        </w:rPr>
        <w:lastRenderedPageBreak/>
        <w:t>The proof of grief is Qafzeh. The family structure of every major pantheon is the confirmation that the mechanism ran all the way through.</w:t>
      </w:r>
    </w:p>
    <w:p w14:paraId="34076885" w14:textId="77777777" w:rsidR="005B30DC" w:rsidRDefault="00000000">
      <w:pPr>
        <w:pStyle w:val="Heading1"/>
      </w:pPr>
      <w:r>
        <w:t>5. On the Appearance of Discontinuity</w:t>
      </w:r>
    </w:p>
    <w:p w14:paraId="1B4189DD" w14:textId="77777777" w:rsidR="005B30DC" w:rsidRDefault="00000000">
      <w:pPr>
        <w:spacing w:after="180" w:line="380" w:lineRule="auto"/>
        <w:jc w:val="both"/>
      </w:pPr>
      <w:r>
        <w:t>Bruniquel Cave at 176,000 BP, Qafzeh at ~92,000 BP, the Egyptian mortuary complex, the Babylonian pantheon, and a contemporary grief ritual can appear, when examined in isolation by specialists working within their own disciplines, to be genuinely unconnected phenomena. The archaeologist of Neanderthal behavior does not follow the thread into comparative religion. The scholar of contemporary grief practices does not look back 176,000 years. Each sees a discontinuous data point because each is examining one node in a chain they have not traced.</w:t>
      </w:r>
    </w:p>
    <w:p w14:paraId="3C52AB11" w14:textId="77777777" w:rsidR="005B30DC" w:rsidRDefault="00000000">
      <w:pPr>
        <w:spacing w:after="180" w:line="380" w:lineRule="auto"/>
        <w:jc w:val="both"/>
      </w:pPr>
      <w:r>
        <w:t>The structure of this apparent discontinuity is identical to the structure of any complex causal chain examined in fragments. A fuel conflict in the Gulf grounds flights through Qatar. A traveler based in Sri Lanka loses their connecting flight to Italy, their hotel deposit in Rome, their onward ticket to Egypt, and a week of employment. To a scholar of Italian hospitality examining only the lost deposit, the cause is invisible. To an economist examining the Sri Lankan labor disruption alone, the Gulf conflict registers nowhere. To an aviation analyst examining only the Qatar grounding, the consequences in Sri Lanka, Italy, and Egypt are beyond the frame. Each sees a real phenomenon. None sees the chain. The chain is nonetheless there, traceable from the first event to the last consequence without a break.</w:t>
      </w:r>
    </w:p>
    <w:p w14:paraId="4A798577" w14:textId="77777777" w:rsidR="005B30DC" w:rsidRDefault="00000000">
      <w:pPr>
        <w:spacing w:after="180" w:line="380" w:lineRule="auto"/>
        <w:jc w:val="both"/>
      </w:pPr>
      <w:r>
        <w:t>The chain connecting ancient mortuary behavior to contemporary religious practice runs as follows. Grief generates dream contact. Dream contact generates attributed intervention. Attributed intervention generates ancestor promotion. Ancestor promotion generates regional deity. Regional deities merge via kinship template into pantheon. Pantheon gets institutionalized. Institution gets politically instrumentalized over time. The original mechanism continues operating beneath and alongside the institutional layer — as it does today in every culture that maintains contact with its dead.</w:t>
      </w:r>
    </w:p>
    <w:p w14:paraId="3301FB5A" w14:textId="77777777" w:rsidR="005B30DC" w:rsidRDefault="00000000">
      <w:pPr>
        <w:spacing w:after="180" w:line="380" w:lineRule="auto"/>
        <w:jc w:val="both"/>
      </w:pPr>
      <w:r>
        <w:t>Every link in this chain has independent evidential support at its own level of analysis — archaeological, neurological, anthropological, and textual. The continuity is traceable. No break in it has been demonstrated.</w:t>
      </w:r>
    </w:p>
    <w:p w14:paraId="6E146C5B" w14:textId="77777777" w:rsidR="005B30DC" w:rsidRDefault="00000000">
      <w:pPr>
        <w:pStyle w:val="Heading1"/>
      </w:pPr>
      <w:r>
        <w:lastRenderedPageBreak/>
        <w:t>6. The Evidence Across Deep Time</w:t>
      </w:r>
    </w:p>
    <w:p w14:paraId="208DD5E6" w14:textId="77777777" w:rsidR="005B30DC" w:rsidRDefault="00000000">
      <w:pPr>
        <w:spacing w:after="180" w:line="380" w:lineRule="auto"/>
        <w:jc w:val="both"/>
      </w:pPr>
      <w:r>
        <w:t>At Bruniquel Cave, France, 176,000 years ago, Neanderthals arranged broken stalagmites into deliberate circular structures and lit fires within them — non-utilitarian spatial organization unexplained by survival need (Jaubert et al., 2016). At Qafzeh, around 92,000 years ago, Homo sapiens buried their dead with ochre and marine shells. In Sulawesi, Indonesia, at least 51,200 years ago, someone painted a figurative scene of human-like figures interacting with a pig — currently the oldest known figurative art in the world (Oktaviana et al., 2024). At Gobekli Tepe, 12,000 years ago, hunter-gatherers invested enormous communal labor in monumental symbolic architecture before building permanent settlements. The T-shaped pillars bear anthropomorphic features — arms, hands, belts — and their excavator Klaus Schmidt interpreted them as representations of human or ancestral figures (Schmidt, 2010, 2011). The symbolic system preceded the social one.</w:t>
      </w:r>
    </w:p>
    <w:p w14:paraId="7C538F2D" w14:textId="77777777" w:rsidR="005B30DC" w:rsidRDefault="00000000">
      <w:pPr>
        <w:spacing w:after="180" w:line="380" w:lineRule="auto"/>
        <w:jc w:val="both"/>
      </w:pPr>
      <w:r>
        <w:t>From there: the Egyptian mortuary complex, spanning three thousand years of continuous elaboration of the gesture first made at Qafzeh. The Mesopotamian pantheon, whose flood myth, creation narrative, and afterlife cosmology were absorbed during the Babylonian Exile of the 6th century BCE into what became the Abrahamic traditions. Judaism, Christianity, and Islam carry the same core logic — the dead continue, the living have obligations, a cosmic order governs the transition — into successive institutional forms.</w:t>
      </w:r>
    </w:p>
    <w:p w14:paraId="2CA89B26" w14:textId="77777777" w:rsidR="005B30DC" w:rsidRDefault="00000000">
      <w:pPr>
        <w:spacing w:after="180" w:line="380" w:lineRule="auto"/>
        <w:jc w:val="both"/>
      </w:pPr>
      <w:r>
        <w:t>A 2024 Pew Research Center survey across eleven East and Southeast Asian nations found that majorities in nearly every country regularly perform rituals to honor deceased ancestors — burning incense, offering food, maintaining grave sites. In Vietnam, 96% of adults reported burning incense for ancestors in the previous twelve months (Pew Research Center, 2024). The medium in a consultation room in 2026 is running the same cognitive operation as the person who buried their mother with ochre and shells 92,000 years ago. The interface changed. The need, the mechanism, and the emotional transaction did not.</w:t>
      </w:r>
    </w:p>
    <w:p w14:paraId="5B54C690" w14:textId="77777777" w:rsidR="005B30DC" w:rsidRDefault="00000000">
      <w:pPr>
        <w:pStyle w:val="Heading1"/>
      </w:pPr>
      <w:r>
        <w:t>7. Why Belief Made Civilization Possible</w:t>
      </w:r>
    </w:p>
    <w:p w14:paraId="5E526045" w14:textId="77777777" w:rsidR="005B30DC" w:rsidRDefault="00000000">
      <w:pPr>
        <w:spacing w:after="180" w:line="380" w:lineRule="auto"/>
        <w:jc w:val="both"/>
      </w:pPr>
      <w:r>
        <w:t xml:space="preserve">Cooperative behavior above the immediate kin group — building irrigation networks, coordinating armies, administering legal codes, sustaining trade across generations — requires a substrate of shared meaning that extends beyond personal relationship. Early </w:t>
      </w:r>
      <w:r>
        <w:lastRenderedPageBreak/>
        <w:t>humans had no nation-states, no written contracts, no enforcement mechanisms independent of social pressure. What they had was shared obligation to the same ancestors.</w:t>
      </w:r>
    </w:p>
    <w:p w14:paraId="19442EBB" w14:textId="77777777" w:rsidR="005B30DC" w:rsidRDefault="00000000">
      <w:pPr>
        <w:spacing w:after="180" w:line="380" w:lineRule="auto"/>
        <w:jc w:val="both"/>
      </w:pPr>
      <w:r>
        <w:t>The dead do not only receive. They also bind. A community whose members share veneration of the same ancestor figures shares an identity, a moral framework, and a basis for collective action that does not depend on direct personal familiarity. The ancestor is the first public institution — portable, persistent, and immune to the deaths of any individual living carrier.</w:t>
      </w:r>
    </w:p>
    <w:p w14:paraId="67C1727B" w14:textId="77777777" w:rsidR="005B30DC" w:rsidRDefault="00000000">
      <w:pPr>
        <w:spacing w:after="180" w:line="380" w:lineRule="auto"/>
        <w:jc w:val="both"/>
      </w:pPr>
      <w:r>
        <w:t>Cultural evolutionary research confirms the functional logic. Ritual engagement with shared beliefs cues group cohesion, facilitates trust, and resolves the cooperation problem of free-riders who threaten the long-term survival of collective systems (Purzycki et al., 2024). Religion produced these effects because it was built from the materials that generate social bonding: grief, shared loss, and the obligations that love creates.</w:t>
      </w:r>
    </w:p>
    <w:p w14:paraId="0351BB85" w14:textId="77777777" w:rsidR="005B30DC" w:rsidRDefault="00000000">
      <w:pPr>
        <w:spacing w:after="180" w:line="380" w:lineRule="auto"/>
        <w:jc w:val="both"/>
      </w:pPr>
      <w:r>
        <w:t>Religious architecture is not decoration. Gobekli Tepe, Karnak, Chartres — these are the material externalization of symbolic load that communities had been carrying internally for tens of thousands of years. When that load exceeded what memory and oral tradition could sustain, it was offloaded into stone. The monument is memory made permanent.</w:t>
      </w:r>
    </w:p>
    <w:p w14:paraId="719380D4" w14:textId="77777777" w:rsidR="005B30DC" w:rsidRDefault="00000000">
      <w:pPr>
        <w:spacing w:after="180" w:line="380" w:lineRule="auto"/>
        <w:jc w:val="both"/>
      </w:pPr>
      <w:r>
        <w:t>Within the framework of the Deep Symbolic Systems Model (DSSM), civilization does not produce symbolic systems. Symbolic systems produce civilization. Religion was not a product of settled life. Settled life was, in significant part, a product of the symbolic cohesion that religious practice had been building for a hundred thousand years before the first city was founded.</w:t>
      </w:r>
    </w:p>
    <w:p w14:paraId="42C248F8" w14:textId="77777777" w:rsidR="005B30DC" w:rsidRDefault="00000000">
      <w:pPr>
        <w:pBdr>
          <w:left w:val="single" w:sz="12" w:space="20" w:color="2E5496"/>
        </w:pBdr>
        <w:spacing w:before="240" w:after="240" w:line="360" w:lineRule="auto"/>
        <w:ind w:left="720" w:right="720"/>
        <w:jc w:val="both"/>
      </w:pPr>
      <w:r>
        <w:rPr>
          <w:i/>
          <w:iCs/>
          <w:color w:val="2E5496"/>
          <w:sz w:val="24"/>
          <w:szCs w:val="24"/>
        </w:rPr>
        <w:t>The sacred is not a detour from civilization. It is the road civilization was built on.</w:t>
      </w:r>
    </w:p>
    <w:p w14:paraId="3276178E" w14:textId="77777777" w:rsidR="005B30DC" w:rsidRDefault="00000000">
      <w:pPr>
        <w:pStyle w:val="Heading1"/>
      </w:pPr>
      <w:r>
        <w:t>8. On Diversity, Conflict, and Recognition</w:t>
      </w:r>
    </w:p>
    <w:p w14:paraId="777264AB" w14:textId="77777777" w:rsidR="005B30DC" w:rsidRDefault="00000000">
      <w:pPr>
        <w:spacing w:after="180" w:line="380" w:lineRule="auto"/>
        <w:jc w:val="both"/>
      </w:pPr>
      <w:r>
        <w:t>The differences between religious traditions are real. They are also not fundamental. They are regional variations on a universal theme, shaped by local ecology, political history, and the particular ancestors that each community promoted over millennia.</w:t>
      </w:r>
    </w:p>
    <w:p w14:paraId="7A8CFC43" w14:textId="77777777" w:rsidR="005B30DC" w:rsidRDefault="00000000">
      <w:pPr>
        <w:spacing w:after="180" w:line="380" w:lineRule="auto"/>
        <w:jc w:val="both"/>
      </w:pPr>
      <w:r>
        <w:t xml:space="preserve">The god of the Nile and the god of the Tigris and the god of Sinai emerged from the same kind of loss, the same kind of dreaming, the same kind of love. The people who built temples to </w:t>
      </w:r>
      <w:r>
        <w:lastRenderedPageBreak/>
        <w:t>each of them had all buried someone they could not bear to lose. That shared origin does not erase doctrinal difference. It contextualizes it.</w:t>
      </w:r>
    </w:p>
    <w:p w14:paraId="0DB69832" w14:textId="77777777" w:rsidR="005B30DC" w:rsidRDefault="00000000">
      <w:pPr>
        <w:spacing w:after="180" w:line="380" w:lineRule="auto"/>
        <w:jc w:val="both"/>
      </w:pPr>
      <w:r>
        <w:t>The history of religiously motivated conflict is, in this light, a category error carried out at civilizational scale — communities in conflict over dialects of the same mother tongue, each convinced their version of the universal human response to mortality is the only legitimate one. The opponent's god is not a stranger's invention. It is a version of the same ancestor, carrying a different name earned through a different history of loss.</w:t>
      </w:r>
    </w:p>
    <w:p w14:paraId="30F96166" w14:textId="77777777" w:rsidR="005B30DC" w:rsidRDefault="00000000">
      <w:pPr>
        <w:spacing w:after="180" w:line="380" w:lineRule="auto"/>
        <w:jc w:val="both"/>
      </w:pPr>
      <w:r>
        <w:t>Understanding the common origin does not require abandoning any tradition. It requires extending to other traditions the recognition that each tradition asks of its own members toward their own dead: that the love behind it was real, and that the gesture toward continuation was made in good faith.</w:t>
      </w:r>
    </w:p>
    <w:p w14:paraId="6A1A5879" w14:textId="77777777" w:rsidR="005B30DC" w:rsidRDefault="00000000">
      <w:pPr>
        <w:pStyle w:val="Heading1"/>
      </w:pPr>
      <w:r>
        <w:t>9. What Was Never Lost</w:t>
      </w:r>
    </w:p>
    <w:p w14:paraId="0FC112AB" w14:textId="77777777" w:rsidR="005B30DC" w:rsidRDefault="00000000">
      <w:pPr>
        <w:spacing w:after="180" w:line="380" w:lineRule="auto"/>
        <w:jc w:val="both"/>
      </w:pPr>
      <w:r>
        <w:t>Religion is the oldest technology of human survival. Not a primitive error awaiting correction. A solution — sophisticated, tested across hundreds of thousands of years, refined through every ecological and social condition our species has faced — to the problem of how beings who know they will die, and who love people who will die before them, can nonetheless build cooperative communities capable of producing something that lasts.</w:t>
      </w:r>
    </w:p>
    <w:p w14:paraId="7CF5F57F" w14:textId="77777777" w:rsidR="005B30DC" w:rsidRDefault="00000000">
      <w:pPr>
        <w:spacing w:after="180" w:line="380" w:lineRule="auto"/>
        <w:jc w:val="both"/>
      </w:pPr>
      <w:r>
        <w:t>Every tradition that has ever existed was, at its origin, someone trying to stay connected to someone they loved. Without the symbolic load-bearing structure that belief provided in the long millennia before writing, before cities, before formal institutions, the cognitive capacity that eventually produced science, philosophy, art, and civilization itself would have had nowhere durable to develop.</w:t>
      </w:r>
    </w:p>
    <w:p w14:paraId="02D7FF01" w14:textId="77777777" w:rsidR="005B30DC" w:rsidRDefault="00000000">
      <w:pPr>
        <w:spacing w:after="180" w:line="380" w:lineRule="auto"/>
        <w:jc w:val="both"/>
      </w:pPr>
      <w:r>
        <w:t>Civilization is rehearsed. The sacred is where the rehearsal began. And in the dreams of the living, in the tending of graves, in the lighting of candles for the dead — it is still, quietly, continuing.</w:t>
      </w:r>
    </w:p>
    <w:p w14:paraId="335E7233" w14:textId="77777777" w:rsidR="005B30DC" w:rsidRDefault="005B30DC">
      <w:pPr>
        <w:pBdr>
          <w:bottom w:val="single" w:sz="4" w:space="1" w:color="BBBBBB"/>
        </w:pBdr>
        <w:spacing w:before="240" w:after="240"/>
      </w:pPr>
    </w:p>
    <w:p w14:paraId="494FE825" w14:textId="77777777" w:rsidR="005B30DC" w:rsidRDefault="00000000">
      <w:pPr>
        <w:pStyle w:val="Heading1"/>
      </w:pPr>
      <w:r>
        <w:t>Relevance to UN Sustainable Development Goals (SDGs)</w:t>
      </w:r>
    </w:p>
    <w:p w14:paraId="1989A737" w14:textId="77777777" w:rsidR="005B30DC" w:rsidRDefault="00000000">
      <w:pPr>
        <w:spacing w:after="180" w:line="380" w:lineRule="auto"/>
        <w:jc w:val="both"/>
      </w:pPr>
      <w:r>
        <w:t>The findings of this paper have direct relevance to several UN Sustainable Development Goals:</w:t>
      </w:r>
    </w:p>
    <w:p w14:paraId="50E09F4E" w14:textId="77777777" w:rsidR="005B30DC" w:rsidRDefault="005B30DC">
      <w:pPr>
        <w:spacing w:before="60" w:after="60"/>
      </w:pPr>
    </w:p>
    <w:p w14:paraId="544C4143" w14:textId="77777777" w:rsidR="005B30DC" w:rsidRDefault="00000000">
      <w:pPr>
        <w:pStyle w:val="Heading2"/>
      </w:pPr>
      <w:r>
        <w:t>SDG 16 — Peace, Justice and Strong Institutions</w:t>
      </w:r>
    </w:p>
    <w:p w14:paraId="0C707D96" w14:textId="77777777" w:rsidR="005B30DC" w:rsidRDefault="00000000">
      <w:pPr>
        <w:spacing w:after="180" w:line="380" w:lineRule="auto"/>
        <w:jc w:val="both"/>
      </w:pPr>
      <w:r>
        <w:t>Demonstrating shared cognitive origin across religious traditions typically positioned in opposition provides an evidence-based foundation for reducing religiously motivated violence. Inter-religious conflict, understood through this lens, is not a clash of incompatible truths but a failure of recognition between communities running the same ancestral program under different names.</w:t>
      </w:r>
    </w:p>
    <w:p w14:paraId="528E9997" w14:textId="77777777" w:rsidR="005B30DC" w:rsidRDefault="005B30DC">
      <w:pPr>
        <w:spacing w:before="60" w:after="60"/>
      </w:pPr>
    </w:p>
    <w:p w14:paraId="43A7153D" w14:textId="77777777" w:rsidR="005B30DC" w:rsidRDefault="00000000">
      <w:pPr>
        <w:pStyle w:val="Heading2"/>
      </w:pPr>
      <w:r>
        <w:t>SDG 4 — Quality Education</w:t>
      </w:r>
    </w:p>
    <w:p w14:paraId="7BE6A7C3" w14:textId="77777777" w:rsidR="005B30DC" w:rsidRDefault="00000000">
      <w:pPr>
        <w:spacing w:after="180" w:line="380" w:lineRule="auto"/>
        <w:jc w:val="both"/>
      </w:pPr>
      <w:r>
        <w:t>Integrating cognitive archaeology, neuroscience, and cultural anthropology into the study of religious origins offers an educational framework teachable across secular and religious contexts. Teaching the common cognitive substrate of religion equips students with tools for cross-cultural understanding currently absent from most curricula.</w:t>
      </w:r>
    </w:p>
    <w:p w14:paraId="5ABEE58A" w14:textId="77777777" w:rsidR="005B30DC" w:rsidRDefault="005B30DC">
      <w:pPr>
        <w:spacing w:before="60" w:after="60"/>
      </w:pPr>
    </w:p>
    <w:p w14:paraId="6878C927" w14:textId="77777777" w:rsidR="005B30DC" w:rsidRDefault="00000000">
      <w:pPr>
        <w:pStyle w:val="Heading2"/>
      </w:pPr>
      <w:r>
        <w:t>SDG 10 — Reduced Inequalities</w:t>
      </w:r>
    </w:p>
    <w:p w14:paraId="7CC9DE31" w14:textId="77777777" w:rsidR="005B30DC" w:rsidRDefault="00000000">
      <w:pPr>
        <w:spacing w:after="180" w:line="380" w:lineRule="auto"/>
        <w:jc w:val="both"/>
      </w:pPr>
      <w:r>
        <w:t>Religious identity remains one of the most potent bases for discrimination and structural inequality globally. No tradition holds a privileged position in the genealogy of human belief — all emerged from the same source. This provides an intellectual foundation for challenging hierarchies of belief that underpin religious-based discrimination.</w:t>
      </w:r>
    </w:p>
    <w:p w14:paraId="675DF5C2" w14:textId="77777777" w:rsidR="005B30DC" w:rsidRDefault="005B30DC">
      <w:pPr>
        <w:spacing w:before="60" w:after="60"/>
      </w:pPr>
    </w:p>
    <w:p w14:paraId="1AAA0C57" w14:textId="77777777" w:rsidR="005B30DC" w:rsidRDefault="00000000">
      <w:pPr>
        <w:pStyle w:val="Heading2"/>
      </w:pPr>
      <w:r>
        <w:t>SDG 3 — Good Health and Well-Being</w:t>
      </w:r>
    </w:p>
    <w:p w14:paraId="08A8188F" w14:textId="77777777" w:rsidR="005B30DC" w:rsidRDefault="00000000">
      <w:pPr>
        <w:spacing w:after="180" w:line="380" w:lineRule="auto"/>
        <w:jc w:val="both"/>
      </w:pPr>
      <w:r>
        <w:t>Grief rituals and ancestor veneration function as cognitively and psychologically adaptive behaviors rather than superstitious ones — a reading aligned with theoretical frameworks in contemporary bereavement research proposing that ritual practice functions as a structured grief support system, fostering emotional resilience and sustaining meaningful connection with the deceased (Phan et al., 2025). Situating these practices within an evidence-based framework supports their integration into holistic approaches to bereavement care and community mental health.</w:t>
      </w:r>
    </w:p>
    <w:p w14:paraId="33C2ED35" w14:textId="77777777" w:rsidR="005B30DC" w:rsidRDefault="005B30DC">
      <w:pPr>
        <w:spacing w:before="60" w:after="60"/>
      </w:pPr>
    </w:p>
    <w:p w14:paraId="5812DA20" w14:textId="77777777" w:rsidR="005B30DC" w:rsidRDefault="00000000">
      <w:pPr>
        <w:pStyle w:val="Heading2"/>
      </w:pPr>
      <w:r>
        <w:lastRenderedPageBreak/>
        <w:t>SDG 17 — Partnerships for the Goals</w:t>
      </w:r>
    </w:p>
    <w:p w14:paraId="6646EF97" w14:textId="77777777" w:rsidR="005B30DC" w:rsidRDefault="00000000">
      <w:pPr>
        <w:spacing w:after="180" w:line="380" w:lineRule="auto"/>
        <w:jc w:val="both"/>
      </w:pPr>
      <w:r>
        <w:t>Identifying the shared cognitive foundation of diverse religious traditions provides a platform for interfaith collaboration on global challenges. Communities that recognize their common origin are better positioned to form the cross-cultural partnerships required to address climate change, conflict, and inequality at scale.</w:t>
      </w:r>
    </w:p>
    <w:p w14:paraId="4A625842" w14:textId="77777777" w:rsidR="005B30DC" w:rsidRDefault="005B30DC">
      <w:pPr>
        <w:pBdr>
          <w:bottom w:val="single" w:sz="4" w:space="1" w:color="BBBBBB"/>
        </w:pBdr>
        <w:spacing w:before="240" w:after="240"/>
      </w:pPr>
    </w:p>
    <w:p w14:paraId="39E0C51A" w14:textId="77777777" w:rsidR="005B30DC" w:rsidRDefault="00000000">
      <w:pPr>
        <w:pStyle w:val="Heading1"/>
      </w:pPr>
      <w:r>
        <w:t>References</w:t>
      </w:r>
    </w:p>
    <w:p w14:paraId="7EF64A36" w14:textId="77777777" w:rsidR="005B30DC" w:rsidRDefault="00000000">
      <w:pPr>
        <w:spacing w:after="120" w:line="320" w:lineRule="auto"/>
        <w:ind w:left="720" w:hanging="720"/>
        <w:jc w:val="both"/>
      </w:pPr>
      <w:r>
        <w:rPr>
          <w:rFonts w:ascii="Arial" w:eastAsia="Arial" w:hAnsi="Arial" w:cs="Arial"/>
          <w:color w:val="333333"/>
          <w:sz w:val="18"/>
          <w:szCs w:val="18"/>
        </w:rPr>
        <w:t>Aubert, M., et al. (2019). Earliest hunting scene in prehistoric art. Nature, 576, 442-445. https://doi.org/10.1038/s41586-019-1806-y</w:t>
      </w:r>
    </w:p>
    <w:p w14:paraId="4989FCAB" w14:textId="77777777" w:rsidR="005B30DC" w:rsidRDefault="00000000">
      <w:pPr>
        <w:spacing w:after="120" w:line="320" w:lineRule="auto"/>
        <w:ind w:left="720" w:hanging="720"/>
        <w:jc w:val="both"/>
      </w:pPr>
      <w:r>
        <w:rPr>
          <w:rFonts w:ascii="Arial" w:eastAsia="Arial" w:hAnsi="Arial" w:cs="Arial"/>
          <w:color w:val="333333"/>
          <w:sz w:val="18"/>
          <w:szCs w:val="18"/>
        </w:rPr>
        <w:t>Bar-Yosef Mayer, D. E., et al. (2009). Shells and ochre in Middle Paleolithic Qafzeh Cave, Israel: indications for modern behavior. Journal of Human Evolution, 56(3), 307-314.</w:t>
      </w:r>
    </w:p>
    <w:p w14:paraId="4DAEFA1F" w14:textId="77777777" w:rsidR="005B30DC" w:rsidRDefault="00000000">
      <w:pPr>
        <w:spacing w:after="120" w:line="320" w:lineRule="auto"/>
        <w:ind w:left="720" w:hanging="720"/>
        <w:jc w:val="both"/>
      </w:pPr>
      <w:r>
        <w:rPr>
          <w:rFonts w:ascii="Arial" w:eastAsia="Arial" w:hAnsi="Arial" w:cs="Arial"/>
          <w:color w:val="333333"/>
          <w:sz w:val="18"/>
          <w:szCs w:val="18"/>
        </w:rPr>
        <w:t>Burkert, W. (1985). Greek Religion. Harvard University Press.</w:t>
      </w:r>
    </w:p>
    <w:p w14:paraId="4CBE5479" w14:textId="77777777" w:rsidR="005B30DC" w:rsidRDefault="00000000">
      <w:pPr>
        <w:spacing w:after="120" w:line="320" w:lineRule="auto"/>
        <w:ind w:left="720" w:hanging="720"/>
        <w:jc w:val="both"/>
      </w:pPr>
      <w:r>
        <w:rPr>
          <w:rFonts w:ascii="Arial" w:eastAsia="Arial" w:hAnsi="Arial" w:cs="Arial"/>
          <w:color w:val="333333"/>
          <w:sz w:val="18"/>
          <w:szCs w:val="18"/>
        </w:rPr>
        <w:t>Durkheim, E. (1912). The Elementary Forms of Religious Life. George Allen &amp; Unwin.</w:t>
      </w:r>
    </w:p>
    <w:p w14:paraId="3CBB7E4C" w14:textId="77777777" w:rsidR="005B30DC" w:rsidRDefault="00000000">
      <w:pPr>
        <w:spacing w:after="120" w:line="320" w:lineRule="auto"/>
        <w:ind w:left="720" w:hanging="720"/>
        <w:jc w:val="both"/>
      </w:pPr>
      <w:r>
        <w:rPr>
          <w:rFonts w:ascii="Arial" w:eastAsia="Arial" w:hAnsi="Arial" w:cs="Arial"/>
          <w:color w:val="333333"/>
          <w:sz w:val="18"/>
          <w:szCs w:val="18"/>
        </w:rPr>
        <w:t>Froese, T., Woodward, A., &amp; Ikegami, T. (2013). Turing instabilities in biology, culture, and consciousness? On the enactive origins of symbolic material culture. Adaptive Behavior, 21(3), 199-214.</w:t>
      </w:r>
    </w:p>
    <w:p w14:paraId="7FE9095D" w14:textId="77777777" w:rsidR="005B30DC" w:rsidRDefault="00000000">
      <w:pPr>
        <w:spacing w:after="120" w:line="320" w:lineRule="auto"/>
        <w:ind w:left="720" w:hanging="720"/>
        <w:jc w:val="both"/>
      </w:pPr>
      <w:r>
        <w:rPr>
          <w:rFonts w:ascii="Arial" w:eastAsia="Arial" w:hAnsi="Arial" w:cs="Arial"/>
          <w:color w:val="333333"/>
          <w:sz w:val="18"/>
          <w:szCs w:val="18"/>
        </w:rPr>
        <w:t>Heidel, A. (1946). The Gilgamesh Epic and Old Testament Parallels. University of Chicago Press.</w:t>
      </w:r>
    </w:p>
    <w:p w14:paraId="2A193A3C" w14:textId="77777777" w:rsidR="005B30DC" w:rsidRDefault="00000000">
      <w:pPr>
        <w:spacing w:after="120" w:line="320" w:lineRule="auto"/>
        <w:ind w:left="720" w:hanging="720"/>
        <w:jc w:val="both"/>
      </w:pPr>
      <w:r>
        <w:rPr>
          <w:rFonts w:ascii="Arial" w:eastAsia="Arial" w:hAnsi="Arial" w:cs="Arial"/>
          <w:color w:val="333333"/>
          <w:sz w:val="18"/>
          <w:szCs w:val="18"/>
        </w:rPr>
        <w:t>Henrich, J. (2016). The Secret of Our Success: How Culture Is Driving Human Evolution, Domesticating Our Species, and Making Us Smarter. Princeton University Press.</w:t>
      </w:r>
    </w:p>
    <w:p w14:paraId="24DBD69B" w14:textId="77777777" w:rsidR="005B30DC" w:rsidRDefault="00000000">
      <w:pPr>
        <w:spacing w:after="120" w:line="320" w:lineRule="auto"/>
        <w:ind w:left="720" w:hanging="720"/>
        <w:jc w:val="both"/>
      </w:pPr>
      <w:r>
        <w:rPr>
          <w:rFonts w:ascii="Arial" w:eastAsia="Arial" w:hAnsi="Arial" w:cs="Arial"/>
          <w:color w:val="333333"/>
          <w:sz w:val="18"/>
          <w:szCs w:val="18"/>
        </w:rPr>
        <w:t>Jaubert, J., et al. (2016). Early Neanderthal constructions deep in Bruniquel Cave in southwestern France. Nature, 534, 111-114. https://doi.org/10.1038/nature18291</w:t>
      </w:r>
    </w:p>
    <w:p w14:paraId="20C4C4BD" w14:textId="77777777" w:rsidR="005B30DC" w:rsidRDefault="00000000">
      <w:pPr>
        <w:spacing w:after="120" w:line="320" w:lineRule="auto"/>
        <w:ind w:left="720" w:hanging="720"/>
        <w:jc w:val="both"/>
      </w:pPr>
      <w:r>
        <w:rPr>
          <w:rFonts w:ascii="Arial" w:eastAsia="Arial" w:hAnsi="Arial" w:cs="Arial"/>
          <w:color w:val="333333"/>
          <w:sz w:val="18"/>
          <w:szCs w:val="18"/>
        </w:rPr>
        <w:t>Korobe, B. L. (2024). Beyond Mortality: A Scholarly Analysis of Turkana Death Rituals and Ancestor Veneration Practices. Journal of African Interdisciplinary Studies, 8(12), 115-155.</w:t>
      </w:r>
    </w:p>
    <w:p w14:paraId="37BC44A0" w14:textId="77777777" w:rsidR="005B30DC" w:rsidRDefault="00000000">
      <w:pPr>
        <w:spacing w:after="120" w:line="320" w:lineRule="auto"/>
        <w:ind w:left="720" w:hanging="720"/>
        <w:jc w:val="both"/>
      </w:pPr>
      <w:r>
        <w:rPr>
          <w:rFonts w:ascii="Arial" w:eastAsia="Arial" w:hAnsi="Arial" w:cs="Arial"/>
          <w:color w:val="333333"/>
          <w:sz w:val="18"/>
          <w:szCs w:val="18"/>
        </w:rPr>
        <w:t>McNamara, R. A., &amp; Henrich, J. (2017). Jesus vs. the Ancestors: How specific religious beliefs shape prosociality on Yasawa Island, Fiji. Religion, Brain &amp; Behavior, 39(1), 1-20.</w:t>
      </w:r>
    </w:p>
    <w:p w14:paraId="4CA19048" w14:textId="77777777" w:rsidR="005B30DC" w:rsidRDefault="00000000">
      <w:pPr>
        <w:spacing w:after="120" w:line="320" w:lineRule="auto"/>
        <w:ind w:left="720" w:hanging="720"/>
        <w:jc w:val="both"/>
      </w:pPr>
      <w:r>
        <w:rPr>
          <w:rFonts w:ascii="Arial" w:eastAsia="Arial" w:hAnsi="Arial" w:cs="Arial"/>
          <w:color w:val="333333"/>
          <w:sz w:val="18"/>
          <w:szCs w:val="18"/>
        </w:rPr>
        <w:t>Pew Research Center. (2024). Ancestor veneration and death beliefs, practices in East Asia. https://www.pewresearch.org/religion/2024/06/17</w:t>
      </w:r>
    </w:p>
    <w:p w14:paraId="6D28F20B" w14:textId="77777777" w:rsidR="005B30DC" w:rsidRDefault="00000000">
      <w:pPr>
        <w:spacing w:after="120" w:line="320" w:lineRule="auto"/>
        <w:ind w:left="720" w:hanging="720"/>
        <w:jc w:val="both"/>
      </w:pPr>
      <w:r>
        <w:rPr>
          <w:rFonts w:ascii="Arial" w:eastAsia="Arial" w:hAnsi="Arial" w:cs="Arial"/>
          <w:color w:val="333333"/>
          <w:sz w:val="18"/>
          <w:szCs w:val="18"/>
          <w:lang w:val="it-IT"/>
        </w:rPr>
        <w:t xml:space="preserve">Purzycki, B. G., et al. </w:t>
      </w:r>
      <w:r>
        <w:rPr>
          <w:rFonts w:ascii="Arial" w:eastAsia="Arial" w:hAnsi="Arial" w:cs="Arial"/>
          <w:color w:val="333333"/>
          <w:sz w:val="18"/>
          <w:szCs w:val="18"/>
        </w:rPr>
        <w:t>(2024). Cultural evolution of religion, spirituality and ritual: Impacts on human cooperation. KZfSS Kolner Zeitschrift fur Soziologie und Sozialpsychologie. https://doi.org/10.1007/s11577-024-00937-3</w:t>
      </w:r>
    </w:p>
    <w:p w14:paraId="56DA92AC" w14:textId="77777777" w:rsidR="005B30DC" w:rsidRPr="00842CE9" w:rsidRDefault="00000000">
      <w:pPr>
        <w:spacing w:after="120" w:line="320" w:lineRule="auto"/>
        <w:ind w:left="720" w:hanging="720"/>
        <w:jc w:val="both"/>
        <w:rPr>
          <w:lang w:val="it-IT"/>
        </w:rPr>
      </w:pPr>
      <w:r>
        <w:rPr>
          <w:rFonts w:ascii="Arial" w:eastAsia="Arial" w:hAnsi="Arial" w:cs="Arial"/>
          <w:color w:val="333333"/>
          <w:sz w:val="18"/>
          <w:szCs w:val="18"/>
        </w:rPr>
        <w:t xml:space="preserve">Schmidt, K. (2010). Gobekli Tepe - the Stone Age Sanctuaries. </w:t>
      </w:r>
      <w:r>
        <w:rPr>
          <w:rFonts w:ascii="Arial" w:eastAsia="Arial" w:hAnsi="Arial" w:cs="Arial"/>
          <w:color w:val="333333"/>
          <w:sz w:val="18"/>
          <w:szCs w:val="18"/>
          <w:lang w:val="it-IT"/>
        </w:rPr>
        <w:t>Documenta Praehistorica, 37, 239-256.</w:t>
      </w:r>
    </w:p>
    <w:p w14:paraId="1A39A1EF" w14:textId="77777777" w:rsidR="005B30DC" w:rsidRDefault="00000000">
      <w:pPr>
        <w:spacing w:after="120" w:line="320" w:lineRule="auto"/>
        <w:ind w:left="720" w:hanging="720"/>
        <w:jc w:val="both"/>
      </w:pPr>
      <w:r>
        <w:rPr>
          <w:rFonts w:ascii="Arial" w:eastAsia="Arial" w:hAnsi="Arial" w:cs="Arial"/>
          <w:color w:val="333333"/>
          <w:sz w:val="18"/>
          <w:szCs w:val="18"/>
          <w:lang w:val="it-IT"/>
        </w:rPr>
        <w:t xml:space="preserve">Oktaviana, A. A., et al. </w:t>
      </w:r>
      <w:r>
        <w:rPr>
          <w:rFonts w:ascii="Arial" w:eastAsia="Arial" w:hAnsi="Arial" w:cs="Arial"/>
          <w:color w:val="333333"/>
          <w:sz w:val="18"/>
          <w:szCs w:val="18"/>
        </w:rPr>
        <w:t>(2024). Narrative cave art in Indonesia by 51,200 years ago. Nature, 631, 814-818. https://doi.org/10.1038/s41586-024-07541-7</w:t>
      </w:r>
    </w:p>
    <w:p w14:paraId="3006124F" w14:textId="77777777" w:rsidR="005B30DC" w:rsidRPr="00842CE9" w:rsidRDefault="00000000">
      <w:pPr>
        <w:spacing w:after="120" w:line="320" w:lineRule="auto"/>
        <w:ind w:left="720" w:hanging="720"/>
        <w:jc w:val="both"/>
        <w:rPr>
          <w:lang w:val="it-IT"/>
        </w:rPr>
      </w:pPr>
      <w:r>
        <w:rPr>
          <w:rFonts w:ascii="Arial" w:eastAsia="Arial" w:hAnsi="Arial" w:cs="Arial"/>
          <w:color w:val="333333"/>
          <w:sz w:val="18"/>
          <w:szCs w:val="18"/>
        </w:rPr>
        <w:t xml:space="preserve">Schmidt, K. (2010). Gobekli Tepe: the Stone Age Sanctuaries. </w:t>
      </w:r>
      <w:r>
        <w:rPr>
          <w:rFonts w:ascii="Arial" w:eastAsia="Arial" w:hAnsi="Arial" w:cs="Arial"/>
          <w:color w:val="333333"/>
          <w:sz w:val="18"/>
          <w:szCs w:val="18"/>
          <w:lang w:val="it-IT"/>
        </w:rPr>
        <w:t>Documenta Praehistorica, 37, 239-256.</w:t>
      </w:r>
    </w:p>
    <w:p w14:paraId="73F93B49" w14:textId="77777777" w:rsidR="005B30DC" w:rsidRDefault="00000000">
      <w:pPr>
        <w:spacing w:after="120" w:line="320" w:lineRule="auto"/>
        <w:ind w:left="720" w:hanging="720"/>
        <w:jc w:val="both"/>
      </w:pPr>
      <w:r>
        <w:rPr>
          <w:rFonts w:ascii="Arial" w:eastAsia="Arial" w:hAnsi="Arial" w:cs="Arial"/>
          <w:color w:val="333333"/>
          <w:sz w:val="18"/>
          <w:szCs w:val="18"/>
          <w:lang w:val="it-IT"/>
        </w:rPr>
        <w:t xml:space="preserve">Schmidt, K. (2011). Gobekli Tepe. </w:t>
      </w:r>
      <w:r>
        <w:rPr>
          <w:rFonts w:ascii="Arial" w:eastAsia="Arial" w:hAnsi="Arial" w:cs="Arial"/>
          <w:color w:val="333333"/>
          <w:sz w:val="18"/>
          <w:szCs w:val="18"/>
        </w:rPr>
        <w:t>In M. Ozdogan, N. Basgelen, &amp; P. Kuniholm (Eds.), The Neolithic in Turkey: The Euphrates Basin (Vol. 2, pp. 41-84). Istanbul: Archaeology and Art Publications.</w:t>
      </w:r>
    </w:p>
    <w:p w14:paraId="3B645083" w14:textId="77777777" w:rsidR="005B30DC" w:rsidRDefault="00000000">
      <w:pPr>
        <w:spacing w:after="120" w:line="320" w:lineRule="auto"/>
        <w:ind w:left="720" w:hanging="720"/>
        <w:jc w:val="both"/>
      </w:pPr>
      <w:r>
        <w:rPr>
          <w:rFonts w:ascii="Arial" w:eastAsia="Arial" w:hAnsi="Arial" w:cs="Arial"/>
          <w:color w:val="333333"/>
          <w:sz w:val="18"/>
          <w:szCs w:val="18"/>
        </w:rPr>
        <w:lastRenderedPageBreak/>
        <w:t>Vandermeersch, B. (1969). Les hommes fossiles de Qafzeh (Israel). Doctoral dissertation, Universite Paris VI.</w:t>
      </w:r>
    </w:p>
    <w:p w14:paraId="12718823" w14:textId="77777777" w:rsidR="005B30DC" w:rsidRDefault="00000000">
      <w:pPr>
        <w:spacing w:after="120" w:line="320" w:lineRule="auto"/>
        <w:ind w:left="720" w:hanging="720"/>
        <w:jc w:val="both"/>
      </w:pPr>
      <w:r>
        <w:rPr>
          <w:rFonts w:ascii="Arial" w:eastAsia="Arial" w:hAnsi="Arial" w:cs="Arial"/>
          <w:color w:val="333333"/>
          <w:sz w:val="18"/>
          <w:szCs w:val="18"/>
        </w:rPr>
        <w:t>Wilkinson, R. H. (2003). The Complete Gods and Goddesses of Ancient Egypt. Thames &amp; Hudson.</w:t>
      </w:r>
    </w:p>
    <w:p w14:paraId="28805253" w14:textId="77777777" w:rsidR="005B30DC" w:rsidRDefault="00000000">
      <w:pPr>
        <w:spacing w:after="120" w:line="320" w:lineRule="auto"/>
        <w:ind w:left="720" w:hanging="720"/>
        <w:jc w:val="both"/>
      </w:pPr>
      <w:r>
        <w:rPr>
          <w:rFonts w:ascii="Arial" w:eastAsia="Arial" w:hAnsi="Arial" w:cs="Arial"/>
          <w:color w:val="333333"/>
          <w:sz w:val="18"/>
          <w:szCs w:val="18"/>
        </w:rPr>
        <w:t>Phan, H. P., Ngu, B. H., Chen, S., &amp; Hsu, H. (2025). How cultural beliefs and rituals may help alleviate grief and despair: a four-dimensional framework. Frontiers in Sociology, 10, 1620016. https://doi.org/10.3389/fsoc.2025.1620016</w:t>
      </w:r>
    </w:p>
    <w:p w14:paraId="5DE3090D" w14:textId="77777777" w:rsidR="005B30DC" w:rsidRDefault="00000000">
      <w:pPr>
        <w:spacing w:after="120" w:line="320" w:lineRule="auto"/>
        <w:ind w:left="720" w:hanging="720"/>
        <w:jc w:val="both"/>
      </w:pPr>
      <w:r>
        <w:rPr>
          <w:rFonts w:ascii="Arial" w:eastAsia="Arial" w:hAnsi="Arial" w:cs="Arial"/>
          <w:color w:val="333333"/>
          <w:sz w:val="18"/>
          <w:szCs w:val="18"/>
        </w:rPr>
        <w:t>Vondoom, A. (2024-2026). Deep Symbolic Systems Model Corpus (Papers 1-50+). OSF / SSRN / Zenodo / Figshare / Academia.edu. ORCID: 0009-0003-4953-1427.</w:t>
      </w:r>
    </w:p>
    <w:p w14:paraId="69DF1BD3" w14:textId="77777777" w:rsidR="005B30DC" w:rsidRDefault="00000000">
      <w:pPr>
        <w:spacing w:after="120" w:line="320" w:lineRule="auto"/>
        <w:ind w:left="720" w:hanging="720"/>
        <w:jc w:val="both"/>
      </w:pPr>
      <w:r>
        <w:rPr>
          <w:rFonts w:ascii="Arial" w:eastAsia="Arial" w:hAnsi="Arial" w:cs="Arial"/>
          <w:color w:val="333333"/>
          <w:sz w:val="18"/>
          <w:szCs w:val="18"/>
        </w:rPr>
        <w:t>Xygalatas, D. (2022). Ritual: How Seemingly Senseless Acts Make Life Worth Living. Profile Books.</w:t>
      </w:r>
    </w:p>
    <w:p w14:paraId="2F3B6145" w14:textId="77777777" w:rsidR="005B30DC" w:rsidRDefault="005B30DC">
      <w:pPr>
        <w:pBdr>
          <w:bottom w:val="single" w:sz="4" w:space="1" w:color="BBBBBB"/>
        </w:pBdr>
        <w:spacing w:before="240" w:after="240"/>
      </w:pPr>
    </w:p>
    <w:p w14:paraId="140F51F6" w14:textId="77777777" w:rsidR="005B30DC" w:rsidRDefault="00000000">
      <w:pPr>
        <w:pStyle w:val="Heading2"/>
      </w:pPr>
      <w:r>
        <w:t>AI Assistance Disclosure</w:t>
      </w:r>
    </w:p>
    <w:p w14:paraId="2AC7FF31" w14:textId="77777777" w:rsidR="005B30DC" w:rsidRDefault="00000000">
      <w:pPr>
        <w:spacing w:after="180" w:line="380" w:lineRule="auto"/>
        <w:jc w:val="both"/>
      </w:pPr>
      <w:r>
        <w:t>This paper was developed with editorial and structural support from Claude Sonnet 4.6 (Anthropic). The theoretical framework, arguments, and conclusions are solely those of the author. AI assistance is transparently disclosed in accordance with the author's standard publication practice across the Deep Symbolic Systems Model corpus.</w:t>
      </w:r>
    </w:p>
    <w:p w14:paraId="5595D6D0" w14:textId="77777777" w:rsidR="005B30DC" w:rsidRDefault="005B30DC">
      <w:pPr>
        <w:spacing w:before="60" w:after="60"/>
      </w:pPr>
    </w:p>
    <w:sectPr w:rsidR="005B30DC">
      <w:pgSz w:w="12240" w:h="15840"/>
      <w:pgMar w:top="1440" w:right="1620" w:bottom="1440" w:left="16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E52A5"/>
    <w:multiLevelType w:val="hybridMultilevel"/>
    <w:tmpl w:val="7BF6F64A"/>
    <w:lvl w:ilvl="0" w:tplc="27BEF924">
      <w:start w:val="1"/>
      <w:numFmt w:val="bullet"/>
      <w:lvlText w:val="●"/>
      <w:lvlJc w:val="left"/>
      <w:pPr>
        <w:ind w:left="720" w:hanging="360"/>
      </w:pPr>
    </w:lvl>
    <w:lvl w:ilvl="1" w:tplc="96222486">
      <w:start w:val="1"/>
      <w:numFmt w:val="bullet"/>
      <w:lvlText w:val="○"/>
      <w:lvlJc w:val="left"/>
      <w:pPr>
        <w:ind w:left="1440" w:hanging="360"/>
      </w:pPr>
    </w:lvl>
    <w:lvl w:ilvl="2" w:tplc="B2782EEE">
      <w:start w:val="1"/>
      <w:numFmt w:val="bullet"/>
      <w:lvlText w:val="■"/>
      <w:lvlJc w:val="left"/>
      <w:pPr>
        <w:ind w:left="2160" w:hanging="360"/>
      </w:pPr>
    </w:lvl>
    <w:lvl w:ilvl="3" w:tplc="E38C1198">
      <w:start w:val="1"/>
      <w:numFmt w:val="bullet"/>
      <w:lvlText w:val="●"/>
      <w:lvlJc w:val="left"/>
      <w:pPr>
        <w:ind w:left="2880" w:hanging="360"/>
      </w:pPr>
    </w:lvl>
    <w:lvl w:ilvl="4" w:tplc="361C5FAA">
      <w:start w:val="1"/>
      <w:numFmt w:val="bullet"/>
      <w:lvlText w:val="○"/>
      <w:lvlJc w:val="left"/>
      <w:pPr>
        <w:ind w:left="3600" w:hanging="360"/>
      </w:pPr>
    </w:lvl>
    <w:lvl w:ilvl="5" w:tplc="5EF8CBC8">
      <w:start w:val="1"/>
      <w:numFmt w:val="bullet"/>
      <w:lvlText w:val="■"/>
      <w:lvlJc w:val="left"/>
      <w:pPr>
        <w:ind w:left="4320" w:hanging="360"/>
      </w:pPr>
    </w:lvl>
    <w:lvl w:ilvl="6" w:tplc="53A09138">
      <w:start w:val="1"/>
      <w:numFmt w:val="bullet"/>
      <w:lvlText w:val="●"/>
      <w:lvlJc w:val="left"/>
      <w:pPr>
        <w:ind w:left="5040" w:hanging="360"/>
      </w:pPr>
    </w:lvl>
    <w:lvl w:ilvl="7" w:tplc="98661EFE">
      <w:start w:val="1"/>
      <w:numFmt w:val="bullet"/>
      <w:lvlText w:val="●"/>
      <w:lvlJc w:val="left"/>
      <w:pPr>
        <w:ind w:left="5760" w:hanging="360"/>
      </w:pPr>
    </w:lvl>
    <w:lvl w:ilvl="8" w:tplc="40985694">
      <w:start w:val="1"/>
      <w:numFmt w:val="bullet"/>
      <w:lvlText w:val="●"/>
      <w:lvlJc w:val="left"/>
      <w:pPr>
        <w:ind w:left="6480" w:hanging="360"/>
      </w:pPr>
    </w:lvl>
  </w:abstractNum>
  <w:num w:numId="1" w16cid:durableId="40291826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0DC"/>
    <w:rsid w:val="00257D7F"/>
    <w:rsid w:val="005675FA"/>
    <w:rsid w:val="005B30DC"/>
    <w:rsid w:val="00842CE9"/>
    <w:rsid w:val="00F12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ED4A5D"/>
  <w15:docId w15:val="{B4C3C8F8-D10F-0647-A2EE-967D4E119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00" w:after="160"/>
      <w:outlineLvl w:val="0"/>
    </w:pPr>
    <w:rPr>
      <w:rFonts w:ascii="Arial" w:eastAsia="Arial" w:hAnsi="Arial" w:cs="Arial"/>
      <w:b/>
      <w:bCs/>
      <w:color w:val="1F3864"/>
      <w:sz w:val="28"/>
      <w:szCs w:val="28"/>
    </w:rPr>
  </w:style>
  <w:style w:type="paragraph" w:styleId="Heading2">
    <w:name w:val="heading 2"/>
    <w:uiPriority w:val="9"/>
    <w:unhideWhenUsed/>
    <w:qFormat/>
    <w:pPr>
      <w:spacing w:before="280" w:after="120"/>
      <w:outlineLvl w:val="1"/>
    </w:pPr>
    <w:rPr>
      <w:rFonts w:ascii="Arial" w:eastAsia="Arial" w:hAnsi="Arial" w:cs="Arial"/>
      <w:b/>
      <w:bCs/>
      <w:color w:val="2E5496"/>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842CE9"/>
    <w:rPr>
      <w:color w:val="605E5C"/>
      <w:shd w:val="clear" w:color="auto" w:fill="E1DFDD"/>
    </w:rPr>
  </w:style>
  <w:style w:type="character" w:styleId="FollowedHyperlink">
    <w:name w:val="FollowedHyperlink"/>
    <w:basedOn w:val="DefaultParagraphFont"/>
    <w:uiPriority w:val="99"/>
    <w:semiHidden/>
    <w:unhideWhenUsed/>
    <w:rsid w:val="00F12C5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3991</Words>
  <Characters>23548</Characters>
  <Application>Microsoft Office Word</Application>
  <DocSecurity>0</DocSecurity>
  <Lines>373</Lines>
  <Paragraphs>121</Paragraphs>
  <ScaleCrop>false</ScaleCrop>
  <Company/>
  <LinksUpToDate>false</LinksUpToDate>
  <CharactersWithSpaces>27418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anthony vondoom</cp:lastModifiedBy>
  <cp:revision>3</cp:revision>
  <dcterms:created xsi:type="dcterms:W3CDTF">2026-05-05T09:10:00Z</dcterms:created>
  <dcterms:modified xsi:type="dcterms:W3CDTF">2026-05-05T09:13:00Z</dcterms:modified>
</cp:coreProperties>
</file>