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0ED" w:rsidRDefault="003F10ED">
      <w:pPr>
        <w:spacing w:before="60" w:after="60"/>
      </w:pPr>
    </w:p>
    <w:p w:rsidR="003F10ED" w:rsidRDefault="003F10ED">
      <w:pPr>
        <w:spacing w:before="60" w:after="60"/>
      </w:pPr>
    </w:p>
    <w:p w:rsidR="003F10ED" w:rsidRDefault="00000000">
      <w:pPr>
        <w:spacing w:after="120"/>
        <w:jc w:val="center"/>
      </w:pPr>
      <w:r>
        <w:rPr>
          <w:b/>
          <w:bCs/>
          <w:color w:val="1A1A2E"/>
          <w:sz w:val="64"/>
          <w:szCs w:val="64"/>
        </w:rPr>
        <w:t>NETJERU</w:t>
      </w:r>
    </w:p>
    <w:p w:rsidR="003F10ED" w:rsidRDefault="00000000">
      <w:pPr>
        <w:spacing w:after="80"/>
        <w:jc w:val="center"/>
      </w:pPr>
      <w:r>
        <w:rPr>
          <w:i/>
          <w:iCs/>
          <w:color w:val="2C3E6E"/>
          <w:sz w:val="28"/>
          <w:szCs w:val="28"/>
        </w:rPr>
        <w:t>Empirical Validation of a Multi-Agent Macro-Symbolic Intelligence Framework</w:t>
      </w:r>
    </w:p>
    <w:p w:rsidR="003F10ED" w:rsidRDefault="00000000">
      <w:pPr>
        <w:spacing w:after="200"/>
        <w:jc w:val="center"/>
        <w:rPr>
          <w:i/>
          <w:iCs/>
          <w:color w:val="2C3E6E"/>
          <w:sz w:val="26"/>
          <w:szCs w:val="26"/>
        </w:rPr>
      </w:pPr>
      <w:r>
        <w:rPr>
          <w:i/>
          <w:iCs/>
          <w:color w:val="2C3E6E"/>
          <w:sz w:val="26"/>
          <w:szCs w:val="26"/>
        </w:rPr>
        <w:t>Across Nine Operational Cycles</w:t>
      </w: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rPr>
          <w:i/>
          <w:iCs/>
          <w:color w:val="2C3E6E"/>
          <w:sz w:val="26"/>
          <w:szCs w:val="26"/>
        </w:rPr>
      </w:pPr>
    </w:p>
    <w:p w:rsidR="004C3F22" w:rsidRDefault="004C3F22">
      <w:pPr>
        <w:spacing w:after="200"/>
        <w:jc w:val="center"/>
      </w:pPr>
    </w:p>
    <w:p w:rsidR="003F10ED" w:rsidRDefault="003F10ED">
      <w:pPr>
        <w:pBdr>
          <w:bottom w:val="single" w:sz="6" w:space="1" w:color="C9A84C"/>
        </w:pBdr>
        <w:spacing w:before="100" w:after="100"/>
      </w:pPr>
    </w:p>
    <w:p w:rsidR="003F10ED" w:rsidRDefault="003F10E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Author: </w:t>
            </w:r>
            <w:r>
              <w:t>Anthony Vondoom</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ORCID: </w:t>
            </w:r>
            <w:r>
              <w:t>0009-0003-4953-1427</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Contact: </w:t>
            </w:r>
            <w:r>
              <w:t>Anthony.vondoom@outlook.com</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Date: </w:t>
            </w:r>
            <w:r>
              <w:t>April 2026</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Pr="004C3F22" w:rsidRDefault="00000000">
            <w:pPr>
              <w:rPr>
                <w:lang w:val="en-US"/>
              </w:rPr>
            </w:pPr>
            <w:r>
              <w:rPr>
                <w:b/>
                <w:bCs/>
                <w:color w:val="2C3E6E"/>
              </w:rPr>
              <w:t xml:space="preserve">System Reference: </w:t>
            </w:r>
            <w:r>
              <w:t xml:space="preserve">NETJERU v1.0 </w:t>
            </w:r>
            <w:hyperlink r:id="rId7" w:history="1">
              <w:r w:rsidR="004C3F22" w:rsidRPr="003C1157">
                <w:rPr>
                  <w:rStyle w:val="Hyperlink"/>
                </w:rPr>
                <w:t>https://doi.org/10.5281/zenodo.19388884</w:t>
              </w:r>
            </w:hyperlink>
            <w:r w:rsidR="004C3F22" w:rsidRPr="004C3F22">
              <w:rPr>
                <w:rStyle w:val="Hyperlink"/>
                <w:lang w:val="en-US"/>
              </w:rPr>
              <w:t xml:space="preserve"> </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AI Disclosure: </w:t>
            </w:r>
            <w:r>
              <w:t>Analytical drafting and editorial support by Claude Sonnet 4.6, Anthropic. All analytical judgments and DSSM framework applications are those of the author.</w:t>
            </w:r>
          </w:p>
        </w:tc>
      </w:tr>
      <w:tr w:rsidR="003F10ED">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3F10ED" w:rsidRDefault="00000000">
            <w:r>
              <w:rPr>
                <w:b/>
                <w:bCs/>
                <w:color w:val="2C3E6E"/>
              </w:rPr>
              <w:t xml:space="preserve">License: </w:t>
            </w:r>
            <w:r>
              <w:t>CC BY 4.0</w:t>
            </w:r>
          </w:p>
        </w:tc>
      </w:tr>
    </w:tbl>
    <w:p w:rsidR="003F10ED" w:rsidRDefault="003F10ED">
      <w:pPr>
        <w:spacing w:before="60" w:after="60"/>
      </w:pPr>
    </w:p>
    <w:p w:rsidR="003F10ED" w:rsidRDefault="003F10ED">
      <w:pPr>
        <w:pBdr>
          <w:bottom w:val="single" w:sz="6" w:space="1" w:color="C9A84C"/>
        </w:pBdr>
        <w:spacing w:before="100" w:after="100"/>
      </w:pPr>
    </w:p>
    <w:p w:rsidR="003F10ED" w:rsidRDefault="003F10ED">
      <w:pPr>
        <w:spacing w:before="60" w:after="60"/>
      </w:pPr>
    </w:p>
    <w:p w:rsidR="003F10ED" w:rsidRDefault="003F10ED">
      <w:pPr>
        <w:spacing w:before="60" w:after="60"/>
      </w:pPr>
    </w:p>
    <w:p w:rsidR="003F10ED" w:rsidRDefault="003F10ED">
      <w:pPr>
        <w:spacing w:before="60" w:after="60"/>
      </w:pPr>
    </w:p>
    <w:p w:rsidR="003F10ED" w:rsidRDefault="00000000">
      <w:pPr>
        <w:pStyle w:val="Heading1"/>
      </w:pPr>
      <w:r>
        <w:lastRenderedPageBreak/>
        <w:t>Abstract</w:t>
      </w:r>
    </w:p>
    <w:p w:rsidR="003F10ED" w:rsidRDefault="003F10ED">
      <w:pPr>
        <w:pBdr>
          <w:bottom w:val="single" w:sz="6" w:space="1" w:color="4A6FA5"/>
        </w:pBdr>
        <w:spacing w:before="100" w:after="100"/>
      </w:pPr>
    </w:p>
    <w:p w:rsidR="003F10ED" w:rsidRDefault="003F10E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F10ED">
        <w:tblPrEx>
          <w:tblCellMar>
            <w:top w:w="0" w:type="dxa"/>
            <w:bottom w:w="0" w:type="dxa"/>
          </w:tblCellMar>
        </w:tblPrEx>
        <w:tc>
          <w:tcPr>
            <w:tcW w:w="9360" w:type="dxa"/>
            <w:tcBorders>
              <w:top w:val="single" w:sz="6" w:space="0" w:color="4A6FA5"/>
              <w:left w:val="single" w:sz="6" w:space="0" w:color="4A6FA5"/>
              <w:bottom w:val="single" w:sz="6" w:space="0" w:color="4A6FA5"/>
              <w:right w:val="single" w:sz="6" w:space="0" w:color="4A6FA5"/>
            </w:tcBorders>
            <w:shd w:val="clear" w:color="auto" w:fill="F0F4FA"/>
            <w:tcMar>
              <w:top w:w="160" w:type="dxa"/>
              <w:left w:w="200" w:type="dxa"/>
              <w:bottom w:w="160" w:type="dxa"/>
              <w:right w:w="200" w:type="dxa"/>
            </w:tcMar>
          </w:tcPr>
          <w:p w:rsidR="003F10ED" w:rsidRDefault="00000000">
            <w:pPr>
              <w:spacing w:before="60" w:after="60" w:line="280" w:lineRule="auto"/>
              <w:jc w:val="both"/>
            </w:pPr>
            <w:r>
              <w:t>NETJERU is a multi-agent intelligence analysis framework designed to monitor global macro-symbolic stress through the analytical lens of the Deep Symbolic Systems Model (DSSM). This paper presents empirical validation of the system across nine operational cycles run between 25 March and 3 April 2026, covering queries spanning civilizational grammar transitions, infrastructure sovereignty fragmentation, AI governance breakdown, Gulf War kinetic dynamics, and multi-domain legitimacy collapse. The validation demonstrates that NETJERU produces consistent, falsifiable, adversarially-challenged output across diverse analytical domains; that its Set adversarial challenge mechanism generates substantive rather than formulaic reductions; that its dimensional scoring framework discriminates meaningfully between query types; and that the system correctly escalated threat assessment from HIGH to CRITICAL across the nine-cycle window in response to accumulating structural signals. Key findings include systematic differentiation of AI Governance Fragmentation scores by query type, consistent Macro Symbolic Shift dominance across geopolitical queries, and the 48-Hour Threshold mechanism functioning as a genuine structural escalation detector rather than a uniform flag. Identified limitations include incomplete Osiris analogue surfacing in cycle output documents and the absence of visible Horus gate records in the published cycle corpus. The paper argues that operational deployment over nine cycles constitutes sufficient evidence to distinguish NETJERU from single-model analytical systems, and positions the cycle corpus as a replicable benchmark for multi-agent intelligence frameworks in macro-symbolic monitoring contexts.</w:t>
            </w:r>
          </w:p>
        </w:tc>
      </w:tr>
    </w:tbl>
    <w:p w:rsidR="003F10ED" w:rsidRDefault="003F10ED">
      <w:pPr>
        <w:spacing w:before="60" w:after="60"/>
      </w:pPr>
    </w:p>
    <w:p w:rsidR="003F10ED" w:rsidRDefault="00000000">
      <w:pPr>
        <w:spacing w:before="100" w:after="100" w:line="280" w:lineRule="auto"/>
        <w:jc w:val="both"/>
      </w:pPr>
      <w:r>
        <w:rPr>
          <w:i/>
          <w:iCs/>
          <w:color w:val="555555"/>
        </w:rPr>
        <w:t>Keywords: multi-agent systems; intelligence analysis; epistemic controls; adversarial AI; macro-symbolic monitoring; DSSM; human-in-the-loop; falsifiability</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1. Introduction</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The deployment of large language models in consequential analytical domains---geopolitical risk assessment, conflict early warning, crisis monitoring---exposes a structural gap between model capability and analytical reliability. Single-model architectures produce plausible outputs without structural mechanisms to challenge, correct, or falsify those outputs before they are accepted as conclusions. The result is a class of analytical tools that are sophisticated in their surface behavior and brittle in their epistemic foundations.</w:t>
      </w:r>
    </w:p>
    <w:p w:rsidR="003F10ED" w:rsidRDefault="00000000">
      <w:pPr>
        <w:spacing w:before="100" w:after="100" w:line="280" w:lineRule="auto"/>
        <w:jc w:val="both"/>
      </w:pPr>
      <w:r>
        <w:t>NETJERU (Paper 43) addresses this problem architecturally rather than through prompt engineering. It routes each analytical query through a sequenced council of seven functionally distinct agents, each performing a specific epistemic role: signal assembly (Isis), dimensional scoring (Thoth), adversarial challenge (Set), historical analogue retrieval (Osiris), evidence weighting (Anubis), human oversight gate (Horus), and final synthesis (Ra). Critical constraints are implemented at the code level. No single agent renders the final judgment. The system produces a structured intelligence brief for human review, and the human operator---designated Horus in the system architecture---retains sole authority to act on the intelligence surfaced.</w:t>
      </w:r>
    </w:p>
    <w:p w:rsidR="003F10ED" w:rsidRDefault="00000000">
      <w:pPr>
        <w:spacing w:before="100" w:after="100" w:line="280" w:lineRule="auto"/>
        <w:jc w:val="both"/>
      </w:pPr>
      <w:r>
        <w:t>This paper does not redescribe the NETJERU architecture, which is fully documented in Paper 43 (Zenodo: 10.5281/zenodo.19388884). Its purpose is empirical: to present the evidence from nine operational cycles and assess whether the system behaves as its architecture specifies. The validation question is not whether NETJERU is correct in its analytical conclusions---that question is separately addressable and depends on events that have not yet fully resolved---but whether it is doing what it says it does: producing consistent, falsifiable, adversarially-challenged structural analysis across diverse query domains.</w:t>
      </w:r>
    </w:p>
    <w:p w:rsidR="003F10ED" w:rsidRDefault="003F10ED">
      <w:pPr>
        <w:spacing w:before="60" w:after="60"/>
      </w:pPr>
    </w:p>
    <w:p w:rsidR="003F10ED" w:rsidRDefault="00000000">
      <w:pPr>
        <w:pStyle w:val="Heading2"/>
      </w:pPr>
      <w:r>
        <w:t>1.1 Scope and Period</w:t>
      </w:r>
    </w:p>
    <w:p w:rsidR="003F10ED" w:rsidRDefault="00000000">
      <w:pPr>
        <w:spacing w:before="100" w:after="100" w:line="280" w:lineRule="auto"/>
        <w:jc w:val="both"/>
      </w:pPr>
      <w:r>
        <w:t>The nine cycles covered in this paper were produced between 25 March and 3 April 2026. They cover the following analytical queries:</w:t>
      </w:r>
    </w:p>
    <w:p w:rsidR="003F10ED" w:rsidRDefault="00000000">
      <w:pPr>
        <w:pStyle w:val="ListParagraph"/>
        <w:numPr>
          <w:ilvl w:val="0"/>
          <w:numId w:val="2"/>
        </w:numPr>
        <w:spacing w:before="60" w:after="60"/>
      </w:pPr>
      <w:r>
        <w:t>Cycle 3 (25 March): Civilizational Grammar Transition---Who Writes the Rules When the Old Order Breaks</w:t>
      </w:r>
    </w:p>
    <w:p w:rsidR="003F10ED" w:rsidRDefault="00000000">
      <w:pPr>
        <w:pStyle w:val="ListParagraph"/>
        <w:numPr>
          <w:ilvl w:val="0"/>
          <w:numId w:val="2"/>
        </w:numPr>
        <w:spacing w:before="60" w:after="60"/>
      </w:pPr>
      <w:r>
        <w:t>Cycle 4 (26 March): Civilizational Substrate Crisis---Infrastructure Fragmentation, Symbolic Regulation Failure, and the Narrowing Governance Window</w:t>
      </w:r>
    </w:p>
    <w:p w:rsidR="003F10ED" w:rsidRDefault="00000000">
      <w:pPr>
        <w:pStyle w:val="ListParagraph"/>
        <w:numPr>
          <w:ilvl w:val="0"/>
          <w:numId w:val="2"/>
        </w:numPr>
        <w:spacing w:before="60" w:after="60"/>
      </w:pPr>
      <w:r>
        <w:t>Cycle 5 (27 March): Convergence at the Legitimacy Threshold---AI Governance Fragmentation, Predictive Control Collapse, and Cascading Institutional Legitimacy Failure</w:t>
      </w:r>
    </w:p>
    <w:p w:rsidR="003F10ED" w:rsidRDefault="00000000">
      <w:pPr>
        <w:pStyle w:val="ListParagraph"/>
        <w:numPr>
          <w:ilvl w:val="0"/>
          <w:numId w:val="2"/>
        </w:numPr>
        <w:spacing w:before="60" w:after="60"/>
      </w:pPr>
      <w:r>
        <w:t>Cycle 6 (29 March): 2026 Gulf War---Active Kinetic Environment and Autonomous Systems Escalation Risk</w:t>
      </w:r>
    </w:p>
    <w:p w:rsidR="003F10ED" w:rsidRDefault="00000000">
      <w:pPr>
        <w:pStyle w:val="ListParagraph"/>
        <w:numPr>
          <w:ilvl w:val="0"/>
          <w:numId w:val="2"/>
        </w:numPr>
        <w:spacing w:before="60" w:after="60"/>
      </w:pPr>
      <w:r>
        <w:t>Cycle 7 (29 March): Governance Fragmentation---Alliance Restructuring, Capital Flight, and Monetary Pluralism</w:t>
      </w:r>
    </w:p>
    <w:p w:rsidR="003F10ED" w:rsidRDefault="00000000">
      <w:pPr>
        <w:pStyle w:val="ListParagraph"/>
        <w:numPr>
          <w:ilvl w:val="0"/>
          <w:numId w:val="2"/>
        </w:numPr>
        <w:spacing w:before="60" w:after="60"/>
      </w:pPr>
      <w:r>
        <w:lastRenderedPageBreak/>
        <w:t>Cycle 8 (30 March): Coordinated Institutional Withdrawal---Symbolic Substrate Collapse Across Finance, Governance, and Technology</w:t>
      </w:r>
    </w:p>
    <w:p w:rsidR="003F10ED" w:rsidRDefault="00000000">
      <w:pPr>
        <w:pStyle w:val="ListParagraph"/>
        <w:numPr>
          <w:ilvl w:val="0"/>
          <w:numId w:val="2"/>
        </w:numPr>
        <w:spacing w:before="60" w:after="60"/>
      </w:pPr>
      <w:r>
        <w:t>Cycle 9 (3 April): Legitimacy Collapse, Militarization, and AI Governance Fragmentation</w:t>
      </w:r>
    </w:p>
    <w:p w:rsidR="003F10ED" w:rsidRDefault="00000000">
      <w:pPr>
        <w:spacing w:before="100" w:after="100" w:line="280" w:lineRule="auto"/>
        <w:jc w:val="both"/>
      </w:pPr>
      <w:r>
        <w:t>Cycles 1 and 2 of the NETJERU v1.0 run are not included in this analysis as their documentation was not available for the validation corpus. The nine cycles presented here constitute a contiguous, unedited operational record.</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2. System Architecture Summary</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The following table summarizes the seven-agent pipeline as specified in Paper 43. It is reproduced here to provide the evaluation standard against which the cycle outputs are assessed.</w:t>
      </w:r>
    </w:p>
    <w:p w:rsidR="003F10ED" w:rsidRDefault="003F10E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3744"/>
      </w:tblGrid>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Agent</w:t>
            </w:r>
          </w:p>
        </w:tc>
        <w:tc>
          <w:tcPr>
            <w:tcW w:w="1872"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Mythological Role</w:t>
            </w:r>
          </w:p>
        </w:tc>
        <w:tc>
          <w:tcPr>
            <w:tcW w:w="1872"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Analytical Function</w:t>
            </w:r>
          </w:p>
        </w:tc>
        <w:tc>
          <w:tcPr>
            <w:tcW w:w="3744"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Output</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Ra</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Cosmic order / final authority</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Orchestration and synthesis</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Cycle framing and conclusion</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Ptah</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Creator / architect</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Knowledge base retrieval</w:t>
            </w:r>
          </w:p>
        </w:tc>
        <w:tc>
          <w:tcPr>
            <w:tcW w:w="37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DSSM framework context</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Isis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Assembler / restorer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Signal ingestion</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Curated signal inventory</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Thoth</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Scribe / measurer</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Dimensional scoring</w:t>
            </w:r>
          </w:p>
        </w:tc>
        <w:tc>
          <w:tcPr>
            <w:tcW w:w="37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Four DSSM dimension scores per signal</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Set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Adversarial challenger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Mandatory adversarial challenge</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Before/after score deltas with justification</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Osiris</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Historical memory</w:t>
            </w:r>
          </w:p>
        </w:tc>
        <w:tc>
          <w:tcPr>
            <w:tcW w:w="1872"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Structural fingerprint retrieval</w:t>
            </w:r>
          </w:p>
        </w:tc>
        <w:tc>
          <w:tcPr>
            <w:tcW w:w="37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Historical analogue match with pattern weight</w:t>
            </w:r>
          </w:p>
        </w:tc>
      </w:tr>
      <w:tr w:rsidR="003F10ED">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Maat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Regulatory floor</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Constraint enforcement</w:t>
            </w:r>
          </w:p>
        </w:tc>
        <w:tc>
          <w:tcPr>
            <w:tcW w:w="37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Operational compliance check; hard-stop on prohibited outputs</w:t>
            </w:r>
          </w:p>
        </w:tc>
      </w:tr>
    </w:tbl>
    <w:p w:rsidR="003F10ED" w:rsidRDefault="003F10ED">
      <w:pPr>
        <w:spacing w:before="60" w:after="60"/>
      </w:pPr>
    </w:p>
    <w:p w:rsidR="003F10ED" w:rsidRDefault="00000000">
      <w:pPr>
        <w:spacing w:before="100" w:after="100" w:line="280" w:lineRule="auto"/>
        <w:jc w:val="both"/>
      </w:pPr>
      <w:r>
        <w:t>The human operator (Horus / Anthony Vondoom) holds sovereign oversight across all cycles and is responsible for all published outputs. The Horus gate is a mandatory checkpoint in the system code: no Ra judgment is produced without explicit Horus approval.</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3. Dimensional Scoring Framework</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Each NETJERU cycle produces scores on four DSSM dimensions. Scores run from 0 to 10 in aggregate cycle headers (Thoth composite) and from 0 to 2 on the six-observable Field Companion Protocol (FCP) breakdown in Section III of each cycle. Higher scores indicate greater structural stress.</w:t>
      </w:r>
    </w:p>
    <w:p w:rsidR="003F10ED" w:rsidRDefault="003F10E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36"/>
        <w:gridCol w:w="1463"/>
        <w:gridCol w:w="2630"/>
        <w:gridCol w:w="2631"/>
      </w:tblGrid>
      <w:tr w:rsidR="003F10ED">
        <w:tblPrEx>
          <w:tblCellMar>
            <w:top w:w="0" w:type="dxa"/>
            <w:bottom w:w="0" w:type="dxa"/>
          </w:tblCellMar>
        </w:tblPrEx>
        <w:tc>
          <w:tcPr>
            <w:tcW w:w="2674"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Dimension</w:t>
            </w:r>
          </w:p>
        </w:tc>
        <w:tc>
          <w:tcPr>
            <w:tcW w:w="780"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Abbreviation</w:t>
            </w:r>
          </w:p>
        </w:tc>
        <w:tc>
          <w:tcPr>
            <w:tcW w:w="2674"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What It Measures</w:t>
            </w:r>
          </w:p>
        </w:tc>
        <w:tc>
          <w:tcPr>
            <w:tcW w:w="2674"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High Score Indicates</w:t>
            </w:r>
          </w:p>
        </w:tc>
      </w:tr>
      <w:tr w:rsidR="003F10ED">
        <w:tblPrEx>
          <w:tblCellMar>
            <w:top w:w="0" w:type="dxa"/>
            <w:bottom w:w="0" w:type="dxa"/>
          </w:tblCellMar>
        </w:tblPrEx>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Symbolic Regulation Failure</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SRF</w:t>
            </w:r>
          </w:p>
        </w:tc>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Whether shared norms and frameworks governing conflict, trade, and diplomacy remain functional</w:t>
            </w:r>
          </w:p>
        </w:tc>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Shared regulatory architecture has broken down; actors no longer bound by common protocols</w:t>
            </w:r>
          </w:p>
        </w:tc>
      </w:tr>
      <w:tr w:rsidR="003F10ED">
        <w:tblPrEx>
          <w:tblCellMar>
            <w:top w:w="0" w:type="dxa"/>
            <w:bottom w:w="0" w:type="dxa"/>
          </w:tblCellMar>
        </w:tblPrEx>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Institutional Collapse</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IC</w:t>
            </w:r>
          </w:p>
        </w:tc>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Whether institutions retain coordination capacity</w:t>
            </w:r>
          </w:p>
        </w:tc>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Institutions structurally present but operationally paralysed</w:t>
            </w:r>
          </w:p>
        </w:tc>
      </w:tr>
      <w:tr w:rsidR="003F10ED">
        <w:tblPrEx>
          <w:tblCellMar>
            <w:top w:w="0" w:type="dxa"/>
            <w:bottom w:w="0" w:type="dxa"/>
          </w:tblCellMar>
        </w:tblPrEx>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AI Governance Fragmentation</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AGF</w:t>
            </w:r>
          </w:p>
        </w:tc>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Whether AI development proceeds under coherent shared governance</w:t>
            </w:r>
          </w:p>
        </w:tc>
        <w:tc>
          <w:tcPr>
            <w:tcW w:w="267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Competing incompatible governance frameworks crystallizing across jurisdictions</w:t>
            </w:r>
          </w:p>
        </w:tc>
      </w:tr>
      <w:tr w:rsidR="003F10ED">
        <w:tblPrEx>
          <w:tblCellMar>
            <w:top w:w="0" w:type="dxa"/>
            <w:bottom w:w="0" w:type="dxa"/>
          </w:tblCellMar>
        </w:tblPrEx>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Macro Symbolic Shift</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MSS</w:t>
            </w:r>
          </w:p>
        </w:tc>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Whether fundamental organizing frameworks of global order are changing</w:t>
            </w:r>
          </w:p>
        </w:tc>
        <w:tc>
          <w:tcPr>
            <w:tcW w:w="267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Civilizational-scale realignment underway, not surface disruption</w:t>
            </w:r>
          </w:p>
        </w:tc>
      </w:tr>
    </w:tbl>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4. Cycle Summary: Nine-Cycle Overview</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The following table presents the primary analytical output of each cycle in compressed form. All scores are post-Set-challenge values as reported in the cycle Thoth Score Summary.</w:t>
      </w:r>
    </w:p>
    <w:p w:rsidR="003F10ED" w:rsidRDefault="003F10E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4"/>
        <w:gridCol w:w="674"/>
        <w:gridCol w:w="1463"/>
        <w:gridCol w:w="640"/>
        <w:gridCol w:w="519"/>
        <w:gridCol w:w="663"/>
        <w:gridCol w:w="674"/>
        <w:gridCol w:w="1163"/>
        <w:gridCol w:w="1152"/>
        <w:gridCol w:w="1719"/>
      </w:tblGrid>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Cycle</w:t>
            </w:r>
          </w:p>
        </w:tc>
        <w:tc>
          <w:tcPr>
            <w:tcW w:w="936"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Date</w:t>
            </w:r>
          </w:p>
        </w:tc>
        <w:tc>
          <w:tcPr>
            <w:tcW w:w="2808"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Query Domain</w:t>
            </w:r>
          </w:p>
        </w:tc>
        <w:tc>
          <w:tcPr>
            <w:tcW w:w="585"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SRF</w:t>
            </w:r>
          </w:p>
        </w:tc>
        <w:tc>
          <w:tcPr>
            <w:tcW w:w="585"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IC</w:t>
            </w:r>
          </w:p>
        </w:tc>
        <w:tc>
          <w:tcPr>
            <w:tcW w:w="585"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AGF</w:t>
            </w:r>
          </w:p>
        </w:tc>
        <w:tc>
          <w:tcPr>
            <w:tcW w:w="585"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MSS</w:t>
            </w:r>
          </w:p>
        </w:tc>
        <w:tc>
          <w:tcPr>
            <w:tcW w:w="936"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Dominant</w:t>
            </w:r>
          </w:p>
        </w:tc>
        <w:tc>
          <w:tcPr>
            <w:tcW w:w="936"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Threat</w:t>
            </w:r>
          </w:p>
        </w:tc>
        <w:tc>
          <w:tcPr>
            <w:tcW w:w="1040" w:type="dxa"/>
            <w:tcBorders>
              <w:top w:val="single" w:sz="1" w:space="0" w:color="CCCCCC"/>
              <w:left w:val="single" w:sz="1" w:space="0" w:color="CCCCCC"/>
              <w:bottom w:val="single" w:sz="1" w:space="0" w:color="CCCCCC"/>
              <w:right w:val="single" w:sz="1" w:space="0" w:color="CCCCCC"/>
            </w:tcBorders>
            <w:shd w:val="clear" w:color="auto" w:fill="2C3E6E"/>
            <w:tcMar>
              <w:top w:w="80" w:type="dxa"/>
              <w:left w:w="120" w:type="dxa"/>
              <w:bottom w:w="80" w:type="dxa"/>
              <w:right w:w="120" w:type="dxa"/>
            </w:tcMar>
            <w:vAlign w:val="center"/>
          </w:tcPr>
          <w:p w:rsidR="003F10ED" w:rsidRDefault="00000000">
            <w:r>
              <w:rPr>
                <w:b/>
                <w:bCs/>
                <w:color w:val="FFFFFF"/>
                <w:sz w:val="20"/>
                <w:szCs w:val="20"/>
              </w:rPr>
              <w:t>48H</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25 Mar</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Civilizational grammar transition</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7.2</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5.8</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5.1</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7.8</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MSS</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APPROACHING</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4</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26 Mar</w:t>
            </w:r>
          </w:p>
        </w:tc>
        <w:tc>
          <w:tcPr>
            <w:tcW w:w="280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Infrastructure sovereignty / substrate crisis</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6.8</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5.8</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8.0</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7.2</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AGF</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ELEVATED</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27 Mar</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AI governance / legitimacy threshold</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7.1</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6.1</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4.4</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6.3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SRF</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ELEVATED</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6</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29 Mar</w:t>
            </w:r>
          </w:p>
        </w:tc>
        <w:tc>
          <w:tcPr>
            <w:tcW w:w="280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Gulf War / kinetic environment</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6.2</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4.0</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0.0</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7.2</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MSS</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NOT BREACHED</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7</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29 Mar</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Governance fragmentation / monetary pluralism</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6.2</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5.6</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4.0</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6.4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SRF/MSS</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BREACHED</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8</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30 Mar</w:t>
            </w:r>
          </w:p>
        </w:tc>
        <w:tc>
          <w:tcPr>
            <w:tcW w:w="280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Institutional withdrawal / substrate collapse</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6.0</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4.4</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3.3</w:t>
            </w:r>
          </w:p>
        </w:tc>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7.0</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MSS</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HIGH</w:t>
            </w:r>
          </w:p>
        </w:tc>
        <w:tc>
          <w:tcPr>
            <w:tcW w:w="10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3F10ED" w:rsidRDefault="00000000">
            <w:r>
              <w:rPr>
                <w:color w:val="000000"/>
                <w:sz w:val="20"/>
                <w:szCs w:val="20"/>
              </w:rPr>
              <w:t>BREACHED</w:t>
            </w:r>
          </w:p>
        </w:tc>
      </w:tr>
      <w:tr w:rsidR="003F10ED">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9</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3 Apr</w:t>
            </w:r>
          </w:p>
        </w:tc>
        <w:tc>
          <w:tcPr>
            <w:tcW w:w="28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Legitimacy collapse / militarization</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5.6</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5.4</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3.2</w:t>
            </w:r>
          </w:p>
        </w:tc>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6.4</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MSS</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CRITICAL</w:t>
            </w:r>
          </w:p>
        </w:tc>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3F10ED" w:rsidRDefault="00000000">
            <w:r>
              <w:rPr>
                <w:color w:val="000000"/>
                <w:sz w:val="20"/>
                <w:szCs w:val="20"/>
              </w:rPr>
              <w:t>BREACHED</w:t>
            </w:r>
          </w:p>
        </w:tc>
      </w:tr>
    </w:tbl>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5. Validation Findings</w:t>
      </w:r>
    </w:p>
    <w:p w:rsidR="003F10ED" w:rsidRDefault="003F10ED">
      <w:pPr>
        <w:pBdr>
          <w:bottom w:val="single" w:sz="6" w:space="1" w:color="4A6FA5"/>
        </w:pBdr>
        <w:spacing w:before="100" w:after="100"/>
      </w:pPr>
    </w:p>
    <w:p w:rsidR="003F10ED" w:rsidRDefault="003F10ED">
      <w:pPr>
        <w:spacing w:before="60" w:after="60"/>
      </w:pPr>
    </w:p>
    <w:p w:rsidR="003F10ED" w:rsidRDefault="00000000">
      <w:pPr>
        <w:pStyle w:val="Heading2"/>
      </w:pPr>
      <w:r>
        <w:t>5.1 Consistency of Output Structure</w:t>
      </w:r>
    </w:p>
    <w:p w:rsidR="003F10ED" w:rsidRDefault="00000000">
      <w:pPr>
        <w:spacing w:before="100" w:after="100" w:line="280" w:lineRule="auto"/>
        <w:jc w:val="both"/>
      </w:pPr>
      <w:r>
        <w:t>All nine cycles produce the full specified output structure: Thoth Score Summary (four dimensional scores with Set deltas), Signal Inventory (minimum five signals with domain classification), DSSM Dimensional Analysis (six-observable FCP table), ISIS Signal Narratives, Osiris Analogue section, Prescriptions (P1-P4), Forward Watch indicators, Falsifiability Conditions, and Outcome Probability estimates. No cycle is missing any primary section. This constitutes evidence of structural consistency across nine runs covering diverse analytical domains.</w:t>
      </w:r>
    </w:p>
    <w:p w:rsidR="003F10ED" w:rsidRDefault="00000000">
      <w:pPr>
        <w:spacing w:before="100" w:after="100" w:line="280" w:lineRule="auto"/>
        <w:jc w:val="both"/>
      </w:pPr>
      <w:r>
        <w:t>The budget tracking telemetry present from Cycle 7 onward (e.g., EUR 1.2720 / EUR 50.00 at EUR 0.0530/cycle) confirms that the system is operating as a genuine automated pipeline with real operational costs, not a manually assembled document series.</w:t>
      </w:r>
    </w:p>
    <w:p w:rsidR="003F10ED" w:rsidRDefault="003F10ED">
      <w:pPr>
        <w:spacing w:before="60" w:after="60"/>
      </w:pPr>
    </w:p>
    <w:p w:rsidR="003F10ED" w:rsidRDefault="00000000">
      <w:pPr>
        <w:pStyle w:val="Heading2"/>
      </w:pPr>
      <w:r>
        <w:t>5.2 Set Adversarial Challenge: Substantive vs. Formulaic</w:t>
      </w:r>
    </w:p>
    <w:p w:rsidR="003F10ED" w:rsidRDefault="00000000">
      <w:pPr>
        <w:spacing w:before="100" w:after="100" w:line="280" w:lineRule="auto"/>
        <w:jc w:val="both"/>
      </w:pPr>
      <w:r>
        <w:t>The critical test of any adversarial challenge mechanism is whether its reductions are substantively justified or mechanically applied. Across the nine cycles, Set challenge behavior demonstrates three characteristics that distinguish substantive from formulaic adversarial processing:</w:t>
      </w:r>
    </w:p>
    <w:p w:rsidR="003F10ED" w:rsidRDefault="00000000">
      <w:pPr>
        <w:pStyle w:val="ListParagraph"/>
        <w:numPr>
          <w:ilvl w:val="0"/>
          <w:numId w:val="2"/>
        </w:numPr>
        <w:spacing w:before="60" w:after="60"/>
      </w:pPr>
      <w:r>
        <w:t>Variable delta magnitude: Set reductions range from -0.2 (Cycle 7, IC dimension) to -2.8 (Council Cycle 2, peace talks signal reduced to 0.0). The distribution is not uniform, indicating sensitivity to signal quality.</w:t>
      </w:r>
    </w:p>
    <w:p w:rsidR="003F10ED" w:rsidRDefault="00000000">
      <w:pPr>
        <w:pStyle w:val="ListParagraph"/>
        <w:numPr>
          <w:ilvl w:val="0"/>
          <w:numId w:val="2"/>
        </w:numPr>
        <w:spacing w:before="60" w:after="60"/>
      </w:pPr>
      <w:r>
        <w:t>Domain-specific challenge types: Set consistently flags lagging-indicator errors on kinetic reporting signals, causal-reversal errors on market signals treated as governance drivers, and speculative-framing errors on forward-projection signals. Challenge types vary by signal type.</w:t>
      </w:r>
    </w:p>
    <w:p w:rsidR="003F10ED" w:rsidRDefault="00000000">
      <w:pPr>
        <w:pStyle w:val="ListParagraph"/>
        <w:numPr>
          <w:ilvl w:val="0"/>
          <w:numId w:val="2"/>
        </w:numPr>
        <w:spacing w:before="60" w:after="60"/>
      </w:pPr>
      <w:r>
        <w:t>Rejection of weak challenges: In cycles where signals survived adversarial pressure with zero reduction, the cycle notes explicitly record why the challenge was rejected. This is the signature of a mechanism performing genuine evaluation rather than threshold-based adjustment.</w:t>
      </w:r>
    </w:p>
    <w:p w:rsidR="003F10ED" w:rsidRDefault="003F10ED">
      <w:pPr>
        <w:spacing w:before="60" w:after="60"/>
      </w:pPr>
    </w:p>
    <w:p w:rsidR="003F10ED" w:rsidRDefault="00000000">
      <w:pPr>
        <w:spacing w:before="100" w:after="100" w:line="280" w:lineRule="auto"/>
        <w:jc w:val="both"/>
      </w:pPr>
      <w:r>
        <w:t>The most analytically significant Set challenge in the corpus appears in Cycle 5, where the signal 'Predictive Control Collapse' (US-Israel 'short war' script falsified by Iranian ballistic strikes) scores SRF 8.9---the highest non-sovereignty-violation reading in the corpus---and Set does not reduce it. The cycle records this explicitly: the adversarial challenge was applied and the signal held. That is the system identifying its own highest-confidence reading.</w:t>
      </w:r>
    </w:p>
    <w:p w:rsidR="003F10ED" w:rsidRDefault="003F10ED">
      <w:pPr>
        <w:spacing w:before="60" w:after="60"/>
      </w:pPr>
    </w:p>
    <w:p w:rsidR="003F10ED" w:rsidRDefault="00000000">
      <w:pPr>
        <w:pStyle w:val="Heading2"/>
      </w:pPr>
      <w:r>
        <w:t>5.3 Dimensional Discrimination by Query Type</w:t>
      </w:r>
    </w:p>
    <w:p w:rsidR="003F10ED" w:rsidRDefault="00000000">
      <w:pPr>
        <w:spacing w:before="100" w:after="100" w:line="280" w:lineRule="auto"/>
        <w:jc w:val="both"/>
      </w:pPr>
      <w:r>
        <w:lastRenderedPageBreak/>
        <w:t>A multi-agent framework that scores all queries similarly regardless of domain has not achieved meaningful discrimination. The nine-cycle corpus demonstrates clear dimensional discrimination:</w:t>
      </w:r>
    </w:p>
    <w:p w:rsidR="003F10ED" w:rsidRDefault="00000000">
      <w:pPr>
        <w:pStyle w:val="ListParagraph"/>
        <w:numPr>
          <w:ilvl w:val="0"/>
          <w:numId w:val="2"/>
        </w:numPr>
        <w:spacing w:before="60" w:after="60"/>
      </w:pPr>
      <w:r>
        <w:t>AGF (AI Governance Fragmentation) scores at 0.0 in Cycle 6 (pure kinetic Gulf War query) and at 8.0 in Cycle 4 (infrastructure sovereignty / AI governance query). The system correctly identifies when AI governance is the operative analytical frame and when it is not.</w:t>
      </w:r>
    </w:p>
    <w:p w:rsidR="003F10ED" w:rsidRDefault="00000000">
      <w:pPr>
        <w:pStyle w:val="ListParagraph"/>
        <w:numPr>
          <w:ilvl w:val="0"/>
          <w:numId w:val="2"/>
        </w:numPr>
        <w:spacing w:before="60" w:after="60"/>
      </w:pPr>
      <w:r>
        <w:t>MSS (Macro Symbolic Shift) is the dominant dimension in five of nine cycles, but its specific value varies from 6.3 (Cycle 5) to 7.8 (Cycle 3), tracking the intensity of civilizational realignment signals in each query.</w:t>
      </w:r>
    </w:p>
    <w:p w:rsidR="003F10ED" w:rsidRDefault="00000000">
      <w:pPr>
        <w:pStyle w:val="ListParagraph"/>
        <w:numPr>
          <w:ilvl w:val="0"/>
          <w:numId w:val="2"/>
        </w:numPr>
        <w:spacing w:before="60" w:after="60"/>
      </w:pPr>
      <w:r>
        <w:t>SRF (Symbolic Regulation Failure) dominates in Cycles 5 and partially 7, where the operative stress is in normative frameworks rather than material or institutional structures.</w:t>
      </w:r>
    </w:p>
    <w:p w:rsidR="003F10ED" w:rsidRDefault="00000000">
      <w:pPr>
        <w:spacing w:before="100" w:after="100" w:line="280" w:lineRule="auto"/>
        <w:jc w:val="both"/>
      </w:pPr>
      <w:r>
        <w:t>This pattern of dimensional discrimination is what the DSSM theoretical framework predicts: different crisis types activate different dimensional profiles, and a scoring system that fails to produce differentiated profiles is not correctly applying the framework.</w:t>
      </w:r>
    </w:p>
    <w:p w:rsidR="003F10ED" w:rsidRDefault="003F10ED">
      <w:pPr>
        <w:spacing w:before="60" w:after="60"/>
      </w:pPr>
    </w:p>
    <w:p w:rsidR="003F10ED" w:rsidRDefault="00000000">
      <w:pPr>
        <w:pStyle w:val="Heading2"/>
      </w:pPr>
      <w:r>
        <w:t>5.4 Threat Level Escalation</w:t>
      </w:r>
    </w:p>
    <w:p w:rsidR="003F10ED" w:rsidRDefault="00000000">
      <w:pPr>
        <w:spacing w:before="100" w:after="100" w:line="280" w:lineRule="auto"/>
        <w:jc w:val="both"/>
      </w:pPr>
      <w:r>
        <w:t>Cycles 3 through 8 maintain a consistent HIGH threat level. Cycle 9 (3 April 2026) escalates to CRITICAL. The cycle records the reason explicitly: multi-domain legitimacy collapse across five concurrent domains, with the 48-Hour Threshold at 92% escalation probability below a 24-hour window.</w:t>
      </w:r>
    </w:p>
    <w:p w:rsidR="003F10ED" w:rsidRDefault="00000000">
      <w:pPr>
        <w:spacing w:before="100" w:after="100" w:line="280" w:lineRule="auto"/>
        <w:jc w:val="both"/>
      </w:pPr>
      <w:r>
        <w:t>This escalation is not the result of a single high-scoring signal. It is the system's aggregate assessment of cumulative structural deterioration across the nine-cycle window. The progression from APPROACHING threshold (Cycle 3) through ELEVATED (Cycles 4 and 5) through BREACHED (Cycles 7, 8, and 9) represents the 48H mechanism functioning as a genuine structural escalation detector---tracking the compression of the decision window over time rather than flagging independently on each cycle.</w:t>
      </w:r>
    </w:p>
    <w:p w:rsidR="003F10ED" w:rsidRDefault="003F10ED">
      <w:pPr>
        <w:spacing w:before="60" w:after="60"/>
      </w:pPr>
    </w:p>
    <w:p w:rsidR="003F10ED" w:rsidRDefault="00000000">
      <w:pPr>
        <w:pStyle w:val="Heading2"/>
      </w:pPr>
      <w:r>
        <w:t>5.5 Falsifiability Infrastructure</w:t>
      </w:r>
    </w:p>
    <w:p w:rsidR="003F10ED" w:rsidRDefault="00000000">
      <w:pPr>
        <w:spacing w:before="100" w:after="100" w:line="280" w:lineRule="auto"/>
        <w:jc w:val="both"/>
      </w:pPr>
      <w:r>
        <w:t>Every cycle includes Forward Watch indicators and explicit Falsifiability Conditions specifying what observable events would demonstrate that the cycle's primary claims are incorrect. This is not decorative---it is the formal commitment that distinguishes analytical frameworks from assertion systems. The presence of falsifiability infrastructure across all nine cycles, including the specification of which conditions would require downward revision of which probability estimates, constitutes the primary evidence that NETJERU is operating as an analytical system rather than a narrative generator.</w:t>
      </w:r>
    </w:p>
    <w:p w:rsidR="003F10ED" w:rsidRDefault="003F10ED">
      <w:pPr>
        <w:spacing w:before="60" w:after="60"/>
      </w:pPr>
    </w:p>
    <w:p w:rsidR="003F10ED" w:rsidRDefault="003F10ED">
      <w:pPr>
        <w:spacing w:before="60" w:after="60"/>
      </w:pPr>
    </w:p>
    <w:p w:rsidR="003F10ED" w:rsidRDefault="00000000">
      <w:pPr>
        <w:pStyle w:val="Heading1"/>
      </w:pPr>
      <w:r>
        <w:lastRenderedPageBreak/>
        <w:t>6. Identified Limitations</w:t>
      </w:r>
    </w:p>
    <w:p w:rsidR="003F10ED" w:rsidRDefault="003F10ED">
      <w:pPr>
        <w:pBdr>
          <w:bottom w:val="single" w:sz="6" w:space="1" w:color="4A6FA5"/>
        </w:pBdr>
        <w:spacing w:before="100" w:after="100"/>
      </w:pPr>
    </w:p>
    <w:p w:rsidR="003F10ED" w:rsidRDefault="003F10ED">
      <w:pPr>
        <w:spacing w:before="60" w:after="60"/>
      </w:pPr>
    </w:p>
    <w:p w:rsidR="003F10ED" w:rsidRDefault="00000000">
      <w:pPr>
        <w:pStyle w:val="Heading2"/>
      </w:pPr>
      <w:r>
        <w:t>6.1 Osiris Analogue Surfacing</w:t>
      </w:r>
    </w:p>
    <w:p w:rsidR="003F10ED" w:rsidRDefault="00000000">
      <w:pPr>
        <w:spacing w:before="100" w:after="100" w:line="280" w:lineRule="auto"/>
        <w:jc w:val="both"/>
      </w:pPr>
      <w:r>
        <w:t>The NETJERU architecture specifies Osiris as a structured fingerprint retrieval agent producing pattern-weighted analogue matches against a validated historical library. In the nine-cycle corpus, Osiris analogues appear in narrative form within the ISIS signal sections and are referenced across multiple cycles (Late Bronze Age Collapse, Uruk IV crystallization, Roman Imperial fragmentation, Able Archer 1983). However, Osiris does not produce a discrete labeled output section in every cycle with explicit pattern weights as specified in the architecture paper. This represents a gap between architectural specification and output documentation. The analogues are present and analytically substantive; the structured retrieval format is not consistently visible in the published cycle documents.</w:t>
      </w:r>
    </w:p>
    <w:p w:rsidR="003F10ED" w:rsidRDefault="003F10ED">
      <w:pPr>
        <w:spacing w:before="60" w:after="60"/>
      </w:pPr>
    </w:p>
    <w:p w:rsidR="003F10ED" w:rsidRDefault="00000000">
      <w:pPr>
        <w:pStyle w:val="Heading2"/>
      </w:pPr>
      <w:r>
        <w:t>6.2 Horus Gate Visibility</w:t>
      </w:r>
    </w:p>
    <w:p w:rsidR="003F10ED" w:rsidRDefault="00000000">
      <w:pPr>
        <w:spacing w:before="100" w:after="100" w:line="280" w:lineRule="auto"/>
        <w:jc w:val="both"/>
      </w:pPr>
      <w:r>
        <w:t>The NETJERU architecture specifies a mandatory human approval checkpoint (Horus gate) that cannot be bypassed in code. The cycle documents do not include a labeled Horus Gate section recording the approval decision. This means the published cycle corpus does not provide direct evidence of the approval mechanism's operation. The human operator (Anthony Vondoom) confirms that review occurred for each published cycle, but the gate is not documented in the output record. For future publication cycles, a brief Horus gate record (date, status: APPROVED / REVISED / HELD) would close this gap.</w:t>
      </w:r>
    </w:p>
    <w:p w:rsidR="003F10ED" w:rsidRDefault="003F10ED">
      <w:pPr>
        <w:spacing w:before="60" w:after="60"/>
      </w:pPr>
    </w:p>
    <w:p w:rsidR="003F10ED" w:rsidRDefault="00000000">
      <w:pPr>
        <w:pStyle w:val="Heading2"/>
      </w:pPr>
      <w:r>
        <w:t>6.3 Template Field in Cycle 6</w:t>
      </w:r>
    </w:p>
    <w:p w:rsidR="003F10ED" w:rsidRDefault="00000000">
      <w:pPr>
        <w:spacing w:before="100" w:after="100" w:line="280" w:lineRule="auto"/>
        <w:jc w:val="both"/>
      </w:pPr>
      <w:r>
        <w:t>Cycle 6 contains an unfilled template field: 'CUMULATIVE SYSTEM COST: EUR [system cost] (Cycle #[N] of NETJERU v1.0)'. This is a production error in the cycle document, not an analytical failure. The budget tracking was populated correctly in subsequent cycles. The field should be corrected in the cycle record before formal archival submission.</w:t>
      </w:r>
    </w:p>
    <w:p w:rsidR="003F10ED" w:rsidRDefault="003F10ED">
      <w:pPr>
        <w:spacing w:before="60" w:after="60"/>
      </w:pPr>
    </w:p>
    <w:p w:rsidR="003F10ED" w:rsidRDefault="00000000">
      <w:pPr>
        <w:pStyle w:val="Heading2"/>
      </w:pPr>
      <w:r>
        <w:t>6.4 Scoring Scale Documentation</w:t>
      </w:r>
    </w:p>
    <w:p w:rsidR="003F10ED" w:rsidRDefault="00000000">
      <w:pPr>
        <w:spacing w:before="100" w:after="100" w:line="280" w:lineRule="auto"/>
        <w:jc w:val="both"/>
      </w:pPr>
      <w:r>
        <w:t xml:space="preserve">The cycle Thoth Score Summary (Section I) reports aggregate dimensional scores on a 0-10 scale. The DSSM Dimensional Analysis (Section III) uses the six-observable FCP breakdown on a 0-2 per observable scale. These are measuring structurally different things---live signal composite scoring versus archaeological toolkit observables---but their relationship is not explicitly bridged within the cycle documents. A reader encountering any single cycle cannot </w:t>
      </w:r>
      <w:r>
        <w:lastRenderedPageBreak/>
        <w:t>immediately identify why two different scoring systems are operating simultaneously. A brief methodological note in the cycle header, or a standard footnote, would resolve this.</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7. Cross-Cycle Analytical Patterns</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Three analytical patterns emerge from the nine-cycle corpus that are not visible within any individual cycle and constitute findings of the validation process itself.</w:t>
      </w:r>
    </w:p>
    <w:p w:rsidR="003F10ED" w:rsidRDefault="003F10ED">
      <w:pPr>
        <w:spacing w:before="60" w:after="60"/>
      </w:pPr>
    </w:p>
    <w:p w:rsidR="003F10ED" w:rsidRDefault="00000000">
      <w:pPr>
        <w:pStyle w:val="Heading2"/>
      </w:pPr>
      <w:r>
        <w:t>7.1 AGF as Structural Risk vs. Observable Score</w:t>
      </w:r>
    </w:p>
    <w:p w:rsidR="003F10ED" w:rsidRDefault="00000000">
      <w:pPr>
        <w:spacing w:before="100" w:after="100" w:line="280" w:lineRule="auto"/>
        <w:jc w:val="both"/>
      </w:pPr>
      <w:r>
        <w:t>AI Governance Fragmentation scores at or near zero in all kinetic-conflict-dominated cycles (Cycles 6, 7, 8) despite the cycles consistently noting that AGF structural risk is the highest-urgency single failure point in the decision environment. This pattern is analytically correct and architecturally intended: the dimension scores observable signals in the corpus, not structural background risk. The consistent AGF caveat across cycles where observable scores are low demonstrates that the system distinguishes between what it can measure and what it assesses as structurally dangerous. This distinction---observable evidence versus structural inference---is among the most important epistemological commitments in the NETJERU framework.</w:t>
      </w:r>
    </w:p>
    <w:p w:rsidR="003F10ED" w:rsidRDefault="003F10ED">
      <w:pPr>
        <w:spacing w:before="60" w:after="60"/>
      </w:pPr>
    </w:p>
    <w:p w:rsidR="003F10ED" w:rsidRDefault="00000000">
      <w:pPr>
        <w:pStyle w:val="Heading2"/>
      </w:pPr>
      <w:r>
        <w:t>7.2 MSS as Civilizational Baseline</w:t>
      </w:r>
    </w:p>
    <w:p w:rsidR="003F10ED" w:rsidRDefault="00000000">
      <w:pPr>
        <w:spacing w:before="100" w:after="100" w:line="280" w:lineRule="auto"/>
        <w:jc w:val="both"/>
      </w:pPr>
      <w:r>
        <w:t>Macro Symbolic Shift is the dominant or co-dominant dimension in seven of nine cycles, with values consistently in the 6.3-7.8 range. This consistency is not an artifact of a dimension that scores everything highly; AGF discriminates sharply between query types and IC shows genuine variation. MSS's consistent elevation reflects the system's reading of the current historical moment: multiple fundamental organizing frameworks of the global order---monetary hierarchy, deterrence architecture, legitimacy conventions, AI governance grammar---are in simultaneous active transition. The nine-cycle corpus constitutes a structural reading of the current period as a civilizational threshold, not a collection of independent crises.</w:t>
      </w:r>
    </w:p>
    <w:p w:rsidR="003F10ED" w:rsidRDefault="003F10ED">
      <w:pPr>
        <w:spacing w:before="60" w:after="60"/>
      </w:pPr>
    </w:p>
    <w:p w:rsidR="003F10ED" w:rsidRDefault="00000000">
      <w:pPr>
        <w:pStyle w:val="Heading2"/>
      </w:pPr>
      <w:r>
        <w:t>7.3 SSI Stage Stability</w:t>
      </w:r>
    </w:p>
    <w:p w:rsidR="003F10ED" w:rsidRDefault="00000000">
      <w:pPr>
        <w:spacing w:before="100" w:after="100" w:line="280" w:lineRule="auto"/>
        <w:jc w:val="both"/>
      </w:pPr>
      <w:r>
        <w:t>The Symbolic Stabilization Index (SSI) scores between 3/8 and 5/8 across all nine cycles, consistently in Stage 2 (Ritualized Repetition) with one cycle (Cycle 8) crossing into Stage 3 (Material Amplification). This stability is itself significant: the system is not detecting saturation into Stage 4 institutional architecture, which would indicate the new governance grammar has crystallized and locked in. The persistent Stage 2-3 reading indicates the system is operating in the transition window---the period during which first-mover crystallization remains structurally possible and the outcome remains structurally undetermined.</w:t>
      </w:r>
    </w:p>
    <w:p w:rsidR="003F10ED" w:rsidRDefault="003F10ED">
      <w:pPr>
        <w:spacing w:before="60" w:after="60"/>
      </w:pPr>
    </w:p>
    <w:p w:rsidR="003F10ED" w:rsidRDefault="003F10ED">
      <w:pPr>
        <w:spacing w:before="60" w:after="60"/>
      </w:pPr>
    </w:p>
    <w:p w:rsidR="003F10ED" w:rsidRDefault="00000000">
      <w:pPr>
        <w:pStyle w:val="Heading1"/>
      </w:pPr>
      <w:r>
        <w:lastRenderedPageBreak/>
        <w:t>8. Discussion</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The nine-cycle corpus provides sufficient evidence to address the primary validation question: does NETJERU behave as its architecture specifies? The answer is substantially yes, with the three identified limitations representing documentation gaps rather than analytical failures.</w:t>
      </w:r>
    </w:p>
    <w:p w:rsidR="003F10ED" w:rsidRDefault="00000000">
      <w:pPr>
        <w:spacing w:before="100" w:after="100" w:line="280" w:lineRule="auto"/>
        <w:jc w:val="both"/>
      </w:pPr>
      <w:r>
        <w:t>The more significant question is whether the multi-agent architecture produces meaningfully better analytical outputs than a single-model system would. This paper cannot answer that question definitively because no controlled comparison exists. What it can establish is the structural preconditions for such a comparison: NETJERU produces outputs that are falsifiable, consistently structured, adversarially challenged with documented justification, and dimensionally discriminated across query types. These are the properties that would make a comparison methodologically meaningful.</w:t>
      </w:r>
    </w:p>
    <w:p w:rsidR="003F10ED" w:rsidRDefault="00000000">
      <w:pPr>
        <w:spacing w:before="100" w:after="100" w:line="280" w:lineRule="auto"/>
        <w:jc w:val="both"/>
      </w:pPr>
      <w:r>
        <w:t>The connection between NETJERU and The Council---the companion system for topic-specific deep analysis---represents a gap in the current validation corpus. Cycles 6, 7, and 8 of NETJERU overlap temporally with Cycles 1-6 of The Council, both covering the 2026 Gulf War. The two systems are producing structurally complementary analyses---NETJERU identifying civilizational-scale realignment; The Council assessing specific operational dynamics, actor leverage, and decision windows---but the cross-system referencing that would make this complementarity explicit is not present in the current cycle documents. A cross-reference structure in future cycles would strengthen both systems' analytical output.</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9. Conclusion</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This paper has presented the empirical record of NETJERU across nine operational cycles and assessed the degree to which that record validates the system's architectural specifications. The core findings are:</w:t>
      </w:r>
    </w:p>
    <w:p w:rsidR="003F10ED" w:rsidRDefault="00000000">
      <w:pPr>
        <w:pStyle w:val="ListParagraph"/>
        <w:numPr>
          <w:ilvl w:val="0"/>
          <w:numId w:val="2"/>
        </w:numPr>
        <w:spacing w:before="60" w:after="60"/>
      </w:pPr>
      <w:r>
        <w:t>Output structure is consistent and complete across all nine cycles covering diverse analytical domains.</w:t>
      </w:r>
    </w:p>
    <w:p w:rsidR="003F10ED" w:rsidRDefault="00000000">
      <w:pPr>
        <w:pStyle w:val="ListParagraph"/>
        <w:numPr>
          <w:ilvl w:val="0"/>
          <w:numId w:val="2"/>
        </w:numPr>
        <w:spacing w:before="60" w:after="60"/>
      </w:pPr>
      <w:r>
        <w:t>The Set adversarial challenge mechanism produces substantive, domain-sensitive reductions that distinguish it from mechanical threshold adjustment.</w:t>
      </w:r>
    </w:p>
    <w:p w:rsidR="003F10ED" w:rsidRDefault="00000000">
      <w:pPr>
        <w:pStyle w:val="ListParagraph"/>
        <w:numPr>
          <w:ilvl w:val="0"/>
          <w:numId w:val="2"/>
        </w:numPr>
        <w:spacing w:before="60" w:after="60"/>
      </w:pPr>
      <w:r>
        <w:t>Dimensional scoring discriminates meaningfully between query types, with AGF particularly sensitive to whether AI governance is the operative analytical frame.</w:t>
      </w:r>
    </w:p>
    <w:p w:rsidR="003F10ED" w:rsidRDefault="00000000">
      <w:pPr>
        <w:pStyle w:val="ListParagraph"/>
        <w:numPr>
          <w:ilvl w:val="0"/>
          <w:numId w:val="2"/>
        </w:numPr>
        <w:spacing w:before="60" w:after="60"/>
      </w:pPr>
      <w:r>
        <w:t>The 48-Hour Threshold mechanism tracks structural escalation across the nine-cycle window, correctly progressing from APPROACHING through BREACHED and supporting the threat level escalation from HIGH to CRITICAL.</w:t>
      </w:r>
    </w:p>
    <w:p w:rsidR="003F10ED" w:rsidRDefault="00000000">
      <w:pPr>
        <w:pStyle w:val="ListParagraph"/>
        <w:numPr>
          <w:ilvl w:val="0"/>
          <w:numId w:val="2"/>
        </w:numPr>
        <w:spacing w:before="60" w:after="60"/>
      </w:pPr>
      <w:r>
        <w:t>Falsifiability infrastructure is present and specific across all cycles.</w:t>
      </w:r>
    </w:p>
    <w:p w:rsidR="003F10ED" w:rsidRDefault="00000000">
      <w:pPr>
        <w:spacing w:before="100" w:after="100" w:line="280" w:lineRule="auto"/>
        <w:jc w:val="both"/>
      </w:pPr>
      <w:r>
        <w:t>The identified limitations---Osiris surfacing, Horus gate documentation, template field error, and scoring scale bridge---are addressable through documentation improvements rather than architectural changes. They do not undermine the core validation finding.</w:t>
      </w:r>
    </w:p>
    <w:p w:rsidR="003F10ED" w:rsidRDefault="00000000">
      <w:pPr>
        <w:spacing w:before="100" w:after="100" w:line="280" w:lineRule="auto"/>
        <w:jc w:val="both"/>
      </w:pPr>
      <w:r>
        <w:t>Nine operational cycles over eleven days constitute a limited empirical base. The appropriate response is continued deployment and documentation, with the cross-cycle patterns identified in Section 7 as the analytical questions most worth tracking across future cycles.</w:t>
      </w:r>
    </w:p>
    <w:p w:rsidR="003F10ED" w:rsidRDefault="003F10ED">
      <w:pPr>
        <w:spacing w:before="60" w:after="60"/>
      </w:pPr>
    </w:p>
    <w:p w:rsidR="003F10ED" w:rsidRDefault="003F10ED">
      <w:pPr>
        <w:spacing w:before="60" w:after="60"/>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4C3F22" w:rsidRDefault="004C3F22">
      <w:pPr>
        <w:pStyle w:val="Heading1"/>
      </w:pPr>
    </w:p>
    <w:p w:rsidR="003F10ED" w:rsidRDefault="00000000">
      <w:pPr>
        <w:pStyle w:val="Heading1"/>
      </w:pPr>
      <w:r>
        <w:lastRenderedPageBreak/>
        <w:t>References</w:t>
      </w:r>
    </w:p>
    <w:p w:rsidR="003F10ED" w:rsidRDefault="003F10ED">
      <w:pPr>
        <w:pBdr>
          <w:bottom w:val="single" w:sz="6" w:space="1" w:color="4A6FA5"/>
        </w:pBdr>
        <w:spacing w:before="100" w:after="100"/>
      </w:pPr>
    </w:p>
    <w:p w:rsidR="003F10ED" w:rsidRDefault="003F10ED">
      <w:pPr>
        <w:spacing w:before="60" w:after="60"/>
      </w:pPr>
    </w:p>
    <w:p w:rsidR="003F10ED" w:rsidRDefault="00000000">
      <w:pPr>
        <w:spacing w:before="100" w:after="100" w:line="280" w:lineRule="auto"/>
        <w:jc w:val="both"/>
      </w:pPr>
      <w:r>
        <w:t>[1] Vondoom, A. (2026). NETJERU: A Multi-Stage, Multi-Agent Intelligence Analysis Framework with Adversarial Epistemological Controls. Zenodo. https://doi.org/10.5281/zenodo.19388884</w:t>
      </w:r>
    </w:p>
    <w:p w:rsidR="003F10ED" w:rsidRDefault="00000000">
      <w:pPr>
        <w:spacing w:before="100" w:after="100" w:line="280" w:lineRule="auto"/>
        <w:jc w:val="both"/>
      </w:pPr>
      <w:r>
        <w:t>[2] Vondoom, A. (2026). Civilization Is Rehearsed: The Deep Symbolic Systems Model. OSF/Zenodo. [DSSM Master Synthesis]</w:t>
      </w:r>
    </w:p>
    <w:p w:rsidR="003F10ED" w:rsidRDefault="00000000">
      <w:pPr>
        <w:spacing w:before="100" w:after="100" w:line="280" w:lineRule="auto"/>
        <w:jc w:val="both"/>
      </w:pPr>
      <w:r>
        <w:t>[3] Vondoom, A. (2026). The Council: An Automated Multi-Agent Intelligence System for Macro-Symbolic Stress Detection. Zenodo. https://doi.org/10.5281/zenodo.19391718</w:t>
      </w:r>
    </w:p>
    <w:p w:rsidR="003F10ED" w:rsidRDefault="00000000">
      <w:pPr>
        <w:spacing w:before="100" w:after="100" w:line="280" w:lineRule="auto"/>
        <w:jc w:val="both"/>
      </w:pPr>
      <w:r>
        <w:t>[4] Donald, M. (1991). Origins of the Modern Mind: Three Stages in the Evolution of Culture and Cognition. Harvard University Press.</w:t>
      </w:r>
    </w:p>
    <w:p w:rsidR="003F10ED" w:rsidRDefault="00000000">
      <w:pPr>
        <w:spacing w:before="100" w:after="100" w:line="280" w:lineRule="auto"/>
        <w:jc w:val="both"/>
      </w:pPr>
      <w:r>
        <w:t>[5] Deacon, T. (1997). The Symbolic Species: The Co-evolution of Language and the Brain. W.W. Norton.</w:t>
      </w:r>
    </w:p>
    <w:p w:rsidR="003F10ED" w:rsidRDefault="00000000">
      <w:pPr>
        <w:spacing w:before="100" w:after="100" w:line="280" w:lineRule="auto"/>
        <w:jc w:val="both"/>
      </w:pPr>
      <w:r>
        <w:t>[6] Aubert, M., et al. (2019). Earliest hunting scene in prehistoric art. Nature, 576, 442-445.</w:t>
      </w:r>
    </w:p>
    <w:p w:rsidR="003F10ED" w:rsidRDefault="00000000">
      <w:pPr>
        <w:spacing w:before="100" w:after="100" w:line="280" w:lineRule="auto"/>
        <w:jc w:val="both"/>
      </w:pPr>
      <w:r>
        <w:t>[7] Kahneman, D. (2011). Thinking, Fast and Slow. Farrar, Straus and Giroux.</w:t>
      </w:r>
    </w:p>
    <w:p w:rsidR="003F10ED" w:rsidRDefault="00000000">
      <w:pPr>
        <w:spacing w:before="100" w:after="100" w:line="280" w:lineRule="auto"/>
        <w:jc w:val="both"/>
      </w:pPr>
      <w:r>
        <w:t>[8] Bender, E. M., et al. (2021). On the Dangers of Stochastic Parrots: Can Language Models Be Too Big? FAccT 2021.</w:t>
      </w:r>
    </w:p>
    <w:p w:rsidR="003F10ED" w:rsidRDefault="00000000">
      <w:pPr>
        <w:spacing w:before="100" w:after="100" w:line="280" w:lineRule="auto"/>
        <w:jc w:val="both"/>
      </w:pPr>
      <w:r>
        <w:t>[9] Tetlock, P. E., &amp; Gardner, D. (2015). Superforecasting: The Art and Science of Prediction. Crown Publishers.</w:t>
      </w:r>
    </w:p>
    <w:p w:rsidR="003F10ED" w:rsidRDefault="003F10ED">
      <w:pPr>
        <w:spacing w:before="60" w:after="60"/>
      </w:pPr>
    </w:p>
    <w:p w:rsidR="003F10ED" w:rsidRDefault="003F10ED">
      <w:pPr>
        <w:spacing w:before="60" w:after="60"/>
      </w:pPr>
    </w:p>
    <w:p w:rsidR="003F10ED" w:rsidRDefault="00000000">
      <w:pPr>
        <w:spacing w:before="200" w:after="200"/>
        <w:jc w:val="center"/>
      </w:pPr>
      <w:r>
        <w:rPr>
          <w:color w:val="888888"/>
          <w:sz w:val="18"/>
          <w:szCs w:val="18"/>
        </w:rPr>
        <w:t>© Anthony Vondoom 2026 · All rights reserved · NETJERU Intelligence System</w:t>
      </w:r>
    </w:p>
    <w:sectPr w:rsidR="003F10ED">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522C" w:rsidRDefault="00B1522C">
      <w:r>
        <w:separator/>
      </w:r>
    </w:p>
  </w:endnote>
  <w:endnote w:type="continuationSeparator" w:id="0">
    <w:p w:rsidR="00B1522C" w:rsidRDefault="00B1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0ED" w:rsidRDefault="00000000">
    <w:pPr>
      <w:pBdr>
        <w:top w:val="single" w:sz="4" w:space="1" w:color="C9A84C"/>
      </w:pBdr>
      <w:tabs>
        <w:tab w:val="right" w:pos="9360"/>
      </w:tabs>
    </w:pPr>
    <w:r>
      <w:rPr>
        <w:color w:val="666666"/>
        <w:sz w:val="18"/>
        <w:szCs w:val="18"/>
      </w:rPr>
      <w:t xml:space="preserve">© </w:t>
    </w:r>
    <w:r>
      <w:rPr>
        <w:color w:val="666666"/>
        <w:sz w:val="18"/>
        <w:szCs w:val="18"/>
      </w:rPr>
      <w:t>Anthony Vondoom 2026 · ORCID: 0009-0003-4953-1427</w:t>
    </w:r>
    <w:r>
      <w:rPr>
        <w:sz w:val="18"/>
        <w:szCs w:val="18"/>
      </w:rPr>
      <w:tab/>
    </w:r>
    <w:r>
      <w:fldChar w:fldCharType="begin"/>
    </w:r>
    <w:r>
      <w:instrText>PAGE</w:instrText>
    </w:r>
    <w:r>
      <w:fldChar w:fldCharType="separate"/>
    </w:r>
    <w:r w:rsidR="004C3F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522C" w:rsidRDefault="00B1522C">
      <w:r>
        <w:separator/>
      </w:r>
    </w:p>
  </w:footnote>
  <w:footnote w:type="continuationSeparator" w:id="0">
    <w:p w:rsidR="00B1522C" w:rsidRDefault="00B1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0ED" w:rsidRDefault="00000000" w:rsidP="004C3F22">
    <w:pPr>
      <w:pBdr>
        <w:bottom w:val="single" w:sz="4" w:space="1" w:color="C9A84C"/>
      </w:pBdr>
      <w:jc w:val="center"/>
      <w:rPr>
        <w:color w:val="666666"/>
        <w:sz w:val="18"/>
        <w:szCs w:val="18"/>
      </w:rPr>
    </w:pPr>
    <w:r>
      <w:rPr>
        <w:color w:val="666666"/>
        <w:sz w:val="18"/>
        <w:szCs w:val="18"/>
      </w:rPr>
      <w:t xml:space="preserve">NETJERU: Empirical Validation </w:t>
    </w:r>
  </w:p>
  <w:p w:rsidR="004C3F22" w:rsidRDefault="004C3F22" w:rsidP="004C3F22">
    <w:pPr>
      <w:pBdr>
        <w:bottom w:val="single" w:sz="4" w:space="1" w:color="C9A84C"/>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6CA3"/>
    <w:multiLevelType w:val="hybridMultilevel"/>
    <w:tmpl w:val="D2D6EE5A"/>
    <w:lvl w:ilvl="0" w:tplc="860850EC">
      <w:start w:val="1"/>
      <w:numFmt w:val="decimal"/>
      <w:lvlText w:val="%1."/>
      <w:lvlJc w:val="left"/>
      <w:pPr>
        <w:ind w:left="720" w:hanging="360"/>
      </w:pPr>
    </w:lvl>
    <w:lvl w:ilvl="1" w:tplc="D63AFF62">
      <w:numFmt w:val="decimal"/>
      <w:lvlText w:val=""/>
      <w:lvlJc w:val="left"/>
    </w:lvl>
    <w:lvl w:ilvl="2" w:tplc="D862AAA0">
      <w:numFmt w:val="decimal"/>
      <w:lvlText w:val=""/>
      <w:lvlJc w:val="left"/>
    </w:lvl>
    <w:lvl w:ilvl="3" w:tplc="4EC8B52C">
      <w:numFmt w:val="decimal"/>
      <w:lvlText w:val=""/>
      <w:lvlJc w:val="left"/>
    </w:lvl>
    <w:lvl w:ilvl="4" w:tplc="FB081030">
      <w:numFmt w:val="decimal"/>
      <w:lvlText w:val=""/>
      <w:lvlJc w:val="left"/>
    </w:lvl>
    <w:lvl w:ilvl="5" w:tplc="51024A44">
      <w:numFmt w:val="decimal"/>
      <w:lvlText w:val=""/>
      <w:lvlJc w:val="left"/>
    </w:lvl>
    <w:lvl w:ilvl="6" w:tplc="9BEEA254">
      <w:numFmt w:val="decimal"/>
      <w:lvlText w:val=""/>
      <w:lvlJc w:val="left"/>
    </w:lvl>
    <w:lvl w:ilvl="7" w:tplc="15281924">
      <w:numFmt w:val="decimal"/>
      <w:lvlText w:val=""/>
      <w:lvlJc w:val="left"/>
    </w:lvl>
    <w:lvl w:ilvl="8" w:tplc="E8ACAF54">
      <w:numFmt w:val="decimal"/>
      <w:lvlText w:val=""/>
      <w:lvlJc w:val="left"/>
    </w:lvl>
  </w:abstractNum>
  <w:abstractNum w:abstractNumId="1" w15:restartNumberingAfterBreak="0">
    <w:nsid w:val="6A94048A"/>
    <w:multiLevelType w:val="hybridMultilevel"/>
    <w:tmpl w:val="AAF63DF2"/>
    <w:lvl w:ilvl="0" w:tplc="CEDEC50A">
      <w:start w:val="1"/>
      <w:numFmt w:val="bullet"/>
      <w:lvlText w:val="•"/>
      <w:lvlJc w:val="left"/>
      <w:pPr>
        <w:ind w:left="720" w:hanging="360"/>
      </w:pPr>
    </w:lvl>
    <w:lvl w:ilvl="1" w:tplc="CBD67E02">
      <w:numFmt w:val="decimal"/>
      <w:lvlText w:val=""/>
      <w:lvlJc w:val="left"/>
    </w:lvl>
    <w:lvl w:ilvl="2" w:tplc="7AB0357E">
      <w:numFmt w:val="decimal"/>
      <w:lvlText w:val=""/>
      <w:lvlJc w:val="left"/>
    </w:lvl>
    <w:lvl w:ilvl="3" w:tplc="97A668F0">
      <w:numFmt w:val="decimal"/>
      <w:lvlText w:val=""/>
      <w:lvlJc w:val="left"/>
    </w:lvl>
    <w:lvl w:ilvl="4" w:tplc="1F9AB7D2">
      <w:numFmt w:val="decimal"/>
      <w:lvlText w:val=""/>
      <w:lvlJc w:val="left"/>
    </w:lvl>
    <w:lvl w:ilvl="5" w:tplc="958ED6B4">
      <w:numFmt w:val="decimal"/>
      <w:lvlText w:val=""/>
      <w:lvlJc w:val="left"/>
    </w:lvl>
    <w:lvl w:ilvl="6" w:tplc="5C8A91B2">
      <w:numFmt w:val="decimal"/>
      <w:lvlText w:val=""/>
      <w:lvlJc w:val="left"/>
    </w:lvl>
    <w:lvl w:ilvl="7" w:tplc="E39EC2F6">
      <w:numFmt w:val="decimal"/>
      <w:lvlText w:val=""/>
      <w:lvlJc w:val="left"/>
    </w:lvl>
    <w:lvl w:ilvl="8" w:tplc="02DCF684">
      <w:numFmt w:val="decimal"/>
      <w:lvlText w:val=""/>
      <w:lvlJc w:val="left"/>
    </w:lvl>
  </w:abstractNum>
  <w:abstractNum w:abstractNumId="2" w15:restartNumberingAfterBreak="0">
    <w:nsid w:val="75242825"/>
    <w:multiLevelType w:val="hybridMultilevel"/>
    <w:tmpl w:val="C09A73FC"/>
    <w:lvl w:ilvl="0" w:tplc="FF0CF8E4">
      <w:start w:val="1"/>
      <w:numFmt w:val="bullet"/>
      <w:lvlText w:val="●"/>
      <w:lvlJc w:val="left"/>
      <w:pPr>
        <w:ind w:left="720" w:hanging="360"/>
      </w:pPr>
    </w:lvl>
    <w:lvl w:ilvl="1" w:tplc="FC3669FC">
      <w:start w:val="1"/>
      <w:numFmt w:val="bullet"/>
      <w:lvlText w:val="○"/>
      <w:lvlJc w:val="left"/>
      <w:pPr>
        <w:ind w:left="1440" w:hanging="360"/>
      </w:pPr>
    </w:lvl>
    <w:lvl w:ilvl="2" w:tplc="6ACA1DC4">
      <w:start w:val="1"/>
      <w:numFmt w:val="bullet"/>
      <w:lvlText w:val="■"/>
      <w:lvlJc w:val="left"/>
      <w:pPr>
        <w:ind w:left="2160" w:hanging="360"/>
      </w:pPr>
    </w:lvl>
    <w:lvl w:ilvl="3" w:tplc="4B487226">
      <w:start w:val="1"/>
      <w:numFmt w:val="bullet"/>
      <w:lvlText w:val="●"/>
      <w:lvlJc w:val="left"/>
      <w:pPr>
        <w:ind w:left="2880" w:hanging="360"/>
      </w:pPr>
    </w:lvl>
    <w:lvl w:ilvl="4" w:tplc="97F07D94">
      <w:start w:val="1"/>
      <w:numFmt w:val="bullet"/>
      <w:lvlText w:val="○"/>
      <w:lvlJc w:val="left"/>
      <w:pPr>
        <w:ind w:left="3600" w:hanging="360"/>
      </w:pPr>
    </w:lvl>
    <w:lvl w:ilvl="5" w:tplc="12165DA4">
      <w:start w:val="1"/>
      <w:numFmt w:val="bullet"/>
      <w:lvlText w:val="■"/>
      <w:lvlJc w:val="left"/>
      <w:pPr>
        <w:ind w:left="4320" w:hanging="360"/>
      </w:pPr>
    </w:lvl>
    <w:lvl w:ilvl="6" w:tplc="DC5076CA">
      <w:start w:val="1"/>
      <w:numFmt w:val="bullet"/>
      <w:lvlText w:val="●"/>
      <w:lvlJc w:val="left"/>
      <w:pPr>
        <w:ind w:left="5040" w:hanging="360"/>
      </w:pPr>
    </w:lvl>
    <w:lvl w:ilvl="7" w:tplc="C3CAB8BC">
      <w:start w:val="1"/>
      <w:numFmt w:val="bullet"/>
      <w:lvlText w:val="●"/>
      <w:lvlJc w:val="left"/>
      <w:pPr>
        <w:ind w:left="5760" w:hanging="360"/>
      </w:pPr>
    </w:lvl>
    <w:lvl w:ilvl="8" w:tplc="BC605712">
      <w:start w:val="1"/>
      <w:numFmt w:val="bullet"/>
      <w:lvlText w:val="●"/>
      <w:lvlJc w:val="left"/>
      <w:pPr>
        <w:ind w:left="6480" w:hanging="360"/>
      </w:pPr>
    </w:lvl>
  </w:abstractNum>
  <w:num w:numId="1" w16cid:durableId="613051029">
    <w:abstractNumId w:val="2"/>
    <w:lvlOverride w:ilvl="0">
      <w:startOverride w:val="1"/>
    </w:lvlOverride>
  </w:num>
  <w:num w:numId="2" w16cid:durableId="2562573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ED"/>
    <w:rsid w:val="003F10ED"/>
    <w:rsid w:val="004C3F22"/>
    <w:rsid w:val="00B1522C"/>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4CE2315E"/>
  <w15:docId w15:val="{1144A668-1674-4749-9108-C74D5D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A1A2E"/>
      <w:sz w:val="32"/>
      <w:szCs w:val="32"/>
    </w:rPr>
  </w:style>
  <w:style w:type="paragraph" w:styleId="Heading2">
    <w:name w:val="heading 2"/>
    <w:uiPriority w:val="9"/>
    <w:unhideWhenUsed/>
    <w:qFormat/>
    <w:pPr>
      <w:spacing w:before="280" w:after="140"/>
      <w:outlineLvl w:val="1"/>
    </w:pPr>
    <w:rPr>
      <w:b/>
      <w:bCs/>
      <w:color w:val="2C3E6E"/>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C3F22"/>
    <w:pPr>
      <w:tabs>
        <w:tab w:val="center" w:pos="4513"/>
        <w:tab w:val="right" w:pos="9026"/>
      </w:tabs>
    </w:pPr>
  </w:style>
  <w:style w:type="character" w:customStyle="1" w:styleId="HeaderChar">
    <w:name w:val="Header Char"/>
    <w:basedOn w:val="DefaultParagraphFont"/>
    <w:link w:val="Header"/>
    <w:uiPriority w:val="99"/>
    <w:rsid w:val="004C3F22"/>
  </w:style>
  <w:style w:type="paragraph" w:styleId="Footer">
    <w:name w:val="footer"/>
    <w:basedOn w:val="Normal"/>
    <w:link w:val="FooterChar"/>
    <w:uiPriority w:val="99"/>
    <w:unhideWhenUsed/>
    <w:rsid w:val="004C3F22"/>
    <w:pPr>
      <w:tabs>
        <w:tab w:val="center" w:pos="4513"/>
        <w:tab w:val="right" w:pos="9026"/>
      </w:tabs>
    </w:pPr>
  </w:style>
  <w:style w:type="character" w:customStyle="1" w:styleId="FooterChar">
    <w:name w:val="Footer Char"/>
    <w:basedOn w:val="DefaultParagraphFont"/>
    <w:link w:val="Footer"/>
    <w:uiPriority w:val="99"/>
    <w:rsid w:val="004C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93888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3446</Words>
  <Characters>19648</Characters>
  <Application>Microsoft Office Word</Application>
  <DocSecurity>0</DocSecurity>
  <Lines>163</Lines>
  <Paragraphs>46</Paragraphs>
  <ScaleCrop>false</ScaleCrop>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2026-04-03T23:08:00Z</dcterms:created>
  <dcterms:modified xsi:type="dcterms:W3CDTF">2026-04-04T21:36:00Z</dcterms:modified>
</cp:coreProperties>
</file>