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7E2F" w:rsidRDefault="00117E2F">
      <w:pPr>
        <w:spacing w:before="60" w:after="60"/>
      </w:pPr>
    </w:p>
    <w:p w:rsidR="00996FC2" w:rsidRDefault="00996FC2">
      <w:pPr>
        <w:spacing w:before="60" w:after="60"/>
      </w:pPr>
    </w:p>
    <w:p w:rsidR="00996FC2" w:rsidRDefault="00000000">
      <w:pPr>
        <w:spacing w:after="120"/>
        <w:jc w:val="center"/>
      </w:pPr>
      <w:r>
        <w:rPr>
          <w:b/>
          <w:bCs/>
          <w:color w:val="1A1A2E"/>
          <w:sz w:val="64"/>
          <w:szCs w:val="64"/>
        </w:rPr>
        <w:t>THE COUNCIL</w:t>
      </w:r>
    </w:p>
    <w:p w:rsidR="00996FC2" w:rsidRDefault="00000000">
      <w:pPr>
        <w:spacing w:after="80"/>
        <w:jc w:val="center"/>
      </w:pPr>
      <w:r>
        <w:rPr>
          <w:i/>
          <w:iCs/>
          <w:color w:val="2C3E6E"/>
          <w:sz w:val="28"/>
          <w:szCs w:val="28"/>
        </w:rPr>
        <w:t>Empirical Validation of a Multi-Agent Topic-Specific Intelligence System</w:t>
      </w:r>
    </w:p>
    <w:p w:rsidR="00996FC2" w:rsidRDefault="00000000">
      <w:pPr>
        <w:spacing w:after="200"/>
        <w:jc w:val="center"/>
        <w:rPr>
          <w:i/>
          <w:iCs/>
          <w:color w:val="2C3E6E"/>
          <w:sz w:val="26"/>
          <w:szCs w:val="26"/>
        </w:rPr>
      </w:pPr>
      <w:r>
        <w:rPr>
          <w:i/>
          <w:iCs/>
          <w:color w:val="2C3E6E"/>
          <w:sz w:val="26"/>
          <w:szCs w:val="26"/>
        </w:rPr>
        <w:t>Across Six Operational Cycles</w:t>
      </w:r>
    </w:p>
    <w:p w:rsidR="00117E2F" w:rsidRDefault="00117E2F">
      <w:pPr>
        <w:spacing w:after="200"/>
        <w:jc w:val="center"/>
        <w:rPr>
          <w:i/>
          <w:iCs/>
          <w:color w:val="2C3E6E"/>
          <w:sz w:val="26"/>
          <w:szCs w:val="26"/>
        </w:rPr>
      </w:pPr>
    </w:p>
    <w:p w:rsidR="00117E2F" w:rsidRDefault="00117E2F">
      <w:pPr>
        <w:spacing w:after="200"/>
        <w:jc w:val="center"/>
        <w:rPr>
          <w:i/>
          <w:iCs/>
          <w:color w:val="2C3E6E"/>
          <w:sz w:val="26"/>
          <w:szCs w:val="26"/>
        </w:rPr>
      </w:pPr>
    </w:p>
    <w:p w:rsidR="00117E2F" w:rsidRDefault="00117E2F">
      <w:pPr>
        <w:spacing w:after="200"/>
        <w:jc w:val="center"/>
        <w:rPr>
          <w:i/>
          <w:iCs/>
          <w:color w:val="2C3E6E"/>
          <w:sz w:val="26"/>
          <w:szCs w:val="26"/>
        </w:rPr>
      </w:pPr>
    </w:p>
    <w:p w:rsidR="00117E2F" w:rsidRDefault="00117E2F">
      <w:pPr>
        <w:spacing w:after="200"/>
        <w:jc w:val="center"/>
        <w:rPr>
          <w:i/>
          <w:iCs/>
          <w:color w:val="2C3E6E"/>
          <w:sz w:val="26"/>
          <w:szCs w:val="26"/>
        </w:rPr>
      </w:pPr>
    </w:p>
    <w:p w:rsidR="00117E2F" w:rsidRDefault="00117E2F">
      <w:pPr>
        <w:spacing w:after="200"/>
        <w:jc w:val="center"/>
        <w:rPr>
          <w:i/>
          <w:iCs/>
          <w:color w:val="2C3E6E"/>
          <w:sz w:val="26"/>
          <w:szCs w:val="26"/>
        </w:rPr>
      </w:pPr>
    </w:p>
    <w:p w:rsidR="00117E2F" w:rsidRDefault="00117E2F">
      <w:pPr>
        <w:spacing w:after="200"/>
        <w:jc w:val="center"/>
        <w:rPr>
          <w:i/>
          <w:iCs/>
          <w:color w:val="2C3E6E"/>
          <w:sz w:val="26"/>
          <w:szCs w:val="26"/>
        </w:rPr>
      </w:pPr>
    </w:p>
    <w:p w:rsidR="00117E2F" w:rsidRDefault="00117E2F">
      <w:pPr>
        <w:spacing w:after="200"/>
        <w:jc w:val="center"/>
        <w:rPr>
          <w:i/>
          <w:iCs/>
          <w:color w:val="2C3E6E"/>
          <w:sz w:val="26"/>
          <w:szCs w:val="26"/>
        </w:rPr>
      </w:pPr>
    </w:p>
    <w:p w:rsidR="00117E2F" w:rsidRDefault="00117E2F">
      <w:pPr>
        <w:spacing w:after="200"/>
        <w:jc w:val="center"/>
        <w:rPr>
          <w:i/>
          <w:iCs/>
          <w:color w:val="2C3E6E"/>
          <w:sz w:val="26"/>
          <w:szCs w:val="26"/>
        </w:rPr>
      </w:pPr>
    </w:p>
    <w:p w:rsidR="00117E2F" w:rsidRDefault="00117E2F">
      <w:pPr>
        <w:spacing w:after="200"/>
        <w:jc w:val="center"/>
        <w:rPr>
          <w:i/>
          <w:iCs/>
          <w:color w:val="2C3E6E"/>
          <w:sz w:val="26"/>
          <w:szCs w:val="26"/>
        </w:rPr>
      </w:pPr>
    </w:p>
    <w:p w:rsidR="00117E2F" w:rsidRDefault="00117E2F">
      <w:pPr>
        <w:spacing w:after="200"/>
        <w:jc w:val="center"/>
      </w:pPr>
    </w:p>
    <w:p w:rsidR="00996FC2" w:rsidRDefault="00996FC2">
      <w:pPr>
        <w:pBdr>
          <w:bottom w:val="single" w:sz="6" w:space="1" w:color="8B1A1A"/>
        </w:pBdr>
        <w:spacing w:before="100" w:after="100"/>
      </w:pPr>
    </w:p>
    <w:p w:rsidR="00117E2F" w:rsidRDefault="00117E2F">
      <w:pPr>
        <w:spacing w:before="60" w:after="60"/>
      </w:pPr>
    </w:p>
    <w:p w:rsidR="00117E2F" w:rsidRPr="00117E2F" w:rsidRDefault="00117E2F">
      <w:pPr>
        <w:spacing w:before="60" w:after="60"/>
        <w:rPr>
          <w:lang w:val="it-IT"/>
        </w:rPr>
      </w:pPr>
      <w:r>
        <w:rPr>
          <w:lang w:val="it-IT"/>
        </w:rPr>
        <w:t xml:space="preserve">A </w:t>
      </w:r>
      <w:proofErr w:type="spellStart"/>
      <w:r>
        <w:rPr>
          <w:lang w:val="it-IT"/>
        </w:rPr>
        <w:t>Zenodo</w:t>
      </w:r>
      <w:proofErr w:type="spellEnd"/>
      <w:r>
        <w:rPr>
          <w:lang w:val="it-IT"/>
        </w:rPr>
        <w:t xml:space="preserve"> </w:t>
      </w:r>
      <w:proofErr w:type="spellStart"/>
      <w:r>
        <w:rPr>
          <w:lang w:val="it-IT"/>
        </w:rPr>
        <w:t>Pubplication</w:t>
      </w:r>
      <w:proofErr w:type="spellEnd"/>
      <w:r>
        <w:rPr>
          <w:lang w:val="it-IT"/>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6FC2">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996FC2" w:rsidRDefault="00000000">
            <w:r>
              <w:rPr>
                <w:b/>
                <w:bCs/>
                <w:color w:val="2C3E6E"/>
              </w:rPr>
              <w:t xml:space="preserve">Author: </w:t>
            </w:r>
            <w:r>
              <w:t>Anthony Vondoom</w:t>
            </w:r>
          </w:p>
        </w:tc>
      </w:tr>
      <w:tr w:rsidR="00996FC2">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996FC2" w:rsidRDefault="00000000">
            <w:r>
              <w:rPr>
                <w:b/>
                <w:bCs/>
                <w:color w:val="2C3E6E"/>
              </w:rPr>
              <w:t xml:space="preserve">ORCID: </w:t>
            </w:r>
            <w:r>
              <w:t>0009-0003-4953-1427</w:t>
            </w:r>
          </w:p>
        </w:tc>
      </w:tr>
      <w:tr w:rsidR="00996FC2">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996FC2" w:rsidRDefault="00000000">
            <w:r>
              <w:rPr>
                <w:b/>
                <w:bCs/>
                <w:color w:val="2C3E6E"/>
              </w:rPr>
              <w:t xml:space="preserve">Contact: </w:t>
            </w:r>
            <w:r>
              <w:t>Anthony.vondoom@outlook.com</w:t>
            </w:r>
          </w:p>
        </w:tc>
      </w:tr>
      <w:tr w:rsidR="00996FC2">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996FC2" w:rsidRDefault="00000000">
            <w:r>
              <w:rPr>
                <w:b/>
                <w:bCs/>
                <w:color w:val="2C3E6E"/>
              </w:rPr>
              <w:t xml:space="preserve">Date: </w:t>
            </w:r>
            <w:r w:rsidR="00117E2F">
              <w:rPr>
                <w:b/>
                <w:bCs/>
                <w:color w:val="2C3E6E"/>
                <w:lang w:val="it-IT"/>
              </w:rPr>
              <w:t xml:space="preserve">04 </w:t>
            </w:r>
            <w:r>
              <w:t>April 2026</w:t>
            </w:r>
          </w:p>
        </w:tc>
      </w:tr>
      <w:tr w:rsidR="00996FC2">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996FC2" w:rsidRDefault="00000000">
            <w:r>
              <w:rPr>
                <w:b/>
                <w:bCs/>
                <w:color w:val="2C3E6E"/>
              </w:rPr>
              <w:t xml:space="preserve">System Reference: </w:t>
            </w:r>
            <w:r>
              <w:t>The Council (</w:t>
            </w:r>
            <w:hyperlink r:id="rId7" w:history="1">
              <w:r w:rsidR="00117E2F" w:rsidRPr="003C1157">
                <w:rPr>
                  <w:rStyle w:val="Hyperlink"/>
                  <w:rFonts w:ascii="Helvetica" w:hAnsi="Helvetica"/>
                  <w:b/>
                  <w:bCs/>
                  <w:shd w:val="clear" w:color="auto" w:fill="FFFFFF"/>
                </w:rPr>
                <w:t>https://doi.org/10.5281/zenodo.19391718</w:t>
              </w:r>
            </w:hyperlink>
            <w:r>
              <w:t>)</w:t>
            </w:r>
          </w:p>
        </w:tc>
      </w:tr>
      <w:tr w:rsidR="00996FC2">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996FC2" w:rsidRDefault="00000000">
            <w:r>
              <w:rPr>
                <w:b/>
                <w:bCs/>
                <w:color w:val="2C3E6E"/>
              </w:rPr>
              <w:t xml:space="preserve">Companion System: </w:t>
            </w:r>
            <w:r>
              <w:t>NETJERU v</w:t>
            </w:r>
            <w:r w:rsidR="00117E2F" w:rsidRPr="00117E2F">
              <w:rPr>
                <w:lang w:val="en-US"/>
              </w:rPr>
              <w:t>6</w:t>
            </w:r>
            <w:r>
              <w:t>.0 (</w:t>
            </w:r>
            <w:hyperlink r:id="rId8" w:history="1">
              <w:r w:rsidR="00117E2F" w:rsidRPr="003C1157">
                <w:rPr>
                  <w:rStyle w:val="Hyperlink"/>
                </w:rPr>
                <w:t>https://doi.org/10.5281/zenodo.19388884</w:t>
              </w:r>
            </w:hyperlink>
            <w:r w:rsidR="00117E2F" w:rsidRPr="00117E2F">
              <w:rPr>
                <w:rStyle w:val="Hyperlink"/>
                <w:lang w:val="en-US"/>
              </w:rPr>
              <w:t xml:space="preserve"> </w:t>
            </w:r>
            <w:r>
              <w:t>)</w:t>
            </w:r>
          </w:p>
        </w:tc>
      </w:tr>
      <w:tr w:rsidR="00996FC2">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996FC2" w:rsidRDefault="00000000">
            <w:r>
              <w:rPr>
                <w:b/>
                <w:bCs/>
                <w:color w:val="2C3E6E"/>
              </w:rPr>
              <w:t xml:space="preserve">AI Disclosure: </w:t>
            </w:r>
            <w:r>
              <w:t>Analytical drafting and editorial support by Claude Sonnet 4.6, Anthropic. All analytical judgments and DSSM framework applications are those of the author.</w:t>
            </w:r>
          </w:p>
        </w:tc>
      </w:tr>
      <w:tr w:rsidR="00996FC2">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rsidR="00996FC2" w:rsidRDefault="00000000">
            <w:r>
              <w:rPr>
                <w:b/>
                <w:bCs/>
                <w:color w:val="2C3E6E"/>
              </w:rPr>
              <w:t xml:space="preserve">License: </w:t>
            </w:r>
            <w:r>
              <w:t>CC BY 4.0</w:t>
            </w:r>
          </w:p>
        </w:tc>
      </w:tr>
    </w:tbl>
    <w:p w:rsidR="00996FC2" w:rsidRDefault="00996FC2">
      <w:pPr>
        <w:pBdr>
          <w:bottom w:val="single" w:sz="6" w:space="1" w:color="8B1A1A"/>
        </w:pBdr>
        <w:spacing w:before="100" w:after="100"/>
      </w:pPr>
    </w:p>
    <w:p w:rsidR="00996FC2" w:rsidRDefault="00996FC2">
      <w:pPr>
        <w:spacing w:before="60" w:after="60"/>
      </w:pPr>
    </w:p>
    <w:p w:rsidR="00996FC2" w:rsidRDefault="00996FC2">
      <w:pPr>
        <w:spacing w:before="60" w:after="60"/>
      </w:pPr>
    </w:p>
    <w:p w:rsidR="00996FC2" w:rsidRDefault="00996FC2">
      <w:pPr>
        <w:spacing w:before="60" w:after="60"/>
      </w:pPr>
    </w:p>
    <w:p w:rsidR="00996FC2" w:rsidRDefault="00000000">
      <w:pPr>
        <w:pStyle w:val="Heading1"/>
      </w:pPr>
      <w:r>
        <w:lastRenderedPageBreak/>
        <w:t>Abstract</w:t>
      </w:r>
    </w:p>
    <w:p w:rsidR="00996FC2" w:rsidRDefault="00996FC2">
      <w:pPr>
        <w:pBdr>
          <w:bottom w:val="single" w:sz="6" w:space="1" w:color="6B2737"/>
        </w:pBdr>
        <w:spacing w:before="100" w:after="100"/>
      </w:pPr>
    </w:p>
    <w:p w:rsidR="00996FC2" w:rsidRDefault="00996FC2">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6FC2">
        <w:tblPrEx>
          <w:tblCellMar>
            <w:top w:w="0" w:type="dxa"/>
            <w:bottom w:w="0" w:type="dxa"/>
          </w:tblCellMar>
        </w:tblPrEx>
        <w:tc>
          <w:tcPr>
            <w:tcW w:w="9360" w:type="dxa"/>
            <w:tcBorders>
              <w:top w:val="single" w:sz="6" w:space="0" w:color="8B1A1A"/>
              <w:left w:val="single" w:sz="6" w:space="0" w:color="8B1A1A"/>
              <w:bottom w:val="single" w:sz="6" w:space="0" w:color="8B1A1A"/>
              <w:right w:val="single" w:sz="6" w:space="0" w:color="8B1A1A"/>
            </w:tcBorders>
            <w:shd w:val="clear" w:color="auto" w:fill="F9F0F0"/>
            <w:tcMar>
              <w:top w:w="160" w:type="dxa"/>
              <w:left w:w="200" w:type="dxa"/>
              <w:bottom w:w="160" w:type="dxa"/>
              <w:right w:w="200" w:type="dxa"/>
            </w:tcMar>
          </w:tcPr>
          <w:p w:rsidR="00996FC2" w:rsidRDefault="00000000">
            <w:pPr>
              <w:spacing w:before="60" w:after="60" w:line="280" w:lineRule="auto"/>
              <w:jc w:val="both"/>
            </w:pPr>
            <w:r>
              <w:t>The Council is a directed multi-agent intelligence system that performs topic-specific deep analysis on defined geopolitical scenarios, operating as the operational complement to NETJERU's ambient structural monitoring. Where NETJERU identifies civilizational-scale stress patterns across the full signal environment, The Council deploys against specific analytical questions at operational resolution: what is happening, who holds leverage, what are the decision windows, what interventions remain available. This paper presents empirical validation of The Council across six operational cycles run between 25 March and 3 April 2026, covering three distinct topic clusters: the 2026 Gulf War financial stress framing (Cycles 1 and 4), the US-Israel-Iran active kinetic campaign (Cycle 2), the US-China-Taiwan stable fragmentation scenario (Cycle 3), and the Gulf War Week Five and multi-front assessments (Cycles 5 and 6). The validation demonstrates that The Council produces consistent structured output including threat level and Anubis confidence assessment, DSSM dimensional scoring, Set-challenged signal inventories, Osiris historical analogues with Ra amendments, tiered risk assessments ordered by consequence irreversibility, actor leverage tables, operationally-specific prescriptions with timelines, and explicit falsifiability conditions. Key findings include the consistent identification of AI mis-attribution as Risk 1 across all kinetic conflict cycles on irreversibility grounds rather than probability grounds; the Suez inversion finding across Cycles 1-2 as the corpus's highest-confidence analytical result; and the Anubis confidence mechanism correctly maintaining 61% across live kinetic cycles while flagging 41% in Cycle 4 when the Osiris retrieval pipeline degraded. Identified limitations include a scoring scale inconsistency across the six cycles and incomplete cross-referencing with concurrent NETJERU cycle outputs.</w:t>
            </w:r>
          </w:p>
        </w:tc>
      </w:tr>
    </w:tbl>
    <w:p w:rsidR="00996FC2" w:rsidRDefault="00996FC2">
      <w:pPr>
        <w:spacing w:before="60" w:after="60"/>
      </w:pPr>
    </w:p>
    <w:p w:rsidR="00996FC2" w:rsidRDefault="00000000">
      <w:pPr>
        <w:spacing w:before="100" w:after="100" w:line="280" w:lineRule="auto"/>
        <w:jc w:val="both"/>
      </w:pPr>
      <w:r>
        <w:rPr>
          <w:i/>
          <w:iCs/>
          <w:color w:val="555555"/>
        </w:rPr>
        <w:t>Keywords: multi-agent intelligence; topic-specific analysis; adversarial AI; geopolitical risk; human-in-the-loop; DSSM; Council system; falsifiability</w:t>
      </w:r>
    </w:p>
    <w:p w:rsidR="00996FC2" w:rsidRDefault="00996FC2">
      <w:pPr>
        <w:spacing w:before="60" w:after="60"/>
      </w:pPr>
    </w:p>
    <w:p w:rsidR="00996FC2" w:rsidRDefault="00996FC2">
      <w:pPr>
        <w:spacing w:before="60" w:after="60"/>
      </w:pPr>
    </w:p>
    <w:p w:rsidR="00117E2F" w:rsidRDefault="00117E2F">
      <w:pPr>
        <w:pStyle w:val="Heading1"/>
      </w:pPr>
    </w:p>
    <w:p w:rsidR="00117E2F" w:rsidRDefault="00117E2F">
      <w:pPr>
        <w:pStyle w:val="Heading1"/>
      </w:pPr>
    </w:p>
    <w:p w:rsidR="00117E2F" w:rsidRDefault="00117E2F">
      <w:pPr>
        <w:pStyle w:val="Heading1"/>
      </w:pPr>
    </w:p>
    <w:p w:rsidR="00117E2F" w:rsidRDefault="00117E2F">
      <w:pPr>
        <w:pStyle w:val="Heading1"/>
      </w:pPr>
    </w:p>
    <w:p w:rsidR="00996FC2" w:rsidRDefault="00000000">
      <w:pPr>
        <w:pStyle w:val="Heading1"/>
      </w:pPr>
      <w:r>
        <w:lastRenderedPageBreak/>
        <w:t>1. Introduction</w:t>
      </w:r>
    </w:p>
    <w:p w:rsidR="00996FC2" w:rsidRDefault="00996FC2">
      <w:pPr>
        <w:pBdr>
          <w:bottom w:val="single" w:sz="6" w:space="1" w:color="6B2737"/>
        </w:pBdr>
        <w:spacing w:before="100" w:after="100"/>
      </w:pPr>
    </w:p>
    <w:p w:rsidR="00996FC2" w:rsidRDefault="00996FC2">
      <w:pPr>
        <w:spacing w:before="60" w:after="60"/>
      </w:pPr>
    </w:p>
    <w:p w:rsidR="00996FC2" w:rsidRDefault="00000000">
      <w:pPr>
        <w:spacing w:before="100" w:after="100" w:line="280" w:lineRule="auto"/>
        <w:jc w:val="both"/>
      </w:pPr>
      <w:r>
        <w:t>Intelligence analysis of specific geopolitical events requires a different architecture than ambient structural monitoring. Where monitoring systems track the background signal environment for emerging patterns, operational intelligence systems must assess specific actors, specific leverage positions, specific decision windows, and specific intervention mechanisms. The analytical failure modes differ accordingly: monitoring systems fail by missing structural patterns; operational systems fail by over-specifying uncertain dynamics, by attributing agency where structural forces dominate, or by identifying interventions that are theoretically available but practically inaccessible.</w:t>
      </w:r>
    </w:p>
    <w:p w:rsidR="00996FC2" w:rsidRDefault="00000000">
      <w:pPr>
        <w:spacing w:before="100" w:after="100" w:line="280" w:lineRule="auto"/>
        <w:jc w:val="both"/>
      </w:pPr>
      <w:r>
        <w:t>The Council (Paper 44) is designed to address the operational intelligence problem within the DSSM analytical framework. It activates on a specific query---a scenario, a crisis, a geopolitical flashpoint---and routes that query through a seven-agent pipeline that ingests live signals, applies DSSM dimensional scoring, subjects findings to mandatory adversarial challenge, matches structural patterns to historical analogues, assesses evidence-weighted confidence, produces tiered risk assessments, and renders a final judgment with explicit falsifiability conditions. The system is architecturally complementary to NETJERU: NETJERU identifies the civilizational fault lines; The Council goes inside one of them.</w:t>
      </w:r>
    </w:p>
    <w:p w:rsidR="00996FC2" w:rsidRDefault="00000000">
      <w:pPr>
        <w:spacing w:before="100" w:after="100" w:line="280" w:lineRule="auto"/>
        <w:jc w:val="both"/>
      </w:pPr>
      <w:r>
        <w:t>This paper presents the empirical record of six Council cycles and assesses whether the system behaves as specified. The architecture is documented in Paper 44 (Zenodo: 10.5281/zenodo.19391718). This paper's purpose is validation, not redescription.</w:t>
      </w:r>
    </w:p>
    <w:p w:rsidR="00996FC2" w:rsidRDefault="00996FC2">
      <w:pPr>
        <w:spacing w:before="60" w:after="60"/>
      </w:pPr>
    </w:p>
    <w:p w:rsidR="00996FC2" w:rsidRDefault="00000000">
      <w:pPr>
        <w:pStyle w:val="Heading2"/>
      </w:pPr>
      <w:r>
        <w:t>1.1 The Two-System Distinction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6FC2">
        <w:tblPrEx>
          <w:tblCellMar>
            <w:top w:w="0" w:type="dxa"/>
            <w:bottom w:w="0" w:type="dxa"/>
          </w:tblCellMar>
        </w:tblPrEx>
        <w:tc>
          <w:tcPr>
            <w:tcW w:w="9360" w:type="dxa"/>
            <w:tcBorders>
              <w:top w:val="single" w:sz="6" w:space="0" w:color="8B1A1A"/>
              <w:left w:val="single" w:sz="6" w:space="0" w:color="8B1A1A"/>
              <w:bottom w:val="single" w:sz="6" w:space="0" w:color="8B1A1A"/>
              <w:right w:val="single" w:sz="6" w:space="0" w:color="8B1A1A"/>
            </w:tcBorders>
            <w:shd w:val="clear" w:color="auto" w:fill="F9F0F0"/>
            <w:tcMar>
              <w:top w:w="160" w:type="dxa"/>
              <w:left w:w="200" w:type="dxa"/>
              <w:bottom w:w="160" w:type="dxa"/>
              <w:right w:w="200" w:type="dxa"/>
            </w:tcMar>
          </w:tcPr>
          <w:p w:rsidR="00996FC2" w:rsidRDefault="00000000">
            <w:pPr>
              <w:spacing w:before="60" w:after="60" w:line="280" w:lineRule="auto"/>
              <w:jc w:val="both"/>
            </w:pPr>
            <w:r>
              <w:t>NETJERU monitors structural conditions across the full ambient signal environment, running daily across whatever queries surface from that environment. The Council activates on specific topics when structural monitoring identifies a fault line warranting operational-resolution assessment. NETJERU asks: what kind of civilizational stress is this? The Council asks: what is actually happening inside this specific instance of stress, and what can be done about it? The distinction matters for reading the output of either system: NETJERU findings are structural and probabilistic; Council findings are operational and actor-specific.</w:t>
            </w:r>
          </w:p>
        </w:tc>
      </w:tr>
    </w:tbl>
    <w:p w:rsidR="00996FC2" w:rsidRDefault="00996FC2">
      <w:pPr>
        <w:spacing w:before="60" w:after="60"/>
      </w:pPr>
    </w:p>
    <w:p w:rsidR="00996FC2" w:rsidRDefault="00996FC2">
      <w:pPr>
        <w:spacing w:before="60" w:after="60"/>
      </w:pPr>
    </w:p>
    <w:p w:rsidR="00117E2F" w:rsidRDefault="00117E2F">
      <w:pPr>
        <w:pStyle w:val="Heading1"/>
      </w:pPr>
    </w:p>
    <w:p w:rsidR="00117E2F" w:rsidRDefault="00117E2F">
      <w:pPr>
        <w:pStyle w:val="Heading1"/>
      </w:pPr>
    </w:p>
    <w:p w:rsidR="00996FC2" w:rsidRDefault="00000000">
      <w:pPr>
        <w:pStyle w:val="Heading1"/>
      </w:pPr>
      <w:r>
        <w:lastRenderedPageBreak/>
        <w:t>2. System Architecture Summary</w:t>
      </w:r>
    </w:p>
    <w:p w:rsidR="00996FC2" w:rsidRDefault="00996FC2">
      <w:pPr>
        <w:pBdr>
          <w:bottom w:val="single" w:sz="6" w:space="1" w:color="6B2737"/>
        </w:pBdr>
        <w:spacing w:before="100" w:after="100"/>
      </w:pPr>
    </w:p>
    <w:p w:rsidR="00996FC2" w:rsidRDefault="00996FC2">
      <w:pPr>
        <w:spacing w:before="60" w:after="60"/>
      </w:pPr>
    </w:p>
    <w:p w:rsidR="00996FC2" w:rsidRDefault="00000000">
      <w:pPr>
        <w:spacing w:before="100" w:after="100" w:line="280" w:lineRule="auto"/>
        <w:jc w:val="both"/>
      </w:pPr>
      <w:r>
        <w:t>The Council deploys a seven-agent sequential pipeline. The agent architecture is shared with NETJERU at the level of naming convention and epistemic function, but the Council pipeline is optimized for topic-specific depth rather than ambient breadth.</w:t>
      </w:r>
    </w:p>
    <w:p w:rsidR="00996FC2" w:rsidRDefault="00996FC2">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6240"/>
      </w:tblGrid>
      <w:tr w:rsidR="00996FC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Agent</w:t>
            </w:r>
          </w:p>
        </w:tc>
        <w:tc>
          <w:tcPr>
            <w:tcW w:w="1560"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Function</w:t>
            </w:r>
          </w:p>
        </w:tc>
        <w:tc>
          <w:tcPr>
            <w:tcW w:w="6240"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Council-Specific Role</w:t>
            </w:r>
          </w:p>
        </w:tc>
      </w:tr>
      <w:tr w:rsidR="00996FC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Ptah</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Knowledge base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Retrieves DSSM framework context and prior Council cycles on the same topic</w:t>
            </w:r>
          </w:p>
        </w:tc>
      </w:tr>
      <w:tr w:rsidR="00996FC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Isis</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Signal assembly</w:t>
            </w:r>
          </w:p>
        </w:tc>
        <w:tc>
          <w:tcPr>
            <w:tcW w:w="62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Ingests 20-21 live signals from open-source across specified topic domain</w:t>
            </w:r>
          </w:p>
        </w:tc>
      </w:tr>
      <w:tr w:rsidR="00996FC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Thoth</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Dimensional scoring</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Scores each signal on four DSSM dimensions; flags lagging indicators and causal reversals</w:t>
            </w:r>
          </w:p>
        </w:tc>
      </w:tr>
      <w:tr w:rsidR="00996FC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Set</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Adversarial challenge</w:t>
            </w:r>
          </w:p>
        </w:tc>
        <w:tc>
          <w:tcPr>
            <w:tcW w:w="62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Challenges every top-composite signal; produces before/after delta with justification</w:t>
            </w:r>
          </w:p>
        </w:tc>
      </w:tr>
      <w:tr w:rsidR="00996FC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Osiris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Historical analogue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Retrieves structural fingerprint match from 70,000-year analogue library; produces pattern weight</w:t>
            </w:r>
          </w:p>
        </w:tc>
      </w:tr>
      <w:tr w:rsidR="00996FC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Anubis</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Evidence weighting</w:t>
            </w:r>
          </w:p>
        </w:tc>
        <w:tc>
          <w:tcPr>
            <w:tcW w:w="62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Produces overall Anubis confidence figure; identifies decision deadline</w:t>
            </w:r>
          </w:p>
        </w:tc>
      </w:tr>
      <w:tr w:rsidR="00996FC2">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Ra</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Final synthesis</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Renders plain-language judgment; explicitly engages Set's strongest challenges; produces falsifiability conditions</w:t>
            </w:r>
          </w:p>
        </w:tc>
      </w:tr>
    </w:tbl>
    <w:p w:rsidR="00996FC2" w:rsidRDefault="00996FC2">
      <w:pPr>
        <w:spacing w:before="60" w:after="60"/>
      </w:pPr>
    </w:p>
    <w:p w:rsidR="00996FC2" w:rsidRDefault="00000000">
      <w:pPr>
        <w:spacing w:before="100" w:after="100" w:line="280" w:lineRule="auto"/>
        <w:jc w:val="both"/>
      </w:pPr>
      <w:r>
        <w:t>The human operator (Horus / Anthony Vondoom) holds sovereign oversight. No Council output is published without Horus review. The system is explicitly prohibited from autonomous action; its output surfaces intelligence for human decision-making and does not trigger any downstream action.</w:t>
      </w:r>
    </w:p>
    <w:p w:rsidR="00996FC2" w:rsidRDefault="00996FC2">
      <w:pPr>
        <w:spacing w:before="60" w:after="60"/>
      </w:pPr>
    </w:p>
    <w:p w:rsidR="00996FC2" w:rsidRDefault="00996FC2">
      <w:pPr>
        <w:spacing w:before="60" w:after="60"/>
      </w:pPr>
    </w:p>
    <w:p w:rsidR="00117E2F" w:rsidRDefault="00117E2F">
      <w:pPr>
        <w:pStyle w:val="Heading1"/>
      </w:pPr>
    </w:p>
    <w:p w:rsidR="00117E2F" w:rsidRDefault="00117E2F">
      <w:pPr>
        <w:pStyle w:val="Heading1"/>
      </w:pPr>
    </w:p>
    <w:p w:rsidR="00117E2F" w:rsidRDefault="00117E2F">
      <w:pPr>
        <w:pStyle w:val="Heading1"/>
      </w:pPr>
    </w:p>
    <w:p w:rsidR="00117E2F" w:rsidRDefault="00117E2F">
      <w:pPr>
        <w:pStyle w:val="Heading1"/>
      </w:pPr>
    </w:p>
    <w:p w:rsidR="00996FC2" w:rsidRDefault="00000000">
      <w:pPr>
        <w:pStyle w:val="Heading1"/>
      </w:pPr>
      <w:r>
        <w:lastRenderedPageBreak/>
        <w:t>3. Cycle Summary: Six-Cycle Overview</w:t>
      </w:r>
    </w:p>
    <w:p w:rsidR="00996FC2" w:rsidRDefault="00996FC2">
      <w:pPr>
        <w:pBdr>
          <w:bottom w:val="single" w:sz="6" w:space="1" w:color="6B2737"/>
        </w:pBdr>
        <w:spacing w:before="100" w:after="100"/>
      </w:pPr>
    </w:p>
    <w:p w:rsidR="00996FC2" w:rsidRDefault="00996FC2">
      <w:pPr>
        <w:spacing w:before="60" w:after="60"/>
      </w:pPr>
    </w:p>
    <w:p w:rsidR="00996FC2" w:rsidRDefault="00000000">
      <w:pPr>
        <w:spacing w:before="100" w:after="100" w:line="280" w:lineRule="auto"/>
        <w:jc w:val="both"/>
      </w:pPr>
      <w:r>
        <w:t>The following table presents the six Council cycles in the validation corpus. Cycles 1 and 4 cover the same topic (Gulf War Day 26 financial stress framing) on different dates; the repetition is analytically significant and is addressed in Section 5.</w:t>
      </w:r>
    </w:p>
    <w:p w:rsidR="00996FC2" w:rsidRDefault="00996FC2">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4"/>
        <w:gridCol w:w="674"/>
        <w:gridCol w:w="1463"/>
        <w:gridCol w:w="1285"/>
        <w:gridCol w:w="1329"/>
        <w:gridCol w:w="1263"/>
        <w:gridCol w:w="797"/>
        <w:gridCol w:w="797"/>
        <w:gridCol w:w="797"/>
        <w:gridCol w:w="797"/>
      </w:tblGrid>
      <w:tr w:rsidR="00996FC2">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Cycle</w:t>
            </w:r>
          </w:p>
        </w:tc>
        <w:tc>
          <w:tcPr>
            <w:tcW w:w="936"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Date</w:t>
            </w:r>
          </w:p>
        </w:tc>
        <w:tc>
          <w:tcPr>
            <w:tcW w:w="3120"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Query</w:t>
            </w:r>
          </w:p>
        </w:tc>
        <w:tc>
          <w:tcPr>
            <w:tcW w:w="1170"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Threat</w:t>
            </w:r>
          </w:p>
        </w:tc>
        <w:tc>
          <w:tcPr>
            <w:tcW w:w="1170"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Anubis Confidence</w:t>
            </w:r>
          </w:p>
        </w:tc>
        <w:tc>
          <w:tcPr>
            <w:tcW w:w="2080"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Dominant Dimension</w:t>
            </w:r>
          </w:p>
        </w:tc>
        <w:tc>
          <w:tcPr>
            <w:tcW w:w="780"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SRF</w:t>
            </w:r>
          </w:p>
        </w:tc>
        <w:tc>
          <w:tcPr>
            <w:tcW w:w="780"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MSS</w:t>
            </w:r>
          </w:p>
        </w:tc>
        <w:tc>
          <w:tcPr>
            <w:tcW w:w="780"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IC</w:t>
            </w:r>
          </w:p>
        </w:tc>
        <w:tc>
          <w:tcPr>
            <w:tcW w:w="780" w:type="dxa"/>
            <w:tcBorders>
              <w:top w:val="single" w:sz="1" w:space="0" w:color="CCCCCC"/>
              <w:left w:val="single" w:sz="1" w:space="0" w:color="CCCCCC"/>
              <w:bottom w:val="single" w:sz="1" w:space="0" w:color="CCCCCC"/>
              <w:right w:val="single" w:sz="1" w:space="0" w:color="CCCCCC"/>
            </w:tcBorders>
            <w:shd w:val="clear" w:color="auto" w:fill="6B2737"/>
            <w:tcMar>
              <w:top w:w="80" w:type="dxa"/>
              <w:left w:w="120" w:type="dxa"/>
              <w:bottom w:w="80" w:type="dxa"/>
              <w:right w:w="120" w:type="dxa"/>
            </w:tcMar>
            <w:vAlign w:val="center"/>
          </w:tcPr>
          <w:p w:rsidR="00996FC2" w:rsidRDefault="00000000">
            <w:r>
              <w:rPr>
                <w:b/>
                <w:bCs/>
                <w:color w:val="FFFFFF"/>
                <w:sz w:val="20"/>
                <w:szCs w:val="20"/>
              </w:rPr>
              <w:t>AGF</w:t>
            </w:r>
          </w:p>
        </w:tc>
      </w:tr>
      <w:tr w:rsidR="00996FC2">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1</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25 Mar</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Gulf War: financial stress framing, Day 26</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HIGH</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65%</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MSS (ceiling)</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1.9/2</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2.0/2</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1.4/2</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0.3/2</w:t>
            </w:r>
          </w:p>
        </w:tc>
      </w:tr>
      <w:tr w:rsidR="00996FC2">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2</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26 Mar</w:t>
            </w:r>
          </w:p>
        </w:tc>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US-Israel-Iran: Day 27 judgment</w:t>
            </w:r>
          </w:p>
        </w:tc>
        <w:tc>
          <w:tcPr>
            <w:tcW w:w="117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CRITICAL</w:t>
            </w:r>
          </w:p>
        </w:tc>
        <w:tc>
          <w:tcPr>
            <w:tcW w:w="117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61%</w:t>
            </w:r>
          </w:p>
        </w:tc>
        <w:tc>
          <w:tcPr>
            <w:tcW w:w="20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SRF / MSS co-dominant</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1.6/4</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1.6/4</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0.8/4</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0.1/4</w:t>
            </w:r>
          </w:p>
        </w:tc>
      </w:tr>
      <w:tr w:rsidR="00996FC2">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3</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26 Mar</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US-China-Taiwan: stable fragmentation</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ELEVATED</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61%</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MSS dominant</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1.4/4</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1.9/4</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0.8/4</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0.2/4</w:t>
            </w:r>
          </w:p>
        </w:tc>
      </w:tr>
      <w:tr w:rsidR="00996FC2">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4</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30 Mar</w:t>
            </w:r>
          </w:p>
        </w:tc>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Gulf War: Day 26 assessment (Osiris error)</w:t>
            </w:r>
          </w:p>
        </w:tc>
        <w:tc>
          <w:tcPr>
            <w:tcW w:w="117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CRITICAL</w:t>
            </w:r>
          </w:p>
        </w:tc>
        <w:tc>
          <w:tcPr>
            <w:tcW w:w="117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41%</w:t>
            </w:r>
          </w:p>
        </w:tc>
        <w:tc>
          <w:tcPr>
            <w:tcW w:w="20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MSS (ceiling)</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1.9/2</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2.0/2</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1.4/2</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0.3/2</w:t>
            </w:r>
          </w:p>
        </w:tc>
      </w:tr>
      <w:tr w:rsidR="00996FC2">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5</w:t>
            </w:r>
          </w:p>
        </w:tc>
        <w:tc>
          <w:tcPr>
            <w:tcW w:w="93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31 Mar</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Gulf War: Week Five assessment</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CRITICAL</w:t>
            </w:r>
          </w:p>
        </w:tc>
        <w:tc>
          <w:tcPr>
            <w:tcW w:w="11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61%</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MSS dominant 8.0/10</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7.2/10</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8.0/10</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5.8/10</w:t>
            </w:r>
          </w:p>
        </w:tc>
        <w:tc>
          <w:tcPr>
            <w:tcW w:w="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996FC2" w:rsidRDefault="00000000">
            <w:r>
              <w:rPr>
                <w:color w:val="000000"/>
                <w:sz w:val="20"/>
                <w:szCs w:val="20"/>
              </w:rPr>
              <w:t>3.4/10</w:t>
            </w:r>
          </w:p>
        </w:tc>
      </w:tr>
      <w:tr w:rsidR="00996FC2">
        <w:tblPrEx>
          <w:tblCellMar>
            <w:top w:w="0" w:type="dxa"/>
            <w:bottom w:w="0" w:type="dxa"/>
          </w:tblCellMar>
        </w:tblPrEx>
        <w:tc>
          <w:tcPr>
            <w:tcW w:w="58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6</w:t>
            </w:r>
          </w:p>
        </w:tc>
        <w:tc>
          <w:tcPr>
            <w:tcW w:w="93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3 Apr</w:t>
            </w:r>
          </w:p>
        </w:tc>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Gulf War: multi-front, Week Five</w:t>
            </w:r>
          </w:p>
        </w:tc>
        <w:tc>
          <w:tcPr>
            <w:tcW w:w="117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CRITICAL</w:t>
            </w:r>
          </w:p>
        </w:tc>
        <w:tc>
          <w:tcPr>
            <w:tcW w:w="117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61%</w:t>
            </w:r>
          </w:p>
        </w:tc>
        <w:tc>
          <w:tcPr>
            <w:tcW w:w="20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MSS dominant 3.0/4</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2.7/4</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3.0/4</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1.8/4</w:t>
            </w:r>
          </w:p>
        </w:tc>
        <w:tc>
          <w:tcPr>
            <w:tcW w:w="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rsidR="00996FC2" w:rsidRDefault="00000000">
            <w:r>
              <w:rPr>
                <w:color w:val="000000"/>
                <w:sz w:val="20"/>
                <w:szCs w:val="20"/>
              </w:rPr>
              <w:t>0.0/4</w:t>
            </w:r>
          </w:p>
        </w:tc>
      </w:tr>
    </w:tbl>
    <w:p w:rsidR="00996FC2" w:rsidRDefault="00996FC2">
      <w:pPr>
        <w:spacing w:before="60" w:after="60"/>
      </w:pPr>
    </w:p>
    <w:p w:rsidR="00996FC2" w:rsidRDefault="00996FC2">
      <w:pPr>
        <w:spacing w:before="60" w:after="60"/>
      </w:pPr>
    </w:p>
    <w:p w:rsidR="00117E2F" w:rsidRDefault="00117E2F">
      <w:pPr>
        <w:pStyle w:val="Heading1"/>
      </w:pPr>
    </w:p>
    <w:p w:rsidR="00117E2F" w:rsidRDefault="00117E2F">
      <w:pPr>
        <w:pStyle w:val="Heading1"/>
      </w:pPr>
    </w:p>
    <w:p w:rsidR="00117E2F" w:rsidRDefault="00117E2F">
      <w:pPr>
        <w:pStyle w:val="Heading1"/>
      </w:pPr>
    </w:p>
    <w:p w:rsidR="00117E2F" w:rsidRDefault="00117E2F">
      <w:pPr>
        <w:pStyle w:val="Heading1"/>
      </w:pPr>
    </w:p>
    <w:p w:rsidR="00996FC2" w:rsidRDefault="00000000">
      <w:pPr>
        <w:pStyle w:val="Heading1"/>
      </w:pPr>
      <w:r>
        <w:lastRenderedPageBreak/>
        <w:t>4. Validation Findings</w:t>
      </w:r>
    </w:p>
    <w:p w:rsidR="00996FC2" w:rsidRDefault="00996FC2">
      <w:pPr>
        <w:pBdr>
          <w:bottom w:val="single" w:sz="6" w:space="1" w:color="6B2737"/>
        </w:pBdr>
        <w:spacing w:before="100" w:after="100"/>
      </w:pPr>
    </w:p>
    <w:p w:rsidR="00996FC2" w:rsidRDefault="00996FC2">
      <w:pPr>
        <w:spacing w:before="60" w:after="60"/>
      </w:pPr>
    </w:p>
    <w:p w:rsidR="00996FC2" w:rsidRDefault="00000000">
      <w:pPr>
        <w:pStyle w:val="Heading2"/>
      </w:pPr>
      <w:r>
        <w:t>4.1 Structural Consistency of Output</w:t>
      </w:r>
    </w:p>
    <w:p w:rsidR="00996FC2" w:rsidRDefault="00000000">
      <w:pPr>
        <w:spacing w:before="100" w:after="100" w:line="280" w:lineRule="auto"/>
        <w:jc w:val="both"/>
      </w:pPr>
      <w:r>
        <w:t>All six cycles produce the full Council output structure as specified in Paper 44: dual threat/confidence header, dimensional scoring table with bar charts, situation summary, Set-challenged signal inventory, Osiris historical analogue, Anubis confidence and decision window, tiered primary risks with consequence-based ordering, actor leverage table, operationally-specific prescriptions with timelines, Ra final judgment, and falsifiability conditions. The consistency holds across all three topic clusters and across the threat escalation from ELEVATED (Cycle 3) through HIGH (Cycle 1) to CRITICAL (Cycles 2, 4, 5, 6).</w:t>
      </w:r>
    </w:p>
    <w:p w:rsidR="00996FC2" w:rsidRDefault="00996FC2">
      <w:pPr>
        <w:spacing w:before="60" w:after="60"/>
      </w:pPr>
    </w:p>
    <w:p w:rsidR="00996FC2" w:rsidRDefault="00000000">
      <w:pPr>
        <w:pStyle w:val="Heading2"/>
      </w:pPr>
      <w:r>
        <w:t>4.2 The Anubis Confidence Mechanism</w:t>
      </w:r>
    </w:p>
    <w:p w:rsidR="00996FC2" w:rsidRDefault="00000000">
      <w:pPr>
        <w:spacing w:before="100" w:after="100" w:line="280" w:lineRule="auto"/>
        <w:jc w:val="both"/>
      </w:pPr>
      <w:r>
        <w:t>The Anubis confidence figure is among the most analytically important elements of the Council output and among the most frequently misread. Across five of six cycles, Anubis returns 61%. Cycle 4 returns 41%. Understanding the difference is essential to understanding what the mechanism is measuring.</w:t>
      </w:r>
    </w:p>
    <w:p w:rsidR="00996FC2" w:rsidRDefault="00000000">
      <w:pPr>
        <w:spacing w:before="100" w:after="100" w:line="280" w:lineRule="auto"/>
        <w:jc w:val="both"/>
      </w:pPr>
      <w:r>
        <w:t>The 61% figure is not an expression of weak analysis. It reflects the combination of HIGH structural confidence (the DSSM dimensional assessment) with irreducible information asymmetry in live kinetic environments. A system that claimed 90% confidence on a live conflict analysis would be epistemically dishonest. 61% is the system's calibrated expression of what it can and cannot know from open-source signals in an active conflict environment.</w:t>
      </w:r>
    </w:p>
    <w:p w:rsidR="00996FC2" w:rsidRDefault="00000000">
      <w:pPr>
        <w:spacing w:before="100" w:after="100" w:line="280" w:lineRule="auto"/>
        <w:jc w:val="both"/>
      </w:pPr>
      <w:r>
        <w:t>The 41% in Cycle 4 is structurally different: it reflects a pipeline degradation event. The cycle explicitly records 'Osiris retrieval error this cycle' in the confidence header. Anubis dropped overall confidence by 20 percentage points in response to a structural failure in one of the seven agents. This is the Anubis mechanism functioning correctly---the confidence figure is sensitive to system integrity, not just to the external information environment. A system whose confidence figure does not respond to internal degradation has not implemented genuine confidence calibration.</w:t>
      </w:r>
    </w:p>
    <w:p w:rsidR="00996FC2" w:rsidRDefault="00996FC2">
      <w:pPr>
        <w:spacing w:before="60" w:after="60"/>
      </w:pPr>
    </w:p>
    <w:p w:rsidR="00996FC2" w:rsidRDefault="00000000">
      <w:pPr>
        <w:pStyle w:val="Heading2"/>
      </w:pPr>
      <w:r>
        <w:t>4.3 Set Adversarial Challenge</w:t>
      </w:r>
    </w:p>
    <w:p w:rsidR="00996FC2" w:rsidRDefault="00000000">
      <w:pPr>
        <w:spacing w:before="100" w:after="100" w:line="280" w:lineRule="auto"/>
        <w:jc w:val="both"/>
      </w:pPr>
      <w:r>
        <w:t>Across the six cycles, Set applies challenges with documented justification and variable delta magnitude. The analytically significant challenges in the corpus are:</w:t>
      </w:r>
    </w:p>
    <w:p w:rsidR="00996FC2" w:rsidRDefault="00000000">
      <w:pPr>
        <w:pStyle w:val="ListParagraph"/>
        <w:numPr>
          <w:ilvl w:val="0"/>
          <w:numId w:val="2"/>
        </w:numPr>
        <w:spacing w:before="60" w:after="60"/>
      </w:pPr>
      <w:r>
        <w:t>Cycle 2: Peace talks signal reduced from composite 2.8 to 0.0 (delta -2.8). Justification: diplomatic contradiction between US and Iran makes both positions non-evidential. A signal cannot contribute analytical weight when its source content is internally self-canceling.</w:t>
      </w:r>
    </w:p>
    <w:p w:rsidR="00996FC2" w:rsidRDefault="00000000">
      <w:pPr>
        <w:pStyle w:val="ListParagraph"/>
        <w:numPr>
          <w:ilvl w:val="0"/>
          <w:numId w:val="2"/>
        </w:numPr>
        <w:spacing w:before="60" w:after="60"/>
      </w:pPr>
      <w:r>
        <w:lastRenderedPageBreak/>
        <w:t>Cycle 3: Taiwan-flags-risks signal reduced from 3.1 to 1.3 (delta -1.8). Justification: Taiwan political rhetoric is not independently evidential for PRC decision calculus. The signal is real; the causal chain it implies is speculative.</w:t>
      </w:r>
    </w:p>
    <w:p w:rsidR="00996FC2" w:rsidRDefault="00000000">
      <w:pPr>
        <w:pStyle w:val="ListParagraph"/>
        <w:numPr>
          <w:ilvl w:val="0"/>
          <w:numId w:val="2"/>
        </w:numPr>
        <w:spacing w:before="60" w:after="60"/>
      </w:pPr>
      <w:r>
        <w:t>Cycle 5: Gulf states precondition architecture signal (the Gulf states conditioning peace on permanent Iranian degradation) reduced from 3.8 to 1.6 (delta -2.2). But the cycle notes this signal has 'highest structural weight' despite the reduction---the reduction reflects speculative framing in the sourcing, not the irrelevance of the underlying dynamic.</w:t>
      </w:r>
    </w:p>
    <w:p w:rsidR="00996FC2" w:rsidRDefault="00000000">
      <w:pPr>
        <w:spacing w:before="100" w:after="100" w:line="280" w:lineRule="auto"/>
        <w:jc w:val="both"/>
      </w:pPr>
      <w:r>
        <w:t>The distinction between signal reduction and signal dismissal is one of the Set mechanism's most important outputs. A signal that survives adversarial challenge at a reduced score is not a weak signal---it is a signal where the sourcing or framing was inflated but the underlying structural reading remains valid.</w:t>
      </w:r>
    </w:p>
    <w:p w:rsidR="00996FC2" w:rsidRDefault="00996FC2">
      <w:pPr>
        <w:spacing w:before="60" w:after="60"/>
      </w:pPr>
    </w:p>
    <w:p w:rsidR="00996FC2" w:rsidRDefault="00000000">
      <w:pPr>
        <w:pStyle w:val="Heading2"/>
      </w:pPr>
      <w:r>
        <w:t>4.4 The Suez Inversion: Primary Analytical Finding</w:t>
      </w:r>
    </w:p>
    <w:p w:rsidR="00996FC2" w:rsidRDefault="00000000">
      <w:pPr>
        <w:spacing w:before="100" w:after="100" w:line="280" w:lineRule="auto"/>
        <w:jc w:val="both"/>
      </w:pPr>
      <w:r>
        <w:t>Across Cycles 1 and 2, Osiris retrieves the 1956 Suez Crisis as the primary structural analogue for the 2026 Gulf War. The match is analytically sound on multiple dimensions: contested chokepoint, military action as proxy for monetary hierarchy contest, hegemonic actor whose financial position constrains military options. Ra accepts the analogue and immediately identifies the critical inversion: in 1956, the United States wielded dollar leverage as an external corrective force against the primary belligerent. In 2026, the United States is the primary belligerent. The actor who historically played Eisenhower is now playing Eden.</w:t>
      </w:r>
    </w:p>
    <w:p w:rsidR="00996FC2" w:rsidRDefault="00000000">
      <w:pPr>
        <w:spacing w:before="100" w:after="100" w:line="280" w:lineRule="auto"/>
        <w:jc w:val="both"/>
      </w:pPr>
      <w:r>
        <w:t>This inversion is the most analytically significant single finding in the six-cycle corpus. It is not a prediction---it is a structural observation about which resolution mechanisms transfer from the historical precedent and which do not. The 1956 resolution required an external creditor with sufficient leverage to force a ceasefire. In the 2026 configuration, that actor does not exist in the same structural position. The analogue correctly identifies the failure mode; Ra correctly identifies where the resolution pathway breaks.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96FC2">
        <w:tblPrEx>
          <w:tblCellMar>
            <w:top w:w="0" w:type="dxa"/>
            <w:bottom w:w="0" w:type="dxa"/>
          </w:tblCellMar>
        </w:tblPrEx>
        <w:tc>
          <w:tcPr>
            <w:tcW w:w="9360" w:type="dxa"/>
            <w:tcBorders>
              <w:top w:val="single" w:sz="6" w:space="0" w:color="8B1A1A"/>
              <w:left w:val="single" w:sz="6" w:space="0" w:color="8B1A1A"/>
              <w:bottom w:val="single" w:sz="6" w:space="0" w:color="8B1A1A"/>
              <w:right w:val="single" w:sz="6" w:space="0" w:color="8B1A1A"/>
            </w:tcBorders>
            <w:shd w:val="clear" w:color="auto" w:fill="F9F0F0"/>
            <w:tcMar>
              <w:top w:w="160" w:type="dxa"/>
              <w:left w:w="200" w:type="dxa"/>
              <w:bottom w:w="160" w:type="dxa"/>
              <w:right w:w="200" w:type="dxa"/>
            </w:tcMar>
          </w:tcPr>
          <w:p w:rsidR="00996FC2" w:rsidRDefault="00000000">
            <w:pPr>
              <w:spacing w:before="60" w:after="60" w:line="280" w:lineRule="auto"/>
              <w:jc w:val="both"/>
            </w:pPr>
            <w:r>
              <w:t>The Suez inversion is the Council's highest-confidence analytical result across six cycles. It is the finding that held under Ra's explicit adversarial engagement, that does not depend on live intelligence that may be incorrect, and that has structural implications for every prescription in the Gulf War cycles: any intervention mechanism that relies on the 1956 resolution pathway---external creditor pressure on the primary belligerent---is not available in the 2026 configuration.</w:t>
            </w:r>
          </w:p>
        </w:tc>
      </w:tr>
    </w:tbl>
    <w:p w:rsidR="00996FC2" w:rsidRDefault="00996FC2">
      <w:pPr>
        <w:spacing w:before="60" w:after="60"/>
      </w:pPr>
    </w:p>
    <w:p w:rsidR="00996FC2" w:rsidRDefault="00000000">
      <w:pPr>
        <w:pStyle w:val="Heading2"/>
      </w:pPr>
      <w:r>
        <w:t>4.5 Risk 1 Consistency: AI Mis-Attribution</w:t>
      </w:r>
    </w:p>
    <w:p w:rsidR="00996FC2" w:rsidRDefault="00000000">
      <w:pPr>
        <w:spacing w:before="100" w:after="100" w:line="280" w:lineRule="auto"/>
        <w:jc w:val="both"/>
      </w:pPr>
      <w:r>
        <w:t xml:space="preserve">Across all four kinetic Gulf War cycles (Cycles 1, 2, 4, 5, 6), The Council consistently rates AI mis-attribution / fabricated strike attribution as Risk 1. This is explicitly not a probability-based ranking. The cycle notes record: the risk is CRITICAL not because it is the most probable event but because its consequence structure is irreversible. If a fabricated strike attribution triggers a </w:t>
      </w:r>
      <w:r>
        <w:lastRenderedPageBreak/>
        <w:t>retaliatory decision before any actor can verify what actually happened, no back-channel can intercept the result.</w:t>
      </w:r>
    </w:p>
    <w:p w:rsidR="00996FC2" w:rsidRDefault="00000000">
      <w:pPr>
        <w:spacing w:before="100" w:after="100" w:line="280" w:lineRule="auto"/>
        <w:jc w:val="both"/>
      </w:pPr>
      <w:r>
        <w:t>This risk-ordering logic---consequence irreversibility over probability---is the Council's primary contribution to operational risk assessment methodology. It is directly connected to the DSSM structural analysis: in a Day 26+ active campaign with degraded IRGC command structure and no declared exit doctrine, the decision timeline for any retaliatory action is compressed below the verification threshold. The risk is architectural, not tactical. It cannot be mitigated by better intelligence after the fact. That is the definition of CRITICAL in the Council risk taxonomy.</w:t>
      </w:r>
    </w:p>
    <w:p w:rsidR="00996FC2" w:rsidRDefault="00996FC2">
      <w:pPr>
        <w:spacing w:before="60" w:after="60"/>
      </w:pPr>
    </w:p>
    <w:p w:rsidR="00996FC2" w:rsidRDefault="00000000">
      <w:pPr>
        <w:pStyle w:val="Heading2"/>
      </w:pPr>
      <w:r>
        <w:t>4.6 Decision Window Tracking</w:t>
      </w:r>
    </w:p>
    <w:p w:rsidR="00996FC2" w:rsidRDefault="00000000">
      <w:pPr>
        <w:spacing w:before="100" w:after="100" w:line="280" w:lineRule="auto"/>
        <w:jc w:val="both"/>
      </w:pPr>
      <w:r>
        <w:t>The decision deadline mechanism---Anubis's identification of the window within which a specific intervention remains structurally available---functions as the Council's operational clock. Across the Gulf War cycles, the deadline compresses from 72 hours (Cycle 1) through 48 hours (Cycle 2) to a 24-hour Oman channel window (Cycle 6). This compression is not a repetition of the same warning---it is the tracking of a real structural dynamic: as the conflict extends, as command structures degrade, as domestic political positions harden, the set of available interventions narrows.</w:t>
      </w:r>
    </w:p>
    <w:p w:rsidR="00996FC2" w:rsidRDefault="00000000">
      <w:pPr>
        <w:spacing w:before="100" w:after="100" w:line="280" w:lineRule="auto"/>
        <w:jc w:val="both"/>
      </w:pPr>
      <w:r>
        <w:t>The Oman channel, identified in Cycle 6 as the last singular functioning diplomatic pathway, represents the Council's final identified intervention before the conflict dynamics become self-sustaining. This finding is operationally specific in a way that NETJERU's structural prescriptions are not, and it is the clearest illustration of the two-system complementarity: NETJERU identifies that diplomatic regulation has failed (SRF elevated); The Council identifies that the Oman channel is the specific remaining mechanism and that its window is 72 hours.</w:t>
      </w:r>
    </w:p>
    <w:p w:rsidR="00996FC2" w:rsidRDefault="00996FC2">
      <w:pPr>
        <w:spacing w:before="60" w:after="60"/>
      </w:pPr>
    </w:p>
    <w:p w:rsidR="00996FC2" w:rsidRDefault="00996FC2">
      <w:pPr>
        <w:spacing w:before="60" w:after="60"/>
      </w:pPr>
    </w:p>
    <w:p w:rsidR="00117E2F" w:rsidRDefault="00117E2F">
      <w:pPr>
        <w:pStyle w:val="Heading1"/>
      </w:pPr>
    </w:p>
    <w:p w:rsidR="00117E2F" w:rsidRDefault="00117E2F">
      <w:pPr>
        <w:pStyle w:val="Heading1"/>
      </w:pPr>
    </w:p>
    <w:p w:rsidR="00117E2F" w:rsidRDefault="00117E2F">
      <w:pPr>
        <w:pStyle w:val="Heading1"/>
      </w:pPr>
    </w:p>
    <w:p w:rsidR="00117E2F" w:rsidRDefault="00117E2F">
      <w:pPr>
        <w:pStyle w:val="Heading1"/>
      </w:pPr>
    </w:p>
    <w:p w:rsidR="00117E2F" w:rsidRDefault="00117E2F">
      <w:pPr>
        <w:pStyle w:val="Heading1"/>
      </w:pPr>
    </w:p>
    <w:p w:rsidR="00117E2F" w:rsidRDefault="00117E2F">
      <w:pPr>
        <w:pStyle w:val="Heading1"/>
      </w:pPr>
    </w:p>
    <w:p w:rsidR="00996FC2" w:rsidRDefault="00000000">
      <w:pPr>
        <w:pStyle w:val="Heading1"/>
      </w:pPr>
      <w:r>
        <w:lastRenderedPageBreak/>
        <w:t>5. Cross-Cycle Analytical Patterns</w:t>
      </w:r>
    </w:p>
    <w:p w:rsidR="00996FC2" w:rsidRDefault="00996FC2">
      <w:pPr>
        <w:pBdr>
          <w:bottom w:val="single" w:sz="6" w:space="1" w:color="6B2737"/>
        </w:pBdr>
        <w:spacing w:before="100" w:after="100"/>
      </w:pPr>
    </w:p>
    <w:p w:rsidR="00996FC2" w:rsidRDefault="00996FC2">
      <w:pPr>
        <w:spacing w:before="60" w:after="60"/>
      </w:pPr>
    </w:p>
    <w:p w:rsidR="00996FC2" w:rsidRDefault="00000000">
      <w:pPr>
        <w:pStyle w:val="Heading2"/>
      </w:pPr>
      <w:r>
        <w:t>5.1 Cycles 1 and 4: Duplication and Pipeline Integrity</w:t>
      </w:r>
    </w:p>
    <w:p w:rsidR="00996FC2" w:rsidRDefault="00000000">
      <w:pPr>
        <w:spacing w:before="100" w:after="100" w:line="280" w:lineRule="auto"/>
        <w:jc w:val="both"/>
      </w:pPr>
      <w:r>
        <w:t>Cycles 1 and 4 cover the same topic (Gulf War Day 26 financial stress framing) with identical signal inventories, identical Set challenge outcomes, identical DSSM dimensional scores, and identical prescriptions. This duplication was not intended as a replication test; it reflects a Day 26 query being run twice, five days apart, against what appears to be the same signal corpus.</w:t>
      </w:r>
    </w:p>
    <w:p w:rsidR="00996FC2" w:rsidRDefault="00000000">
      <w:pPr>
        <w:spacing w:before="100" w:after="100" w:line="280" w:lineRule="auto"/>
        <w:jc w:val="both"/>
      </w:pPr>
      <w:r>
        <w:t>The analytically significant element of this duplication is the divergent Anubis confidence output: Cycle 1 returns 65% and Cycle 4 returns 41%, with Cycle 4 explicitly flagging Osiris retrieval error. This demonstrates that the signal content and the pipeline integrity are scored independently. Identical input can produce different confidence outputs when the pipeline itself degrades. This is correct behavior.</w:t>
      </w:r>
    </w:p>
    <w:p w:rsidR="00996FC2" w:rsidRDefault="00996FC2">
      <w:pPr>
        <w:spacing w:before="60" w:after="60"/>
      </w:pPr>
    </w:p>
    <w:p w:rsidR="00996FC2" w:rsidRDefault="00000000">
      <w:pPr>
        <w:pStyle w:val="Heading2"/>
      </w:pPr>
      <w:r>
        <w:t>5.2 MSS Dominance Across the Gulf War Cluster</w:t>
      </w:r>
    </w:p>
    <w:p w:rsidR="00996FC2" w:rsidRDefault="00000000">
      <w:pPr>
        <w:spacing w:before="100" w:after="100" w:line="280" w:lineRule="auto"/>
        <w:jc w:val="both"/>
      </w:pPr>
      <w:r>
        <w:t>Macro Symbolic Shift is the dominant or ceiling dimension across all five Gulf War cycles (Cycles 1, 2, 4, 5, 6). The cycle analyses consistently characterize the conflict as a legitimacy-and-resource realignment event rather than a territorial or security contest. This reading is analytically substantive: the Gulf War cycles identify the petrodollar circuit as the operative structural stake, the dollar-denominated energy settlement as the vulnerable architecture, and the conflict as an accelerant on a pre-loaded systemic transition. MSS at ceiling is not the system failing to discriminate---it is the system correctly identifying that the operative dynamic in this conflict is civilizational-scale symbolic reordering.</w:t>
      </w:r>
    </w:p>
    <w:p w:rsidR="00996FC2" w:rsidRDefault="00996FC2">
      <w:pPr>
        <w:spacing w:before="60" w:after="60"/>
      </w:pPr>
    </w:p>
    <w:p w:rsidR="00996FC2" w:rsidRDefault="00000000">
      <w:pPr>
        <w:pStyle w:val="Heading2"/>
      </w:pPr>
      <w:r>
        <w:t>5.3 US-China-Taiwan as Structural Contrast</w:t>
      </w:r>
    </w:p>
    <w:p w:rsidR="00996FC2" w:rsidRDefault="00000000">
      <w:pPr>
        <w:spacing w:before="100" w:after="100" w:line="280" w:lineRule="auto"/>
        <w:jc w:val="both"/>
      </w:pPr>
      <w:r>
        <w:t>Cycle 3's US-China-Taiwan analysis provides the strongest evidence of dimensional discrimination in the six-cycle corpus. Against the Gulf War cycles' MSS-dominant, SRF-elevated profile, Cycle 3 returns a distinctly different dimensional fingerprint: MSS dominant but at 1.9/4 (not ceiling), IC at 0.8/4 (institutions present and operational), SRF at 1.4/4 (moderate decay, not yet below functional threshold), and AGF near-zero. The system correctly identifies the Taiwan scenario as stable fragmentation under stress rather than active destabilization---the ambiguity architecture is load-bearing for all parties simultaneously, and dismantling it requires a winner that no actor currently has the risk tolerance to be. The dimensional profile reflects the structural difference.</w:t>
      </w:r>
    </w:p>
    <w:p w:rsidR="00996FC2" w:rsidRDefault="00996FC2">
      <w:pPr>
        <w:spacing w:before="60" w:after="60"/>
      </w:pPr>
    </w:p>
    <w:p w:rsidR="00996FC2" w:rsidRDefault="00996FC2">
      <w:pPr>
        <w:spacing w:before="60" w:after="60"/>
      </w:pPr>
    </w:p>
    <w:p w:rsidR="00996FC2" w:rsidRDefault="00000000">
      <w:pPr>
        <w:pStyle w:val="Heading1"/>
      </w:pPr>
      <w:r>
        <w:lastRenderedPageBreak/>
        <w:t>6. Identified Limitations</w:t>
      </w:r>
    </w:p>
    <w:p w:rsidR="00996FC2" w:rsidRDefault="00996FC2">
      <w:pPr>
        <w:pBdr>
          <w:bottom w:val="single" w:sz="6" w:space="1" w:color="6B2737"/>
        </w:pBdr>
        <w:spacing w:before="100" w:after="100"/>
      </w:pPr>
    </w:p>
    <w:p w:rsidR="00996FC2" w:rsidRDefault="00996FC2">
      <w:pPr>
        <w:spacing w:before="60" w:after="60"/>
      </w:pPr>
    </w:p>
    <w:p w:rsidR="00996FC2" w:rsidRDefault="00000000">
      <w:pPr>
        <w:pStyle w:val="Heading2"/>
      </w:pPr>
      <w:r>
        <w:t>6.1 Scoring Scale Inconsistency</w:t>
      </w:r>
    </w:p>
    <w:p w:rsidR="00996FC2" w:rsidRDefault="00000000">
      <w:pPr>
        <w:spacing w:before="100" w:after="100" w:line="280" w:lineRule="auto"/>
        <w:jc w:val="both"/>
      </w:pPr>
      <w:r>
        <w:t>The six cycles use three different dimensional scoring scales: Cycles 1 and 4 use a /2.0 scale per dimension; Cycles 2 and 3 use /4; Cycle 5 uses /10; Cycle 6 uses /4. The relative readings are internally coherent within each cycle, and the dimensional patterns are consistent across cycles when scales are normalized. However, the scale inconsistency prevents direct cross-cycle numerical comparison without normalization. Future cycles should standardize on a single scale. The /10 scale used in Cycle 5 provides the greatest resolution; the /4 scale used in Cycles 2, 3, and 6 is most consistent with the NETJERU parallel system.</w:t>
      </w:r>
    </w:p>
    <w:p w:rsidR="00996FC2" w:rsidRDefault="00996FC2">
      <w:pPr>
        <w:spacing w:before="60" w:after="60"/>
      </w:pPr>
    </w:p>
    <w:p w:rsidR="00996FC2" w:rsidRDefault="00000000">
      <w:pPr>
        <w:pStyle w:val="Heading2"/>
      </w:pPr>
      <w:r>
        <w:t>6.2 NETJERU Cross-Reference Absence</w:t>
      </w:r>
    </w:p>
    <w:p w:rsidR="00996FC2" w:rsidRDefault="00000000">
      <w:pPr>
        <w:spacing w:before="100" w:after="100" w:line="280" w:lineRule="auto"/>
        <w:jc w:val="both"/>
      </w:pPr>
      <w:r>
        <w:t>Cycles 6, 7, and 8 of NETJERU overlap temporally with Cycles 1-6 of The Council. Both systems were running analyses of the Gulf War scenario during the same period. The Council cycles do not reference concurrent NETJERU findings; NETJERU cycles do not reference concurrent Council analyses. The structural complementarity between the two systems---NETJERU's civilizational-scale MSS readings providing the macro context for the Council's operational assessments---is analytically significant but is not made explicit in the cycle documents. Cross-referencing between the two systems in future cycles would strengthen both outputs.</w:t>
      </w:r>
    </w:p>
    <w:p w:rsidR="00996FC2" w:rsidRDefault="00996FC2">
      <w:pPr>
        <w:spacing w:before="60" w:after="60"/>
      </w:pPr>
    </w:p>
    <w:p w:rsidR="00996FC2" w:rsidRDefault="00000000">
      <w:pPr>
        <w:pStyle w:val="Heading2"/>
      </w:pPr>
      <w:r>
        <w:t>6.3 Ra Final Judgment Visibility</w:t>
      </w:r>
    </w:p>
    <w:p w:rsidR="00996FC2" w:rsidRDefault="00000000">
      <w:pPr>
        <w:spacing w:before="100" w:after="100" w:line="280" w:lineRule="auto"/>
        <w:jc w:val="both"/>
      </w:pPr>
      <w:r>
        <w:t>Paper 44 specifies Ra's final judgment as a distinct crimson-bordered section explicitly engaging Set's strongest challenges. In the six-cycle corpus, Ra judgment content is present but is not consistently labeled as a discrete section in every cycle. The analytical content is there; the structural visibility is inconsistent. This is a formatting issue, not an analytical failure, but it affects the document's usability as a reference record.</w:t>
      </w:r>
    </w:p>
    <w:p w:rsidR="00996FC2" w:rsidRDefault="00996FC2">
      <w:pPr>
        <w:spacing w:before="60" w:after="60"/>
      </w:pPr>
    </w:p>
    <w:p w:rsidR="00996FC2" w:rsidRDefault="00000000">
      <w:pPr>
        <w:pStyle w:val="Heading2"/>
      </w:pPr>
      <w:r>
        <w:t>6.4 Maat Regulatory Output</w:t>
      </w:r>
    </w:p>
    <w:p w:rsidR="00996FC2" w:rsidRDefault="00000000">
      <w:pPr>
        <w:spacing w:before="100" w:after="100" w:line="280" w:lineRule="auto"/>
        <w:jc w:val="both"/>
      </w:pPr>
      <w:r>
        <w:t>The Maat agent is specified as a regulatory floor layer that enforces operational constraints and produces compliance output. The five hard operational constraints---including the absolute prohibition on autonomous action---are clearly observed across all six cycles (no cycle produces any output that triggers downstream action, and all outputs explicitly route decision authority to Horus). However, Maat does not produce a labeled output section in the cycle documents. The constraints are being enforced; the enforcement is not documented as a discrete agent output.</w:t>
      </w:r>
    </w:p>
    <w:p w:rsidR="00996FC2" w:rsidRDefault="00000000">
      <w:pPr>
        <w:pStyle w:val="Heading1"/>
      </w:pPr>
      <w:r>
        <w:lastRenderedPageBreak/>
        <w:t>7. Discussion</w:t>
      </w:r>
    </w:p>
    <w:p w:rsidR="00996FC2" w:rsidRDefault="00996FC2">
      <w:pPr>
        <w:pBdr>
          <w:bottom w:val="single" w:sz="6" w:space="1" w:color="6B2737"/>
        </w:pBdr>
        <w:spacing w:before="100" w:after="100"/>
      </w:pPr>
    </w:p>
    <w:p w:rsidR="00996FC2" w:rsidRDefault="00996FC2">
      <w:pPr>
        <w:spacing w:before="60" w:after="60"/>
      </w:pPr>
    </w:p>
    <w:p w:rsidR="00996FC2" w:rsidRDefault="00000000">
      <w:pPr>
        <w:spacing w:before="100" w:after="100" w:line="280" w:lineRule="auto"/>
        <w:jc w:val="both"/>
      </w:pPr>
      <w:r>
        <w:t>The six-cycle corpus validates the core architectural claims of The Council: the system produces consistent, falsifiable, adversarially-challenged, confidence-calibrated intelligence output across diverse geopolitical scenarios. The Anubis confidence mechanism is particularly well-validated: its sensitivity to pipeline integrity (Cycle 4) and its consistent maintenance of 61% across live kinetic cycles demonstrates genuine calibration rather than a fixed output.</w:t>
      </w:r>
    </w:p>
    <w:p w:rsidR="00996FC2" w:rsidRDefault="00000000">
      <w:pPr>
        <w:spacing w:before="100" w:after="100" w:line="280" w:lineRule="auto"/>
        <w:jc w:val="both"/>
      </w:pPr>
      <w:r>
        <w:t>The primary analytical value of the six-cycle corpus is not in any individual cycle finding but in the cross-cycle patterns: the Suez inversion as a structural observation about resolution pathway availability; the AI mis-attribution risk-ordering as a methodological contribution to operational risk assessment; the MSS dominance across Gulf War cycles as a characterization of the current conflict as a legitimacy-and-resource realignment rather than a territorial contest.</w:t>
      </w:r>
    </w:p>
    <w:p w:rsidR="00996FC2" w:rsidRDefault="00000000">
      <w:pPr>
        <w:spacing w:before="100" w:after="100" w:line="280" w:lineRule="auto"/>
        <w:jc w:val="both"/>
      </w:pPr>
      <w:r>
        <w:t>The connection between The Council and NETJERU represents the most significant underdeveloped element of the current corpus. Both systems are producing analytically complementary outputs, and the two-system architecture is explicitly designed to work as a whole: NETJERU provides the civilizational structural context; The Council provides the operational depth. Making this complementarity explicit in the cycle documents---through systematic cross-referencing---would be the single highest-leverage documentation improvement available.</w:t>
      </w:r>
    </w:p>
    <w:p w:rsidR="00996FC2" w:rsidRDefault="00996FC2">
      <w:pPr>
        <w:spacing w:before="60" w:after="60"/>
      </w:pPr>
    </w:p>
    <w:p w:rsidR="00996FC2" w:rsidRDefault="00996FC2">
      <w:pPr>
        <w:spacing w:before="60" w:after="60"/>
      </w:pPr>
    </w:p>
    <w:p w:rsidR="00117E2F" w:rsidRDefault="00117E2F">
      <w:pPr>
        <w:pStyle w:val="Heading1"/>
      </w:pPr>
    </w:p>
    <w:p w:rsidR="00117E2F" w:rsidRDefault="00117E2F">
      <w:pPr>
        <w:pStyle w:val="Heading1"/>
      </w:pPr>
    </w:p>
    <w:p w:rsidR="00117E2F" w:rsidRDefault="00117E2F">
      <w:pPr>
        <w:pStyle w:val="Heading1"/>
      </w:pPr>
    </w:p>
    <w:p w:rsidR="00117E2F" w:rsidRDefault="00117E2F">
      <w:pPr>
        <w:pStyle w:val="Heading1"/>
      </w:pPr>
    </w:p>
    <w:p w:rsidR="00117E2F" w:rsidRDefault="00117E2F">
      <w:pPr>
        <w:pStyle w:val="Heading1"/>
      </w:pPr>
    </w:p>
    <w:p w:rsidR="00117E2F" w:rsidRDefault="00117E2F">
      <w:pPr>
        <w:pStyle w:val="Heading1"/>
      </w:pPr>
    </w:p>
    <w:p w:rsidR="00117E2F" w:rsidRDefault="00117E2F">
      <w:pPr>
        <w:pStyle w:val="Heading1"/>
      </w:pPr>
    </w:p>
    <w:p w:rsidR="00117E2F" w:rsidRDefault="00117E2F">
      <w:pPr>
        <w:pStyle w:val="Heading1"/>
      </w:pPr>
    </w:p>
    <w:p w:rsidR="00996FC2" w:rsidRDefault="00000000">
      <w:pPr>
        <w:pStyle w:val="Heading1"/>
      </w:pPr>
      <w:r>
        <w:lastRenderedPageBreak/>
        <w:t>8. Conclusion</w:t>
      </w:r>
    </w:p>
    <w:p w:rsidR="00996FC2" w:rsidRDefault="00996FC2">
      <w:pPr>
        <w:pBdr>
          <w:bottom w:val="single" w:sz="6" w:space="1" w:color="6B2737"/>
        </w:pBdr>
        <w:spacing w:before="100" w:after="100"/>
      </w:pPr>
    </w:p>
    <w:p w:rsidR="00996FC2" w:rsidRDefault="00996FC2">
      <w:pPr>
        <w:spacing w:before="60" w:after="60"/>
      </w:pPr>
    </w:p>
    <w:p w:rsidR="00996FC2" w:rsidRDefault="00000000">
      <w:pPr>
        <w:spacing w:before="100" w:after="100" w:line="280" w:lineRule="auto"/>
        <w:jc w:val="both"/>
      </w:pPr>
      <w:r>
        <w:t>This paper has presented the empirical record of The Council across six operational cycles and assessed the degree to which that record validates the system's architectural specifications. The core findings are:</w:t>
      </w:r>
    </w:p>
    <w:p w:rsidR="00996FC2" w:rsidRDefault="00000000">
      <w:pPr>
        <w:pStyle w:val="ListParagraph"/>
        <w:numPr>
          <w:ilvl w:val="0"/>
          <w:numId w:val="2"/>
        </w:numPr>
        <w:spacing w:before="60" w:after="60"/>
      </w:pPr>
      <w:r>
        <w:t>Output structure is consistent and complete across all six cycles covering three distinct topic clusters.</w:t>
      </w:r>
    </w:p>
    <w:p w:rsidR="00996FC2" w:rsidRDefault="00000000">
      <w:pPr>
        <w:pStyle w:val="ListParagraph"/>
        <w:numPr>
          <w:ilvl w:val="0"/>
          <w:numId w:val="2"/>
        </w:numPr>
        <w:spacing w:before="60" w:after="60"/>
      </w:pPr>
      <w:r>
        <w:t>The Anubis confidence mechanism correctly distinguishes between epistemic limits in live environments (61%) and pipeline degradation (41%), demonstrating genuine confidence calibration.</w:t>
      </w:r>
    </w:p>
    <w:p w:rsidR="00996FC2" w:rsidRDefault="00000000">
      <w:pPr>
        <w:pStyle w:val="ListParagraph"/>
        <w:numPr>
          <w:ilvl w:val="0"/>
          <w:numId w:val="2"/>
        </w:numPr>
        <w:spacing w:before="60" w:after="60"/>
      </w:pPr>
      <w:r>
        <w:t>Set adversarial challenge produces substantive, justified reductions with variable magnitude, including full signal nullification when source content is internally contradictory.</w:t>
      </w:r>
    </w:p>
    <w:p w:rsidR="00996FC2" w:rsidRDefault="00000000">
      <w:pPr>
        <w:pStyle w:val="ListParagraph"/>
        <w:numPr>
          <w:ilvl w:val="0"/>
          <w:numId w:val="2"/>
        </w:numPr>
        <w:spacing w:before="60" w:after="60"/>
      </w:pPr>
      <w:r>
        <w:t>The Suez inversion finding---identifying that the 1956 resolution mechanism does not transfer to 2026 because the US has changed structural position---is the corpus's highest-confidence analytical result and holds under Ra's explicit adversarial engagement.</w:t>
      </w:r>
    </w:p>
    <w:p w:rsidR="00996FC2" w:rsidRDefault="00000000">
      <w:pPr>
        <w:pStyle w:val="ListParagraph"/>
        <w:numPr>
          <w:ilvl w:val="0"/>
          <w:numId w:val="2"/>
        </w:numPr>
        <w:spacing w:before="60" w:after="60"/>
      </w:pPr>
      <w:r>
        <w:t>AI mis-attribution is correctly identified as Risk 1 across all kinetic cycles on consequence-irreversibility grounds, establishing a coherent risk-ordering methodology distinct from probability ranking.</w:t>
      </w:r>
    </w:p>
    <w:p w:rsidR="00996FC2" w:rsidRDefault="00000000">
      <w:pPr>
        <w:pStyle w:val="ListParagraph"/>
        <w:numPr>
          <w:ilvl w:val="0"/>
          <w:numId w:val="2"/>
        </w:numPr>
        <w:spacing w:before="60" w:after="60"/>
      </w:pPr>
      <w:r>
        <w:t>The decision window mechanism correctly tracks compression across the Gulf War cycle cluster, from 72-hour general window to 24-hour Oman channel specificity.</w:t>
      </w:r>
    </w:p>
    <w:p w:rsidR="00996FC2" w:rsidRDefault="00000000">
      <w:pPr>
        <w:spacing w:before="100" w:after="100" w:line="280" w:lineRule="auto"/>
        <w:jc w:val="both"/>
      </w:pPr>
      <w:r>
        <w:t>The identified limitations---scoring scale inconsistency, absent NETJERU cross-referencing, Ra section labeling, Maat output documentation---are addressable without architectural changes. The scoring scale should be standardized in the next cycle. The NETJERU cross-reference structure should be implemented as a standing section in future Council cycles.</w:t>
      </w:r>
    </w:p>
    <w:p w:rsidR="00996FC2" w:rsidRDefault="00000000">
      <w:pPr>
        <w:spacing w:before="100" w:after="100" w:line="280" w:lineRule="auto"/>
        <w:jc w:val="both"/>
      </w:pPr>
      <w:r>
        <w:t>Six cycles across eleven days represents a limited empirical base. The validation finding is that the system is behaving as specified. Whether its analytical conclusions are correct is a question the next six months of events will answer, and the falsifiability conditions in each cycle provide the specific checkpoints against which that question can be assessed.</w:t>
      </w:r>
    </w:p>
    <w:p w:rsidR="00996FC2" w:rsidRDefault="00996FC2">
      <w:pPr>
        <w:spacing w:before="60" w:after="60"/>
      </w:pPr>
    </w:p>
    <w:p w:rsidR="00996FC2" w:rsidRDefault="00996FC2">
      <w:pPr>
        <w:spacing w:before="60" w:after="60"/>
      </w:pPr>
    </w:p>
    <w:p w:rsidR="00117E2F" w:rsidRDefault="00117E2F">
      <w:pPr>
        <w:pStyle w:val="Heading1"/>
      </w:pPr>
    </w:p>
    <w:p w:rsidR="00117E2F" w:rsidRDefault="00117E2F">
      <w:pPr>
        <w:pStyle w:val="Heading1"/>
      </w:pPr>
    </w:p>
    <w:p w:rsidR="00117E2F" w:rsidRDefault="00117E2F">
      <w:pPr>
        <w:pStyle w:val="Heading1"/>
      </w:pPr>
    </w:p>
    <w:p w:rsidR="00996FC2" w:rsidRDefault="00000000">
      <w:pPr>
        <w:pStyle w:val="Heading1"/>
      </w:pPr>
      <w:r>
        <w:lastRenderedPageBreak/>
        <w:t>References</w:t>
      </w:r>
    </w:p>
    <w:p w:rsidR="00996FC2" w:rsidRDefault="00996FC2">
      <w:pPr>
        <w:pBdr>
          <w:bottom w:val="single" w:sz="6" w:space="1" w:color="6B2737"/>
        </w:pBdr>
        <w:spacing w:before="100" w:after="100"/>
      </w:pPr>
    </w:p>
    <w:p w:rsidR="00996FC2" w:rsidRDefault="00996FC2">
      <w:pPr>
        <w:spacing w:before="60" w:after="60"/>
      </w:pPr>
    </w:p>
    <w:p w:rsidR="00996FC2" w:rsidRDefault="00000000">
      <w:pPr>
        <w:spacing w:before="100" w:after="100" w:line="280" w:lineRule="auto"/>
        <w:jc w:val="both"/>
      </w:pPr>
      <w:r>
        <w:t>[1] Vondoom, A. (2026). The Council: An Automated Multi-Agent Intelligence System for Macro-Symbolic Stress Detection. Zenodo. https://doi.org/10.5281/zenodo.19391718</w:t>
      </w:r>
    </w:p>
    <w:p w:rsidR="00996FC2" w:rsidRDefault="00000000">
      <w:pPr>
        <w:spacing w:before="100" w:after="100" w:line="280" w:lineRule="auto"/>
        <w:jc w:val="both"/>
      </w:pPr>
      <w:r>
        <w:t>[2] Vondoom, A. (2026). NETJERU: A Multi-Stage, Multi-Agent Intelligence Analysis Framework with Adversarial Epistemological Controls. Zenodo. https://doi.org/10.5281/zenodo.19388884</w:t>
      </w:r>
    </w:p>
    <w:p w:rsidR="00996FC2" w:rsidRDefault="00000000">
      <w:pPr>
        <w:spacing w:before="100" w:after="100" w:line="280" w:lineRule="auto"/>
        <w:jc w:val="both"/>
      </w:pPr>
      <w:r>
        <w:t>[3] Vondoom, A. (2026). Civilization Is Rehearsed: The Deep Symbolic Systems Model. OSF/Zenodo. [DSSM Master Synthesis]</w:t>
      </w:r>
    </w:p>
    <w:p w:rsidR="00996FC2" w:rsidRDefault="00000000">
      <w:pPr>
        <w:spacing w:before="100" w:after="100" w:line="280" w:lineRule="auto"/>
        <w:jc w:val="both"/>
      </w:pPr>
      <w:r>
        <w:t>[4] Donald, M. (1991). Origins of the Modern Mind: Three Stages in the Evolution of Culture and Cognition. Harvard University Press.</w:t>
      </w:r>
    </w:p>
    <w:p w:rsidR="00996FC2" w:rsidRDefault="00000000">
      <w:pPr>
        <w:spacing w:before="100" w:after="100" w:line="280" w:lineRule="auto"/>
        <w:jc w:val="both"/>
      </w:pPr>
      <w:r>
        <w:t>[5] Tetlock, P. E., &amp; Gardner, D. (2015). Superforecasting: The Art and Science of Prediction. Crown Publishers.</w:t>
      </w:r>
    </w:p>
    <w:p w:rsidR="00996FC2" w:rsidRDefault="00000000">
      <w:pPr>
        <w:spacing w:before="100" w:after="100" w:line="280" w:lineRule="auto"/>
        <w:jc w:val="both"/>
      </w:pPr>
      <w:r>
        <w:t>[6] Kahneman, D. (2011). Thinking, Fast and Slow. Farrar, Straus and Giroux.</w:t>
      </w:r>
    </w:p>
    <w:p w:rsidR="00996FC2" w:rsidRDefault="00000000">
      <w:pPr>
        <w:spacing w:before="100" w:after="100" w:line="280" w:lineRule="auto"/>
        <w:jc w:val="both"/>
      </w:pPr>
      <w:r>
        <w:t>[7] Bender, E. M., et al. (2021). On the Dangers of Stochastic Parrots: Can Language Models Be Too Big? FAccT 2021.</w:t>
      </w:r>
    </w:p>
    <w:p w:rsidR="00996FC2" w:rsidRDefault="00000000">
      <w:pPr>
        <w:spacing w:before="100" w:after="100" w:line="280" w:lineRule="auto"/>
        <w:jc w:val="both"/>
      </w:pPr>
      <w:r>
        <w:t>[8] Nye, J. S. (1990). Bound to Lead: The Changing Nature of American Power. Basic Books. [Referenced for Suez analogue historical context]</w:t>
      </w:r>
    </w:p>
    <w:p w:rsidR="00996FC2" w:rsidRDefault="00996FC2">
      <w:pPr>
        <w:spacing w:before="60" w:after="60"/>
      </w:pPr>
    </w:p>
    <w:p w:rsidR="00996FC2" w:rsidRDefault="00996FC2">
      <w:pPr>
        <w:spacing w:before="60" w:after="60"/>
      </w:pPr>
    </w:p>
    <w:p w:rsidR="00996FC2" w:rsidRDefault="00000000">
      <w:pPr>
        <w:spacing w:before="200" w:after="200"/>
        <w:jc w:val="center"/>
      </w:pPr>
      <w:r>
        <w:rPr>
          <w:color w:val="888888"/>
          <w:sz w:val="18"/>
          <w:szCs w:val="18"/>
        </w:rPr>
        <w:t>© Anthony Vondoom 2026 · All rights reserved · NETJERU Intelligence System</w:t>
      </w:r>
    </w:p>
    <w:sectPr w:rsidR="00996FC2">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376F" w:rsidRDefault="002E376F">
      <w:r>
        <w:separator/>
      </w:r>
    </w:p>
  </w:endnote>
  <w:endnote w:type="continuationSeparator" w:id="0">
    <w:p w:rsidR="002E376F" w:rsidRDefault="002E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6FC2" w:rsidRDefault="00000000">
    <w:pPr>
      <w:pBdr>
        <w:top w:val="single" w:sz="4" w:space="1" w:color="8B1A1A"/>
      </w:pBdr>
      <w:tabs>
        <w:tab w:val="right" w:pos="9360"/>
      </w:tabs>
    </w:pPr>
    <w:r>
      <w:rPr>
        <w:color w:val="666666"/>
        <w:sz w:val="18"/>
        <w:szCs w:val="18"/>
      </w:rPr>
      <w:t xml:space="preserve">© </w:t>
    </w:r>
    <w:r>
      <w:rPr>
        <w:color w:val="666666"/>
        <w:sz w:val="18"/>
        <w:szCs w:val="18"/>
      </w:rPr>
      <w:t>Anthony Vondoom 2026 · ORCID: 0009-0003-4953-1427</w:t>
    </w:r>
    <w:r>
      <w:rPr>
        <w:sz w:val="18"/>
        <w:szCs w:val="18"/>
      </w:rPr>
      <w:tab/>
    </w:r>
    <w:r>
      <w:fldChar w:fldCharType="begin"/>
    </w:r>
    <w:r>
      <w:instrText>PAGE</w:instrText>
    </w:r>
    <w:r>
      <w:fldChar w:fldCharType="separate"/>
    </w:r>
    <w:r w:rsidR="00117E2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376F" w:rsidRDefault="002E376F">
      <w:r>
        <w:separator/>
      </w:r>
    </w:p>
  </w:footnote>
  <w:footnote w:type="continuationSeparator" w:id="0">
    <w:p w:rsidR="002E376F" w:rsidRDefault="002E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7E2F" w:rsidRPr="00117E2F" w:rsidRDefault="00000000" w:rsidP="00117E2F">
    <w:pPr>
      <w:pBdr>
        <w:bottom w:val="single" w:sz="4" w:space="1" w:color="8B1A1A"/>
      </w:pBdr>
      <w:jc w:val="center"/>
      <w:rPr>
        <w:color w:val="666666"/>
        <w:sz w:val="18"/>
        <w:szCs w:val="18"/>
      </w:rPr>
    </w:pPr>
    <w:r w:rsidRPr="00117E2F">
      <w:rPr>
        <w:b/>
        <w:bCs/>
        <w:color w:val="666666"/>
        <w:sz w:val="18"/>
        <w:szCs w:val="18"/>
      </w:rPr>
      <w:t>The Council</w:t>
    </w:r>
    <w:r>
      <w:rPr>
        <w:color w:val="666666"/>
        <w:sz w:val="18"/>
        <w:szCs w:val="18"/>
      </w:rPr>
      <w:t>: Empirical Validation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439"/>
    <w:multiLevelType w:val="hybridMultilevel"/>
    <w:tmpl w:val="7E1A4284"/>
    <w:lvl w:ilvl="0" w:tplc="18D85BA2">
      <w:start w:val="1"/>
      <w:numFmt w:val="bullet"/>
      <w:lvlText w:val="●"/>
      <w:lvlJc w:val="left"/>
      <w:pPr>
        <w:ind w:left="720" w:hanging="360"/>
      </w:pPr>
    </w:lvl>
    <w:lvl w:ilvl="1" w:tplc="C72467A0">
      <w:start w:val="1"/>
      <w:numFmt w:val="bullet"/>
      <w:lvlText w:val="○"/>
      <w:lvlJc w:val="left"/>
      <w:pPr>
        <w:ind w:left="1440" w:hanging="360"/>
      </w:pPr>
    </w:lvl>
    <w:lvl w:ilvl="2" w:tplc="D96459BE">
      <w:start w:val="1"/>
      <w:numFmt w:val="bullet"/>
      <w:lvlText w:val="■"/>
      <w:lvlJc w:val="left"/>
      <w:pPr>
        <w:ind w:left="2160" w:hanging="360"/>
      </w:pPr>
    </w:lvl>
    <w:lvl w:ilvl="3" w:tplc="521A0402">
      <w:start w:val="1"/>
      <w:numFmt w:val="bullet"/>
      <w:lvlText w:val="●"/>
      <w:lvlJc w:val="left"/>
      <w:pPr>
        <w:ind w:left="2880" w:hanging="360"/>
      </w:pPr>
    </w:lvl>
    <w:lvl w:ilvl="4" w:tplc="1E9804E4">
      <w:start w:val="1"/>
      <w:numFmt w:val="bullet"/>
      <w:lvlText w:val="○"/>
      <w:lvlJc w:val="left"/>
      <w:pPr>
        <w:ind w:left="3600" w:hanging="360"/>
      </w:pPr>
    </w:lvl>
    <w:lvl w:ilvl="5" w:tplc="D81C38D2">
      <w:start w:val="1"/>
      <w:numFmt w:val="bullet"/>
      <w:lvlText w:val="■"/>
      <w:lvlJc w:val="left"/>
      <w:pPr>
        <w:ind w:left="4320" w:hanging="360"/>
      </w:pPr>
    </w:lvl>
    <w:lvl w:ilvl="6" w:tplc="54522BAE">
      <w:start w:val="1"/>
      <w:numFmt w:val="bullet"/>
      <w:lvlText w:val="●"/>
      <w:lvlJc w:val="left"/>
      <w:pPr>
        <w:ind w:left="5040" w:hanging="360"/>
      </w:pPr>
    </w:lvl>
    <w:lvl w:ilvl="7" w:tplc="41A4B22E">
      <w:start w:val="1"/>
      <w:numFmt w:val="bullet"/>
      <w:lvlText w:val="●"/>
      <w:lvlJc w:val="left"/>
      <w:pPr>
        <w:ind w:left="5760" w:hanging="360"/>
      </w:pPr>
    </w:lvl>
    <w:lvl w:ilvl="8" w:tplc="08A04D70">
      <w:start w:val="1"/>
      <w:numFmt w:val="bullet"/>
      <w:lvlText w:val="●"/>
      <w:lvlJc w:val="left"/>
      <w:pPr>
        <w:ind w:left="6480" w:hanging="360"/>
      </w:pPr>
    </w:lvl>
  </w:abstractNum>
  <w:abstractNum w:abstractNumId="1" w15:restartNumberingAfterBreak="0">
    <w:nsid w:val="7DC417A5"/>
    <w:multiLevelType w:val="hybridMultilevel"/>
    <w:tmpl w:val="9834930C"/>
    <w:lvl w:ilvl="0" w:tplc="CF14D410">
      <w:start w:val="1"/>
      <w:numFmt w:val="bullet"/>
      <w:lvlText w:val="•"/>
      <w:lvlJc w:val="left"/>
      <w:pPr>
        <w:ind w:left="720" w:hanging="360"/>
      </w:pPr>
    </w:lvl>
    <w:lvl w:ilvl="1" w:tplc="E66A1E02">
      <w:numFmt w:val="decimal"/>
      <w:lvlText w:val=""/>
      <w:lvlJc w:val="left"/>
    </w:lvl>
    <w:lvl w:ilvl="2" w:tplc="B900E1D8">
      <w:numFmt w:val="decimal"/>
      <w:lvlText w:val=""/>
      <w:lvlJc w:val="left"/>
    </w:lvl>
    <w:lvl w:ilvl="3" w:tplc="A0685080">
      <w:numFmt w:val="decimal"/>
      <w:lvlText w:val=""/>
      <w:lvlJc w:val="left"/>
    </w:lvl>
    <w:lvl w:ilvl="4" w:tplc="8DFCA1BC">
      <w:numFmt w:val="decimal"/>
      <w:lvlText w:val=""/>
      <w:lvlJc w:val="left"/>
    </w:lvl>
    <w:lvl w:ilvl="5" w:tplc="50F2A740">
      <w:numFmt w:val="decimal"/>
      <w:lvlText w:val=""/>
      <w:lvlJc w:val="left"/>
    </w:lvl>
    <w:lvl w:ilvl="6" w:tplc="D5800644">
      <w:numFmt w:val="decimal"/>
      <w:lvlText w:val=""/>
      <w:lvlJc w:val="left"/>
    </w:lvl>
    <w:lvl w:ilvl="7" w:tplc="CDA6DDB8">
      <w:numFmt w:val="decimal"/>
      <w:lvlText w:val=""/>
      <w:lvlJc w:val="left"/>
    </w:lvl>
    <w:lvl w:ilvl="8" w:tplc="55C626BE">
      <w:numFmt w:val="decimal"/>
      <w:lvlText w:val=""/>
      <w:lvlJc w:val="left"/>
    </w:lvl>
  </w:abstractNum>
  <w:num w:numId="1" w16cid:durableId="1588884297">
    <w:abstractNumId w:val="0"/>
    <w:lvlOverride w:ilvl="0">
      <w:startOverride w:val="1"/>
    </w:lvlOverride>
  </w:num>
  <w:num w:numId="2" w16cid:durableId="7195945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C2"/>
    <w:rsid w:val="00117E2F"/>
    <w:rsid w:val="002E376F"/>
    <w:rsid w:val="00996FC2"/>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decimalSymbol w:val="."/>
  <w:listSeparator w:val=","/>
  <w14:docId w14:val="2728B657"/>
  <w15:docId w15:val="{1144A668-1674-4749-9108-C74D5D25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L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A1A2E"/>
      <w:sz w:val="32"/>
      <w:szCs w:val="32"/>
    </w:rPr>
  </w:style>
  <w:style w:type="paragraph" w:styleId="Heading2">
    <w:name w:val="heading 2"/>
    <w:uiPriority w:val="9"/>
    <w:unhideWhenUsed/>
    <w:qFormat/>
    <w:pPr>
      <w:spacing w:before="280" w:after="140"/>
      <w:outlineLvl w:val="1"/>
    </w:pPr>
    <w:rPr>
      <w:b/>
      <w:bCs/>
      <w:color w:val="2C3E6E"/>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17E2F"/>
    <w:rPr>
      <w:color w:val="605E5C"/>
      <w:shd w:val="clear" w:color="auto" w:fill="E1DFDD"/>
    </w:rPr>
  </w:style>
  <w:style w:type="paragraph" w:styleId="Header">
    <w:name w:val="header"/>
    <w:basedOn w:val="Normal"/>
    <w:link w:val="HeaderChar"/>
    <w:uiPriority w:val="99"/>
    <w:unhideWhenUsed/>
    <w:rsid w:val="00117E2F"/>
    <w:pPr>
      <w:tabs>
        <w:tab w:val="center" w:pos="4513"/>
        <w:tab w:val="right" w:pos="9026"/>
      </w:tabs>
    </w:pPr>
  </w:style>
  <w:style w:type="character" w:customStyle="1" w:styleId="HeaderChar">
    <w:name w:val="Header Char"/>
    <w:basedOn w:val="DefaultParagraphFont"/>
    <w:link w:val="Header"/>
    <w:uiPriority w:val="99"/>
    <w:rsid w:val="00117E2F"/>
  </w:style>
  <w:style w:type="paragraph" w:styleId="Footer">
    <w:name w:val="footer"/>
    <w:basedOn w:val="Normal"/>
    <w:link w:val="FooterChar"/>
    <w:uiPriority w:val="99"/>
    <w:unhideWhenUsed/>
    <w:rsid w:val="00117E2F"/>
    <w:pPr>
      <w:tabs>
        <w:tab w:val="center" w:pos="4513"/>
        <w:tab w:val="right" w:pos="9026"/>
      </w:tabs>
    </w:pPr>
  </w:style>
  <w:style w:type="character" w:customStyle="1" w:styleId="FooterChar">
    <w:name w:val="Footer Char"/>
    <w:basedOn w:val="DefaultParagraphFont"/>
    <w:link w:val="Footer"/>
    <w:uiPriority w:val="99"/>
    <w:rsid w:val="0011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5281/zenodo.19388884" TargetMode="External"/><Relationship Id="rId3" Type="http://schemas.openxmlformats.org/officeDocument/2006/relationships/settings" Target="settings.xml"/><Relationship Id="rId7" Type="http://schemas.openxmlformats.org/officeDocument/2006/relationships/hyperlink" Target="https://doi.org/10.5281/zenodo.193917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3675</Words>
  <Characters>20952</Characters>
  <Application>Microsoft Office Word</Application>
  <DocSecurity>0</DocSecurity>
  <Lines>174</Lines>
  <Paragraphs>49</Paragraphs>
  <ScaleCrop>false</ScaleCrop>
  <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2026-04-03T23:11:00Z</dcterms:created>
  <dcterms:modified xsi:type="dcterms:W3CDTF">2026-04-04T21:33:00Z</dcterms:modified>
</cp:coreProperties>
</file>