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6472" w:rsidRDefault="00000000">
      <w:pPr>
        <w:spacing w:before="1200" w:after="200"/>
        <w:jc w:val="center"/>
      </w:pPr>
      <w:r>
        <w:rPr>
          <w:b/>
          <w:bCs/>
          <w:color w:val="1A1A2E"/>
          <w:sz w:val="80"/>
          <w:szCs w:val="80"/>
        </w:rPr>
        <w:t>NETJERU</w:t>
      </w:r>
    </w:p>
    <w:p w:rsidR="008E6472" w:rsidRDefault="00000000">
      <w:pPr>
        <w:spacing w:after="140"/>
        <w:jc w:val="center"/>
      </w:pPr>
      <w:r>
        <w:rPr>
          <w:color w:val="4A6FA5"/>
          <w:sz w:val="30"/>
          <w:szCs w:val="30"/>
        </w:rPr>
        <w:t>A Multi-Stage, Multi-Agent Intelligence Analysis Framework</w:t>
      </w:r>
    </w:p>
    <w:p w:rsidR="008E6472" w:rsidRDefault="00000000">
      <w:pPr>
        <w:spacing w:after="80"/>
        <w:jc w:val="center"/>
        <w:rPr>
          <w:color w:val="4A6FA5"/>
          <w:sz w:val="30"/>
          <w:szCs w:val="30"/>
        </w:rPr>
      </w:pPr>
      <w:r>
        <w:rPr>
          <w:color w:val="4A6FA5"/>
          <w:sz w:val="30"/>
          <w:szCs w:val="30"/>
        </w:rPr>
        <w:t>with Adversarial Epistemological Controls</w:t>
      </w:r>
    </w:p>
    <w:p w:rsidR="0097399C" w:rsidRDefault="0097399C">
      <w:pPr>
        <w:spacing w:after="80"/>
        <w:jc w:val="center"/>
        <w:rPr>
          <w:color w:val="4A6FA5"/>
          <w:sz w:val="30"/>
          <w:szCs w:val="30"/>
        </w:rPr>
      </w:pPr>
    </w:p>
    <w:p w:rsidR="0097399C" w:rsidRDefault="0097399C">
      <w:pPr>
        <w:spacing w:after="80"/>
        <w:jc w:val="center"/>
        <w:rPr>
          <w:color w:val="4A6FA5"/>
          <w:sz w:val="30"/>
          <w:szCs w:val="30"/>
        </w:rPr>
      </w:pPr>
    </w:p>
    <w:p w:rsidR="0097399C" w:rsidRDefault="0097399C">
      <w:pPr>
        <w:spacing w:after="80"/>
        <w:jc w:val="center"/>
        <w:rPr>
          <w:color w:val="4A6FA5"/>
          <w:sz w:val="30"/>
          <w:szCs w:val="30"/>
        </w:rPr>
      </w:pPr>
    </w:p>
    <w:p w:rsidR="0097399C" w:rsidRDefault="0097399C">
      <w:pPr>
        <w:spacing w:after="80"/>
        <w:jc w:val="center"/>
        <w:rPr>
          <w:color w:val="4A6FA5"/>
          <w:sz w:val="30"/>
          <w:szCs w:val="30"/>
        </w:rPr>
      </w:pPr>
    </w:p>
    <w:p w:rsidR="0097399C" w:rsidRDefault="0097399C">
      <w:pPr>
        <w:spacing w:after="80"/>
        <w:jc w:val="center"/>
        <w:rPr>
          <w:color w:val="4A6FA5"/>
          <w:sz w:val="30"/>
          <w:szCs w:val="30"/>
        </w:rPr>
      </w:pPr>
    </w:p>
    <w:p w:rsidR="0097399C" w:rsidRDefault="0097399C">
      <w:pPr>
        <w:spacing w:after="80"/>
        <w:jc w:val="center"/>
        <w:rPr>
          <w:color w:val="4A6FA5"/>
          <w:sz w:val="30"/>
          <w:szCs w:val="30"/>
        </w:rPr>
      </w:pPr>
    </w:p>
    <w:p w:rsidR="0097399C" w:rsidRDefault="0097399C">
      <w:pPr>
        <w:spacing w:after="80"/>
        <w:jc w:val="center"/>
        <w:rPr>
          <w:color w:val="4A6FA5"/>
          <w:sz w:val="30"/>
          <w:szCs w:val="30"/>
        </w:rPr>
      </w:pPr>
    </w:p>
    <w:p w:rsidR="0097399C" w:rsidRDefault="0097399C">
      <w:pPr>
        <w:spacing w:after="80"/>
        <w:jc w:val="center"/>
        <w:rPr>
          <w:color w:val="4A6FA5"/>
          <w:sz w:val="30"/>
          <w:szCs w:val="30"/>
        </w:rPr>
      </w:pPr>
    </w:p>
    <w:p w:rsidR="0097399C" w:rsidRDefault="0097399C">
      <w:pPr>
        <w:spacing w:after="80"/>
        <w:jc w:val="center"/>
        <w:rPr>
          <w:color w:val="4A6FA5"/>
          <w:sz w:val="30"/>
          <w:szCs w:val="30"/>
        </w:rPr>
      </w:pPr>
    </w:p>
    <w:p w:rsidR="0097399C" w:rsidRDefault="0097399C">
      <w:pPr>
        <w:spacing w:after="80"/>
        <w:jc w:val="center"/>
        <w:rPr>
          <w:color w:val="4A6FA5"/>
          <w:sz w:val="30"/>
          <w:szCs w:val="30"/>
        </w:rPr>
      </w:pPr>
    </w:p>
    <w:p w:rsidR="0097399C" w:rsidRDefault="0097399C">
      <w:pPr>
        <w:spacing w:after="80"/>
        <w:jc w:val="center"/>
        <w:rPr>
          <w:color w:val="4A6FA5"/>
          <w:sz w:val="30"/>
          <w:szCs w:val="30"/>
        </w:rPr>
      </w:pPr>
    </w:p>
    <w:p w:rsidR="0097399C" w:rsidRDefault="0097399C">
      <w:pPr>
        <w:spacing w:after="80"/>
        <w:jc w:val="center"/>
        <w:rPr>
          <w:color w:val="4A6FA5"/>
          <w:sz w:val="30"/>
          <w:szCs w:val="30"/>
        </w:rPr>
      </w:pPr>
    </w:p>
    <w:p w:rsidR="0097399C" w:rsidRDefault="0097399C">
      <w:pPr>
        <w:spacing w:after="80"/>
        <w:jc w:val="center"/>
        <w:rPr>
          <w:color w:val="4A6FA5"/>
          <w:sz w:val="30"/>
          <w:szCs w:val="30"/>
        </w:rPr>
      </w:pPr>
    </w:p>
    <w:p w:rsidR="0097399C" w:rsidRDefault="0097399C">
      <w:pPr>
        <w:spacing w:after="80"/>
        <w:jc w:val="center"/>
        <w:rPr>
          <w:color w:val="4A6FA5"/>
          <w:sz w:val="30"/>
          <w:szCs w:val="30"/>
        </w:rPr>
      </w:pPr>
    </w:p>
    <w:p w:rsidR="0097399C" w:rsidRDefault="0097399C">
      <w:pPr>
        <w:spacing w:after="80"/>
        <w:jc w:val="center"/>
        <w:rPr>
          <w:color w:val="4A6FA5"/>
          <w:sz w:val="30"/>
          <w:szCs w:val="30"/>
        </w:rPr>
      </w:pPr>
    </w:p>
    <w:p w:rsidR="0097399C" w:rsidRDefault="0097399C">
      <w:pPr>
        <w:spacing w:after="80"/>
        <w:jc w:val="center"/>
        <w:rPr>
          <w:color w:val="4A6FA5"/>
          <w:sz w:val="30"/>
          <w:szCs w:val="30"/>
        </w:rPr>
      </w:pPr>
    </w:p>
    <w:p w:rsidR="0097399C" w:rsidRDefault="0097399C">
      <w:pPr>
        <w:spacing w:after="80"/>
        <w:jc w:val="center"/>
        <w:rPr>
          <w:color w:val="4A6FA5"/>
          <w:sz w:val="30"/>
          <w:szCs w:val="30"/>
        </w:rPr>
      </w:pPr>
    </w:p>
    <w:p w:rsidR="0097399C" w:rsidRDefault="0097399C">
      <w:pPr>
        <w:spacing w:after="80"/>
        <w:jc w:val="center"/>
      </w:pPr>
    </w:p>
    <w:p w:rsidR="008E6472" w:rsidRDefault="008E6472">
      <w:pPr>
        <w:pBdr>
          <w:bottom w:val="single" w:sz="8" w:space="1" w:color="C9A84C"/>
        </w:pBdr>
      </w:pPr>
    </w:p>
    <w:p w:rsidR="008E6472" w:rsidRDefault="008E6472"/>
    <w:p w:rsidR="008E6472" w:rsidRDefault="00000000">
      <w:pPr>
        <w:jc w:val="center"/>
      </w:pPr>
      <w:r>
        <w:rPr>
          <w:b/>
          <w:bCs/>
          <w:color w:val="111111"/>
          <w:sz w:val="26"/>
          <w:szCs w:val="26"/>
        </w:rPr>
        <w:t>Anthony Vondoom</w:t>
      </w:r>
    </w:p>
    <w:p w:rsidR="008E6472" w:rsidRDefault="00000000">
      <w:pPr>
        <w:jc w:val="center"/>
      </w:pPr>
      <w:r>
        <w:rPr>
          <w:color w:val="888888"/>
        </w:rPr>
        <w:t>Independent Researcher · Cognitive Archaeology &amp; Systems Analysis</w:t>
      </w:r>
    </w:p>
    <w:p w:rsidR="008E6472" w:rsidRDefault="00000000">
      <w:pPr>
        <w:spacing w:after="200"/>
        <w:jc w:val="center"/>
      </w:pPr>
      <w:r>
        <w:rPr>
          <w:color w:val="888888"/>
        </w:rPr>
        <w:t xml:space="preserve">ORCID: 0009-0003-4953-1427   ·   DOI: </w:t>
      </w:r>
      <w:r w:rsidR="00516EF0">
        <w:rPr>
          <w:rFonts w:ascii="Helvetica" w:hAnsi="Helvetica"/>
          <w:b/>
          <w:bCs/>
          <w:shd w:val="clear" w:color="auto" w:fill="FFFFFF"/>
        </w:rPr>
        <w:t>10.5281/zenodo.19388884</w:t>
      </w:r>
      <w:r>
        <w:rPr>
          <w:color w:val="888888"/>
        </w:rPr>
        <w:t xml:space="preserve">   ·   2026</w:t>
      </w:r>
    </w:p>
    <w:p w:rsidR="008E6472" w:rsidRDefault="008E6472">
      <w:pPr>
        <w:pBdr>
          <w:bottom w:val="single" w:sz="8" w:space="1" w:color="C9A84C"/>
        </w:pBdr>
      </w:pPr>
    </w:p>
    <w:p w:rsidR="008E6472" w:rsidRDefault="008E6472"/>
    <w:p w:rsidR="008E6472" w:rsidRDefault="00000000">
      <w:pPr>
        <w:jc w:val="center"/>
      </w:pPr>
      <w:r>
        <w:rPr>
          <w:i/>
          <w:iCs/>
          <w:color w:val="888888"/>
          <w:sz w:val="18"/>
          <w:szCs w:val="18"/>
        </w:rPr>
        <w:t>AI Disclosure: Analytical drafting and editorial support by Claude Sonnet 4.6, Anthropic.</w:t>
      </w:r>
    </w:p>
    <w:p w:rsidR="008E6472" w:rsidRDefault="008E6472"/>
    <w:p w:rsidR="008E6472" w:rsidRDefault="00000000" w:rsidP="0097399C">
      <w:r>
        <w:rPr>
          <w:b/>
          <w:bCs/>
          <w:color w:val="1A1A2E"/>
          <w:sz w:val="36"/>
          <w:szCs w:val="36"/>
        </w:rPr>
        <w:t>Abstract</w:t>
      </w:r>
    </w:p>
    <w:p w:rsidR="008E6472" w:rsidRDefault="008E6472">
      <w:pPr>
        <w:pBdr>
          <w:bottom w:val="single" w:sz="8" w:space="1" w:color="4A6FA5"/>
        </w:pBdr>
      </w:pPr>
    </w:p>
    <w:p w:rsidR="008E6472" w:rsidRDefault="008E6472"/>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E6472">
        <w:tc>
          <w:tcPr>
            <w:tcW w:w="0" w:type="auto"/>
            <w:tcBorders>
              <w:top w:val="single" w:sz="1" w:space="0" w:color="C9A84C"/>
              <w:left w:val="single" w:sz="1" w:space="0" w:color="C9A84C"/>
              <w:bottom w:val="single" w:sz="1" w:space="0" w:color="C9A84C"/>
              <w:right w:val="single" w:sz="1" w:space="0" w:color="C9A84C"/>
            </w:tcBorders>
            <w:shd w:val="clear" w:color="auto" w:fill="F5F0E8"/>
            <w:tcMar>
              <w:top w:w="200" w:type="dxa"/>
              <w:left w:w="320" w:type="dxa"/>
              <w:bottom w:w="200" w:type="dxa"/>
              <w:right w:w="320" w:type="dxa"/>
            </w:tcMar>
          </w:tcPr>
          <w:p w:rsidR="008E6472" w:rsidRDefault="00000000">
            <w:pPr>
              <w:spacing w:after="100"/>
            </w:pPr>
            <w:r>
              <w:rPr>
                <w:b/>
                <w:bCs/>
                <w:color w:val="1A1A2E"/>
                <w:sz w:val="22"/>
                <w:szCs w:val="22"/>
              </w:rPr>
              <w:t>Abstract</w:t>
            </w:r>
          </w:p>
          <w:p w:rsidR="008E6472" w:rsidRDefault="00000000">
            <w:pPr>
              <w:spacing w:after="120"/>
              <w:jc w:val="both"/>
            </w:pPr>
            <w:r>
              <w:rPr>
                <w:color w:val="111111"/>
                <w:sz w:val="19"/>
                <w:szCs w:val="19"/>
              </w:rPr>
              <w:t>The deployment of large language models (LLMs) in consequential analytical domains — geopolitical risk, conflict early warning, crisis monitoring — exposes a structural gap between model capability and analytical reliability. General-purpose AI systems are subject to well-documented epistemic failure modes, including overconfident scoring, rhetorical inflation, causal reversal, and lagging-indicator misclassification [3, 9, 21]. These failures are not incidental; they are artifacts of single-model architectures in which no structural mechanism exists to challenge, correct, or falsify model outputs before they are accepted as conclusions.</w:t>
            </w:r>
          </w:p>
          <w:p w:rsidR="008E6472" w:rsidRDefault="00000000">
            <w:pPr>
              <w:spacing w:after="120"/>
              <w:jc w:val="both"/>
            </w:pPr>
            <w:r>
              <w:rPr>
                <w:color w:val="111111"/>
                <w:sz w:val="19"/>
                <w:szCs w:val="19"/>
              </w:rPr>
              <w:t>This paper introduces NETJERU, a multi-agent intelligence analysis framework that addresses this gap through epistemic function separation, code-level constraint enforcement, and a mandatory human approval checkpoint between analytical and judgment phases. NETJERU routes each analytical query through a sequenced council of seven functionally distinct agents — Isis, Thoth, Set, Osiris, Anubis, Horus, and Ra — each named for an Egyptian deity whose mythological role reflects its analytical function. Agents are constrained by the Dynamic Systemic Stress Matrix (DSSM), a four-dimensional scoring model assessing Symbolic Regulation Failure (SRF), Institutional Collapse (IC), AI Governance Fragmentation (AGF), and Macro Symbolic Shift (MSS) [20].</w:t>
            </w:r>
          </w:p>
          <w:p w:rsidR="008E6472" w:rsidRDefault="00000000">
            <w:pPr>
              <w:spacing w:after="120"/>
              <w:jc w:val="both"/>
            </w:pPr>
            <w:r>
              <w:rPr>
                <w:color w:val="111111"/>
                <w:sz w:val="19"/>
                <w:szCs w:val="19"/>
              </w:rPr>
              <w:t>The system's key architectural innovations include an adversarial self-audit layer (Set) with algorithmically enforced challenge strength caps, structural fingerprint retrieval for historical analogues (Osiris), a mandatory human approval gate (Horus) that cannot be bypassed in code, and a falsifiability requirement at the final judgment stage (Ra) [15]. Critical constraints are implemented at the code level rather than the prompt level, ensuring they cannot be overridden by model output. NETJERU represents a principled approach to human-AI collaborative analysis in high-stakes domains, treating AI failure modes as first-class system concerns rather than afterthoughts.</w:t>
            </w:r>
          </w:p>
          <w:p w:rsidR="008E6472" w:rsidRDefault="00000000">
            <w:pPr>
              <w:spacing w:after="60"/>
            </w:pPr>
            <w:r>
              <w:rPr>
                <w:b/>
                <w:bCs/>
                <w:color w:val="111111"/>
                <w:sz w:val="19"/>
                <w:szCs w:val="19"/>
              </w:rPr>
              <w:t xml:space="preserve">Keywords: </w:t>
            </w:r>
            <w:r>
              <w:rPr>
                <w:i/>
                <w:iCs/>
                <w:color w:val="111111"/>
                <w:sz w:val="19"/>
                <w:szCs w:val="19"/>
              </w:rPr>
              <w:t>multi-agent systems; intelligence analysis; epistemic controls; adversarial AI; human-in-the-loop</w:t>
            </w:r>
          </w:p>
        </w:tc>
      </w:tr>
    </w:tbl>
    <w:p w:rsidR="008E6472" w:rsidRDefault="008E6472"/>
    <w:p w:rsidR="008E6472" w:rsidRDefault="00000000">
      <w:pPr>
        <w:pStyle w:val="Heading1"/>
      </w:pPr>
      <w:r>
        <w:t>1. Introduction</w:t>
      </w:r>
    </w:p>
    <w:p w:rsidR="008E6472" w:rsidRDefault="008E6472">
      <w:pPr>
        <w:pBdr>
          <w:bottom w:val="single" w:sz="8" w:space="1" w:color="4A6FA5"/>
        </w:pBdr>
      </w:pPr>
    </w:p>
    <w:p w:rsidR="008E6472" w:rsidRDefault="008E6472"/>
    <w:p w:rsidR="008E6472" w:rsidRDefault="00000000">
      <w:pPr>
        <w:spacing w:before="60" w:after="120"/>
        <w:jc w:val="both"/>
      </w:pPr>
      <w:r>
        <w:rPr>
          <w:color w:val="111111"/>
        </w:rPr>
        <w:t xml:space="preserve">The proliferation of large language model capabilities has created a class of general-purpose AI systems capable of reasoning over complex domains </w:t>
      </w:r>
      <w:r>
        <w:rPr>
          <w:color w:val="4A6FA5"/>
          <w:sz w:val="16"/>
          <w:szCs w:val="16"/>
          <w:vertAlign w:val="superscript"/>
        </w:rPr>
        <w:t>[3][12]</w:t>
      </w:r>
      <w:r>
        <w:rPr>
          <w:color w:val="111111"/>
        </w:rPr>
        <w:t xml:space="preserve">. However, general-purpose systems are subject to well-documented epistemic failure modes: overconfident scoring, rhetorical inflation, causal reversal, and a systematic tendency to produce plausible-sounding but methodologically unsound conclusions </w:t>
      </w:r>
      <w:r>
        <w:rPr>
          <w:color w:val="4A6FA5"/>
          <w:sz w:val="16"/>
          <w:szCs w:val="16"/>
          <w:vertAlign w:val="superscript"/>
        </w:rPr>
        <w:t>[8][18]</w:t>
      </w:r>
      <w:r>
        <w:rPr>
          <w:color w:val="111111"/>
        </w:rPr>
        <w:t>. For domains that carry consequential analytical weight — geopolitical risk, crisis monitoring, conflict early warning — these failure modes are not merely inconvenient. They are structurally dangerous.</w:t>
      </w:r>
    </w:p>
    <w:p w:rsidR="008E6472" w:rsidRDefault="00000000">
      <w:pPr>
        <w:spacing w:before="60" w:after="120"/>
        <w:jc w:val="both"/>
      </w:pPr>
      <w:r>
        <w:rPr>
          <w:color w:val="111111"/>
        </w:rPr>
        <w:t xml:space="preserve">Existing approaches to AI-assisted analysis largely treat these problems at the prompt level: instructing models to be cautious, to cite uncertainty, or to consider alternatives </w:t>
      </w:r>
      <w:r>
        <w:rPr>
          <w:color w:val="4A6FA5"/>
          <w:sz w:val="16"/>
          <w:szCs w:val="16"/>
          <w:vertAlign w:val="superscript"/>
        </w:rPr>
        <w:t>[23]</w:t>
      </w:r>
      <w:r>
        <w:rPr>
          <w:color w:val="111111"/>
        </w:rPr>
        <w:t>. This paper argues that prompt-level instructions are structurally insufficient for consequential analytical contexts. A model that is instructed to flag uncertainty can fail to do so; a model that is instructed to challenge its own conclusions can produce the appearance of self-critique without its substance. The appropriate response is architectural, not instructional: to build the constraints into the system itself, at the code level, where they cannot be overridden by model output.</w:t>
      </w:r>
    </w:p>
    <w:p w:rsidR="008E6472" w:rsidRDefault="00000000">
      <w:pPr>
        <w:spacing w:before="60" w:after="120"/>
        <w:jc w:val="both"/>
      </w:pPr>
      <w:r>
        <w:rPr>
          <w:color w:val="111111"/>
        </w:rPr>
        <w:lastRenderedPageBreak/>
        <w:t xml:space="preserve">NETJERU is a response to this problem. Rather than routing a query to a single AI model and accepting its output, NETJERU routes a query through a sequenced council of agents, each agent occupying a distinct epistemic function, each constrained by explicit structural rules </w:t>
      </w:r>
      <w:r>
        <w:rPr>
          <w:color w:val="4A6FA5"/>
          <w:sz w:val="16"/>
          <w:szCs w:val="16"/>
          <w:vertAlign w:val="superscript"/>
        </w:rPr>
        <w:t>[21][22]</w:t>
      </w:r>
      <w:r>
        <w:rPr>
          <w:color w:val="111111"/>
        </w:rPr>
        <w:t>. No single agent renders the final judgment. The final judgment is produced only after all preceding agents have completed their roles, a human operator has reviewed the assembled evidence , and a deliberate approval decision has been made to convene the judgment council.</w:t>
      </w:r>
    </w:p>
    <w:p w:rsidR="008E6472" w:rsidRDefault="00000000">
      <w:pPr>
        <w:spacing w:before="60" w:after="120"/>
        <w:jc w:val="both"/>
      </w:pPr>
      <w:r>
        <w:rPr>
          <w:color w:val="111111"/>
        </w:rPr>
        <w:t>The system's name — NETJERU — is drawn from the ancient Egyptian concept of the divine council (netjeru = the gods collectively), and each agent is named for a specific Egyptian deity whose mythological function reflects its analytical role. This is a naming convention, not a metaphysical claim; the names are chosen because they are mnemonically coherent with the agent's function and because they signal, at a glance, the pipeline's deliberative structure.</w:t>
      </w:r>
    </w:p>
    <w:p w:rsidR="008E6472" w:rsidRDefault="008E6472"/>
    <w:p w:rsidR="008E6472" w:rsidRDefault="00000000">
      <w:pPr>
        <w:pStyle w:val="Heading1"/>
      </w:pPr>
      <w:r>
        <w:t>2. Background and Related Work</w:t>
      </w:r>
    </w:p>
    <w:p w:rsidR="008E6472" w:rsidRDefault="008E6472">
      <w:pPr>
        <w:pBdr>
          <w:bottom w:val="single" w:sz="8" w:space="1" w:color="4A6FA5"/>
        </w:pBdr>
      </w:pPr>
    </w:p>
    <w:p w:rsidR="008E6472" w:rsidRDefault="008E6472"/>
    <w:p w:rsidR="008E6472" w:rsidRDefault="00000000">
      <w:pPr>
        <w:pStyle w:val="Heading2"/>
      </w:pPr>
      <w:r>
        <w:t>2.1  Epistemic Failure in AI-Assisted Analysis</w:t>
      </w:r>
    </w:p>
    <w:p w:rsidR="008E6472" w:rsidRDefault="00000000">
      <w:pPr>
        <w:spacing w:before="60" w:after="120"/>
        <w:jc w:val="both"/>
      </w:pPr>
      <w:r>
        <w:rPr>
          <w:color w:val="111111"/>
        </w:rPr>
        <w:t xml:space="preserve">The literature on cognitive bias and analytical failure is extensive. Kahneman's dual-process framework </w:t>
      </w:r>
      <w:r>
        <w:rPr>
          <w:color w:val="4A6FA5"/>
          <w:sz w:val="16"/>
          <w:szCs w:val="16"/>
          <w:vertAlign w:val="superscript"/>
        </w:rPr>
        <w:t>[8]</w:t>
      </w:r>
      <w:r>
        <w:rPr>
          <w:color w:val="111111"/>
        </w:rPr>
        <w:t xml:space="preserve"> identifies systematic patterns in how human analysts make errors under uncertainty — patterns that AI systems trained on human-generated text inherit and amplify rather than correct. Tetlock's longitudinal studies of expert judgment </w:t>
      </w:r>
      <w:r>
        <w:rPr>
          <w:color w:val="4A6FA5"/>
          <w:sz w:val="16"/>
          <w:szCs w:val="16"/>
          <w:vertAlign w:val="superscript"/>
        </w:rPr>
        <w:t>[18][19]</w:t>
      </w:r>
      <w:r>
        <w:rPr>
          <w:color w:val="111111"/>
        </w:rPr>
        <w:t xml:space="preserve"> demonstrate that structured analytical processes — particularly forecasting with explicit probability assignments and defined scoring criteria — significantly outperform unstructured expert opinion. These findings motivate the design of NETJERU's structured pipeline over ad hoc AI consultation.</w:t>
      </w:r>
    </w:p>
    <w:p w:rsidR="008E6472" w:rsidRDefault="00000000">
      <w:pPr>
        <w:spacing w:before="60" w:after="120"/>
        <w:jc w:val="both"/>
      </w:pPr>
      <w:r>
        <w:rPr>
          <w:color w:val="111111"/>
        </w:rPr>
        <w:t xml:space="preserve">The specific failure modes that NETJERU is designed to address — causal reversal, lagging indicator misclassification, and deterrence miscategorization — have direct analogues in the intelligence analysis literature. Heuer's foundational work </w:t>
      </w:r>
      <w:r>
        <w:rPr>
          <w:color w:val="4A6FA5"/>
          <w:sz w:val="16"/>
          <w:szCs w:val="16"/>
          <w:vertAlign w:val="superscript"/>
        </w:rPr>
        <w:t>[6]</w:t>
      </w:r>
      <w:r>
        <w:rPr>
          <w:color w:val="111111"/>
        </w:rPr>
        <w:t xml:space="preserve"> identifies these failure patterns as endemic to unstructured analysis and argues for structured analytical techniques as the primary remediation. Kent's earlier work on words of estimative probability </w:t>
      </w:r>
      <w:r>
        <w:rPr>
          <w:color w:val="4A6FA5"/>
          <w:sz w:val="16"/>
          <w:szCs w:val="16"/>
          <w:vertAlign w:val="superscript"/>
        </w:rPr>
        <w:t>[9]</w:t>
      </w:r>
      <w:r>
        <w:rPr>
          <w:color w:val="111111"/>
        </w:rPr>
        <w:t xml:space="preserve"> identifies the linguistic ambiguity of AI outputs as a distinct source of analytical error — a concern that NETJERU addresses through its rhetorical bias correction mechanism.</w:t>
      </w:r>
    </w:p>
    <w:p w:rsidR="008E6472" w:rsidRDefault="00000000">
      <w:pPr>
        <w:pStyle w:val="Heading2"/>
      </w:pPr>
      <w:r>
        <w:t>2.2  Multi-Agent Systems and Epistemic Division of Labour</w:t>
      </w:r>
    </w:p>
    <w:p w:rsidR="008E6472" w:rsidRDefault="00000000">
      <w:pPr>
        <w:spacing w:before="60" w:after="120"/>
        <w:jc w:val="both"/>
      </w:pPr>
      <w:r>
        <w:rPr>
          <w:color w:val="111111"/>
        </w:rPr>
        <w:t xml:space="preserve">Multi-agent system architectures have a substantial theoretical and applied literature </w:t>
      </w:r>
      <w:r>
        <w:rPr>
          <w:color w:val="4A6FA5"/>
          <w:sz w:val="16"/>
          <w:szCs w:val="16"/>
          <w:vertAlign w:val="superscript"/>
        </w:rPr>
        <w:t>[21]</w:t>
      </w:r>
      <w:r>
        <w:rPr>
          <w:color w:val="111111"/>
        </w:rPr>
        <w:t xml:space="preserve">. The core argument for functional specialization — that agents constrained to specific roles produce more reliable outputs than generalist agents — is well established in both AI and organizational theory </w:t>
      </w:r>
      <w:r>
        <w:rPr>
          <w:color w:val="4A6FA5"/>
          <w:sz w:val="16"/>
          <w:szCs w:val="16"/>
          <w:vertAlign w:val="superscript"/>
        </w:rPr>
        <w:t>[13]</w:t>
      </w:r>
      <w:r>
        <w:rPr>
          <w:color w:val="111111"/>
        </w:rPr>
        <w:t xml:space="preserve">. Recent work on LLM-based agent systems </w:t>
      </w:r>
      <w:r>
        <w:rPr>
          <w:color w:val="4A6FA5"/>
          <w:sz w:val="16"/>
          <w:szCs w:val="16"/>
          <w:vertAlign w:val="superscript"/>
        </w:rPr>
        <w:t>[22][23]</w:t>
      </w:r>
      <w:r>
        <w:rPr>
          <w:color w:val="111111"/>
        </w:rPr>
        <w:t xml:space="preserve"> has extended this argument to show that decomposing complex tasks into specialized subtasks improves both reliability and inspectability.</w:t>
      </w:r>
    </w:p>
    <w:p w:rsidR="008E6472" w:rsidRDefault="00000000">
      <w:pPr>
        <w:spacing w:before="60" w:after="120"/>
        <w:jc w:val="both"/>
      </w:pPr>
      <w:r>
        <w:rPr>
          <w:color w:val="111111"/>
        </w:rPr>
        <w:t xml:space="preserve">NETJERU extends this line of reasoning with a specific innovation: epistemic function separation enforced at the architectural level rather than at the prompt level. Where existing multi-agent LLM frameworks typically assign roles through system prompts that models can implicitly violate </w:t>
      </w:r>
      <w:r>
        <w:rPr>
          <w:color w:val="4A6FA5"/>
          <w:sz w:val="16"/>
          <w:szCs w:val="16"/>
          <w:vertAlign w:val="superscript"/>
        </w:rPr>
        <w:t>[4]</w:t>
      </w:r>
      <w:r>
        <w:rPr>
          <w:color w:val="111111"/>
        </w:rPr>
        <w:t>, NETJERU enforces critical constraints — challenge strength caps, rhetorical bias correction, the Horus approval gate — in the system's non-AI code. This distinction between prompt-level and code-level enforcement is central to NETJERU's design philosophy.</w:t>
      </w:r>
    </w:p>
    <w:p w:rsidR="0097399C" w:rsidRDefault="0097399C">
      <w:pPr>
        <w:pStyle w:val="Heading2"/>
      </w:pPr>
    </w:p>
    <w:p w:rsidR="0097399C" w:rsidRDefault="0097399C">
      <w:pPr>
        <w:pStyle w:val="Heading2"/>
      </w:pPr>
    </w:p>
    <w:p w:rsidR="0097399C" w:rsidRDefault="0097399C">
      <w:pPr>
        <w:pStyle w:val="Heading2"/>
      </w:pPr>
    </w:p>
    <w:p w:rsidR="008E6472" w:rsidRDefault="00000000">
      <w:pPr>
        <w:pStyle w:val="Heading2"/>
      </w:pPr>
      <w:r>
        <w:t>2.3  Adversarial Self-Auditing in AI Systems</w:t>
      </w:r>
    </w:p>
    <w:p w:rsidR="008E6472" w:rsidRDefault="00000000">
      <w:pPr>
        <w:spacing w:before="60" w:after="120"/>
        <w:jc w:val="both"/>
      </w:pPr>
      <w:r>
        <w:rPr>
          <w:color w:val="111111"/>
        </w:rPr>
        <w:t xml:space="preserve">Adversarial approaches to AI output validation — red-teaming, constitutional AI, debate-based evaluation — have emerged as a significant research direction </w:t>
      </w:r>
      <w:r>
        <w:rPr>
          <w:color w:val="4A6FA5"/>
          <w:sz w:val="16"/>
          <w:szCs w:val="16"/>
          <w:vertAlign w:val="superscript"/>
        </w:rPr>
        <w:t>[1]</w:t>
      </w:r>
      <w:r>
        <w:rPr>
          <w:color w:val="111111"/>
        </w:rPr>
        <w:t>. The core insight is that AI outputs are more reliable when subjected to structured challenge than when accepted at face value. NETJERU's Set agent operationalizes this insight within a structured pipeline, with the critical addition that Set's challenges are rated by specificity and that only DEFINITIVE challenges — those that engage the target signal's causal mechanism directly — earn uncapped score reductions. This prevents the well-documented failure mode in which adversarial agents produce generic critiques rather than discriminating ones.</w:t>
      </w:r>
    </w:p>
    <w:p w:rsidR="008E6472" w:rsidRDefault="00000000">
      <w:pPr>
        <w:spacing w:before="60" w:after="120"/>
        <w:jc w:val="both"/>
      </w:pPr>
      <w:r>
        <w:rPr>
          <w:color w:val="111111"/>
        </w:rPr>
        <w:t xml:space="preserve">The falsifiability requirement at NETJERU's Ra stage draws directly on Popper's criterion for scientific claims </w:t>
      </w:r>
      <w:r>
        <w:rPr>
          <w:color w:val="4A6FA5"/>
          <w:sz w:val="16"/>
          <w:szCs w:val="16"/>
          <w:vertAlign w:val="superscript"/>
        </w:rPr>
        <w:t>[15]</w:t>
      </w:r>
      <w:r>
        <w:rPr>
          <w:color w:val="111111"/>
        </w:rPr>
        <w:t xml:space="preserve">: a conclusion that cannot specify the conditions under which it would be wrong is not an analytical conclusion but a rhetorical one. Mercier and Sperber's argumentative theory of reasoning </w:t>
      </w:r>
      <w:r>
        <w:rPr>
          <w:color w:val="4A6FA5"/>
          <w:sz w:val="16"/>
          <w:szCs w:val="16"/>
          <w:vertAlign w:val="superscript"/>
        </w:rPr>
        <w:t>[11]</w:t>
      </w:r>
      <w:r>
        <w:rPr>
          <w:color w:val="111111"/>
        </w:rPr>
        <w:t xml:space="preserve"> provides additional support for adversarial challenge as an epistemic requirement rather than a mere quality-control measure.</w:t>
      </w:r>
    </w:p>
    <w:p w:rsidR="008E6472" w:rsidRDefault="008E6472"/>
    <w:p w:rsidR="008E6472" w:rsidRDefault="00000000">
      <w:pPr>
        <w:pStyle w:val="Heading1"/>
      </w:pPr>
      <w:r>
        <w:t>3. The DSSM Framework</w:t>
      </w:r>
    </w:p>
    <w:p w:rsidR="008E6472" w:rsidRDefault="008E6472">
      <w:pPr>
        <w:pBdr>
          <w:bottom w:val="single" w:sz="8" w:space="1" w:color="4A6FA5"/>
        </w:pBdr>
      </w:pPr>
    </w:p>
    <w:p w:rsidR="008E6472" w:rsidRDefault="008E6472"/>
    <w:p w:rsidR="008E6472" w:rsidRDefault="00000000">
      <w:pPr>
        <w:spacing w:before="60" w:after="120"/>
        <w:jc w:val="both"/>
      </w:pPr>
      <w:r>
        <w:rPr>
          <w:color w:val="111111"/>
        </w:rPr>
        <w:t xml:space="preserve">The Dynamic Systemic Stress Matrix (DSSM) is NETJERU's core analytical scoring model </w:t>
      </w:r>
      <w:r>
        <w:rPr>
          <w:color w:val="4A6FA5"/>
          <w:sz w:val="16"/>
          <w:szCs w:val="16"/>
          <w:vertAlign w:val="superscript"/>
        </w:rPr>
        <w:t>[20]</w:t>
      </w:r>
      <w:r>
        <w:rPr>
          <w:color w:val="111111"/>
        </w:rPr>
        <w:t>. It provides the scoring vocabulary that all agents share and that produces the multi-dimensional fingerprint used for comparative historical analysis. DSSM scores signals across four dimensions, each chosen to capture a structurally distinct mode of systemic stress.</w:t>
      </w:r>
    </w:p>
    <w:p w:rsidR="008E6472" w:rsidRDefault="008E6472"/>
    <w:p w:rsidR="008E6472" w:rsidRDefault="00000000">
      <w:pPr>
        <w:spacing w:before="60" w:after="60"/>
        <w:jc w:val="center"/>
      </w:pPr>
      <w:r>
        <w:rPr>
          <w:b/>
          <w:bCs/>
          <w:i/>
          <w:iCs/>
          <w:color w:val="888888"/>
          <w:sz w:val="19"/>
          <w:szCs w:val="19"/>
        </w:rPr>
        <w:t>Table 1 — DSSM Scoring Dimensions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2600"/>
        <w:gridCol w:w="3360"/>
        <w:gridCol w:w="2400"/>
      </w:tblGrid>
      <w:tr w:rsidR="008E6472">
        <w:tc>
          <w:tcPr>
            <w:tcW w:w="10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8E6472" w:rsidRDefault="00000000">
            <w:pPr>
              <w:jc w:val="center"/>
            </w:pPr>
            <w:r>
              <w:rPr>
                <w:b/>
                <w:bCs/>
                <w:color w:val="FFFFFF"/>
              </w:rPr>
              <w:t>Code</w:t>
            </w:r>
          </w:p>
        </w:tc>
        <w:tc>
          <w:tcPr>
            <w:tcW w:w="26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8E6472" w:rsidRDefault="00000000">
            <w:pPr>
              <w:jc w:val="center"/>
            </w:pPr>
            <w:r>
              <w:rPr>
                <w:b/>
                <w:bCs/>
                <w:color w:val="FFFFFF"/>
              </w:rPr>
              <w:t>Dimension</w:t>
            </w:r>
          </w:p>
        </w:tc>
        <w:tc>
          <w:tcPr>
            <w:tcW w:w="336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8E6472" w:rsidRDefault="00000000">
            <w:pPr>
              <w:jc w:val="center"/>
            </w:pPr>
            <w:r>
              <w:rPr>
                <w:b/>
                <w:bCs/>
                <w:color w:val="FFFFFF"/>
              </w:rPr>
              <w:t>Measures</w:t>
            </w:r>
          </w:p>
        </w:tc>
        <w:tc>
          <w:tcPr>
            <w:tcW w:w="24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8E6472" w:rsidRDefault="00000000">
            <w:pPr>
              <w:jc w:val="center"/>
            </w:pPr>
            <w:r>
              <w:rPr>
                <w:b/>
                <w:bCs/>
                <w:color w:val="FFFFFF"/>
              </w:rPr>
              <w:t>Key Distinction</w:t>
            </w:r>
          </w:p>
        </w:tc>
      </w:tr>
      <w:tr w:rsidR="008E6472">
        <w:tc>
          <w:tcPr>
            <w:tcW w:w="1000" w:type="dxa"/>
            <w:tcBorders>
              <w:top w:val="single" w:sz="1" w:space="0" w:color="2E6B3E"/>
              <w:left w:val="single" w:sz="1" w:space="0" w:color="2E6B3E"/>
              <w:bottom w:val="single" w:sz="1" w:space="0" w:color="2E6B3E"/>
              <w:right w:val="single" w:sz="1" w:space="0" w:color="2E6B3E"/>
            </w:tcBorders>
            <w:shd w:val="clear" w:color="auto" w:fill="2E6B3E"/>
            <w:tcMar>
              <w:top w:w="80" w:type="dxa"/>
              <w:left w:w="140" w:type="dxa"/>
              <w:bottom w:w="80" w:type="dxa"/>
              <w:right w:w="140" w:type="dxa"/>
            </w:tcMar>
            <w:vAlign w:val="center"/>
          </w:tcPr>
          <w:p w:rsidR="008E6472" w:rsidRDefault="00000000">
            <w:pPr>
              <w:jc w:val="center"/>
            </w:pPr>
            <w:r>
              <w:rPr>
                <w:b/>
                <w:bCs/>
                <w:color w:val="FFFFFF"/>
              </w:rPr>
              <w:t>SRF</w:t>
            </w:r>
          </w:p>
        </w:tc>
        <w:tc>
          <w:tcPr>
            <w:tcW w:w="26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Symbolic Regulation Failure</w:t>
            </w:r>
          </w:p>
        </w:tc>
        <w:tc>
          <w:tcPr>
            <w:tcW w:w="3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Breakdown of shared meaning, social trust, normative consensus, and institutional legitimacy</w:t>
            </w:r>
          </w:p>
        </w:tc>
        <w:tc>
          <w:tcPr>
            <w:tcW w:w="24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i/>
                <w:iCs/>
                <w:color w:val="111111"/>
                <w:sz w:val="17"/>
                <w:szCs w:val="17"/>
              </w:rPr>
              <w:t>High SRF = symbolic infrastructure under active stress</w:t>
            </w:r>
          </w:p>
        </w:tc>
      </w:tr>
      <w:tr w:rsidR="008E6472">
        <w:tc>
          <w:tcPr>
            <w:tcW w:w="1000" w:type="dxa"/>
            <w:tcBorders>
              <w:top w:val="single" w:sz="1" w:space="0" w:color="4A6FA5"/>
              <w:left w:val="single" w:sz="1" w:space="0" w:color="4A6FA5"/>
              <w:bottom w:val="single" w:sz="1" w:space="0" w:color="4A6FA5"/>
              <w:right w:val="single" w:sz="1" w:space="0" w:color="4A6FA5"/>
            </w:tcBorders>
            <w:shd w:val="clear" w:color="auto" w:fill="4A6FA5"/>
            <w:tcMar>
              <w:top w:w="80" w:type="dxa"/>
              <w:left w:w="140" w:type="dxa"/>
              <w:bottom w:w="80" w:type="dxa"/>
              <w:right w:w="140" w:type="dxa"/>
            </w:tcMar>
            <w:vAlign w:val="center"/>
          </w:tcPr>
          <w:p w:rsidR="008E6472" w:rsidRDefault="00000000">
            <w:pPr>
              <w:jc w:val="center"/>
            </w:pPr>
            <w:r>
              <w:rPr>
                <w:b/>
                <w:bCs/>
                <w:color w:val="FFFFFF"/>
              </w:rPr>
              <w:t>IC</w:t>
            </w:r>
          </w:p>
        </w:tc>
        <w:tc>
          <w:tcPr>
            <w:tcW w:w="26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Institutional Collapse</w:t>
            </w:r>
          </w:p>
        </w:tc>
        <w:tc>
          <w:tcPr>
            <w:tcW w:w="3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Active deterioration in governmental, financial, or legal structures beyond mere stress</w:t>
            </w:r>
          </w:p>
        </w:tc>
        <w:tc>
          <w:tcPr>
            <w:tcW w:w="24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i/>
                <w:iCs/>
                <w:color w:val="111111"/>
                <w:sz w:val="17"/>
                <w:szCs w:val="17"/>
              </w:rPr>
              <w:t>Distinguishes failing from merely stressed institutions</w:t>
            </w:r>
          </w:p>
        </w:tc>
      </w:tr>
      <w:tr w:rsidR="008E6472">
        <w:tc>
          <w:tcPr>
            <w:tcW w:w="10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40" w:type="dxa"/>
              <w:bottom w:w="80" w:type="dxa"/>
              <w:right w:w="140" w:type="dxa"/>
            </w:tcMar>
            <w:vAlign w:val="center"/>
          </w:tcPr>
          <w:p w:rsidR="008E6472" w:rsidRDefault="00000000">
            <w:pPr>
              <w:jc w:val="center"/>
            </w:pPr>
            <w:r>
              <w:rPr>
                <w:b/>
                <w:bCs/>
                <w:color w:val="FFFFFF"/>
              </w:rPr>
              <w:t>AGF</w:t>
            </w:r>
          </w:p>
        </w:tc>
        <w:tc>
          <w:tcPr>
            <w:tcW w:w="26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AI Governance Fragmentation</w:t>
            </w:r>
          </w:p>
        </w:tc>
        <w:tc>
          <w:tcPr>
            <w:tcW w:w="3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Policy incoherence around AI; AI-generated content in conflict or attribution contexts</w:t>
            </w:r>
          </w:p>
        </w:tc>
        <w:tc>
          <w:tcPr>
            <w:tcW w:w="24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i/>
                <w:iCs/>
                <w:color w:val="111111"/>
                <w:sz w:val="17"/>
                <w:szCs w:val="17"/>
              </w:rPr>
              <w:t>AI mis-attribution treated as primary ignition risk</w:t>
            </w:r>
          </w:p>
        </w:tc>
      </w:tr>
      <w:tr w:rsidR="008E6472">
        <w:tc>
          <w:tcPr>
            <w:tcW w:w="1000" w:type="dxa"/>
            <w:tcBorders>
              <w:top w:val="single" w:sz="1" w:space="0" w:color="4A4A8A"/>
              <w:left w:val="single" w:sz="1" w:space="0" w:color="4A4A8A"/>
              <w:bottom w:val="single" w:sz="1" w:space="0" w:color="4A4A8A"/>
              <w:right w:val="single" w:sz="1" w:space="0" w:color="4A4A8A"/>
            </w:tcBorders>
            <w:shd w:val="clear" w:color="auto" w:fill="4A4A8A"/>
            <w:tcMar>
              <w:top w:w="80" w:type="dxa"/>
              <w:left w:w="140" w:type="dxa"/>
              <w:bottom w:w="80" w:type="dxa"/>
              <w:right w:w="140" w:type="dxa"/>
            </w:tcMar>
            <w:vAlign w:val="center"/>
          </w:tcPr>
          <w:p w:rsidR="008E6472" w:rsidRDefault="00000000">
            <w:pPr>
              <w:jc w:val="center"/>
            </w:pPr>
            <w:r>
              <w:rPr>
                <w:b/>
                <w:bCs/>
                <w:color w:val="FFFFFF"/>
              </w:rPr>
              <w:t>MSS</w:t>
            </w:r>
          </w:p>
        </w:tc>
        <w:tc>
          <w:tcPr>
            <w:tcW w:w="26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Macro Symbolic Shift</w:t>
            </w:r>
          </w:p>
        </w:tc>
        <w:tc>
          <w:tcPr>
            <w:tcW w:w="3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Realignment of global economic, resource, and symbolic power flows; supply chain decoupling</w:t>
            </w:r>
          </w:p>
        </w:tc>
        <w:tc>
          <w:tcPr>
            <w:tcW w:w="24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i/>
                <w:iCs/>
                <w:color w:val="111111"/>
                <w:sz w:val="17"/>
                <w:szCs w:val="17"/>
              </w:rPr>
              <w:t>Trade fragmentation, currency blocs, energy realignment</w:t>
            </w:r>
          </w:p>
        </w:tc>
      </w:tr>
    </w:tbl>
    <w:p w:rsidR="008E6472" w:rsidRDefault="008E6472"/>
    <w:p w:rsidR="008E6472" w:rsidRDefault="00000000">
      <w:pPr>
        <w:spacing w:before="60" w:after="120"/>
        <w:jc w:val="both"/>
      </w:pPr>
      <w:r>
        <w:rPr>
          <w:color w:val="111111"/>
        </w:rPr>
        <w:t xml:space="preserve">Each signal receives a composite score across these four dimensions. The composite is then subjected to a rhetorical bias correction: agents separately score the rhetorical intensity of a signal's language and its structural significance if written in neutral register. The difference produces a correction factor that is applied algorithmically — in the system's non-AI code — ensuring the model cannot override the calibration mechanism. This addresses the well-documented tendency of AI models to score emotionally intense language higher than structurally equivalent neutral language </w:t>
      </w:r>
      <w:r>
        <w:rPr>
          <w:color w:val="4A6FA5"/>
          <w:sz w:val="16"/>
          <w:szCs w:val="16"/>
          <w:vertAlign w:val="superscript"/>
        </w:rPr>
        <w:t>[2][7]</w:t>
      </w:r>
      <w:r>
        <w:rPr>
          <w:color w:val="111111"/>
        </w:rPr>
        <w:t>.</w:t>
      </w:r>
    </w:p>
    <w:p w:rsidR="008E6472" w:rsidRDefault="00000000">
      <w:pPr>
        <w:spacing w:before="60" w:after="120"/>
        <w:jc w:val="both"/>
      </w:pPr>
      <w:r>
        <w:rPr>
          <w:color w:val="111111"/>
        </w:rPr>
        <w:lastRenderedPageBreak/>
        <w:t xml:space="preserve">The AGF dimension warrants specific comment. NETJERU treats AI-generated content in contexts of conflict, attribution, or diplomacy as a primary ignition risk in the contemporary threat environment. This reflects the system's recognition that AI mis-attribution — the use of AI-generated evidence to support false claims in high-stakes contexts — represents a qualitatively new category of systemic risk that existing analytical frameworks do not adequately capture </w:t>
      </w:r>
      <w:r>
        <w:rPr>
          <w:color w:val="4A6FA5"/>
          <w:sz w:val="16"/>
          <w:szCs w:val="16"/>
          <w:vertAlign w:val="superscript"/>
        </w:rPr>
        <w:t>[5]</w:t>
      </w:r>
      <w:r>
        <w:rPr>
          <w:color w:val="111111"/>
        </w:rPr>
        <w:t>.</w:t>
      </w:r>
    </w:p>
    <w:p w:rsidR="008E6472" w:rsidRDefault="008E6472"/>
    <w:p w:rsidR="008E6472" w:rsidRDefault="00000000">
      <w:pPr>
        <w:pStyle w:val="Heading1"/>
      </w:pPr>
      <w:r>
        <w:t>4. Pipeline Architecture</w:t>
      </w:r>
    </w:p>
    <w:p w:rsidR="008E6472" w:rsidRDefault="008E6472">
      <w:pPr>
        <w:pBdr>
          <w:bottom w:val="single" w:sz="8" w:space="1" w:color="4A6FA5"/>
        </w:pBdr>
      </w:pPr>
    </w:p>
    <w:p w:rsidR="008E6472" w:rsidRDefault="008E6472"/>
    <w:p w:rsidR="008E6472" w:rsidRDefault="00000000">
      <w:pPr>
        <w:spacing w:before="60" w:after="120"/>
        <w:jc w:val="both"/>
      </w:pPr>
      <w:r>
        <w:rPr>
          <w:color w:val="111111"/>
        </w:rPr>
        <w:t>NETJERU processes each query through a six-stage sequential pipeline. The pipeline is deterministic in sequence but supports concurrent execution within stages where possible. Figure 1 shows the full pipeline; Table 2 provides a consolidated agent reference.</w:t>
      </w:r>
    </w:p>
    <w:p w:rsidR="008E6472" w:rsidRDefault="008E6472"/>
    <w:p w:rsidR="008E6472" w:rsidRDefault="00000000">
      <w:pPr>
        <w:spacing w:before="60" w:after="60"/>
        <w:jc w:val="center"/>
      </w:pPr>
      <w:r>
        <w:rPr>
          <w:b/>
          <w:bCs/>
          <w:i/>
          <w:iCs/>
          <w:color w:val="888888"/>
          <w:sz w:val="19"/>
          <w:szCs w:val="19"/>
        </w:rPr>
        <w:t>Figure 1 — NETJERU Pipeline Flow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2800"/>
        <w:gridCol w:w="5460"/>
      </w:tblGrid>
      <w:tr w:rsidR="008E6472">
        <w:tc>
          <w:tcPr>
            <w:tcW w:w="1100" w:type="dxa"/>
            <w:tcBorders>
              <w:top w:val="single" w:sz="1" w:space="0" w:color="2E6B3E"/>
              <w:left w:val="single" w:sz="1" w:space="0" w:color="2E6B3E"/>
              <w:bottom w:val="single" w:sz="1" w:space="0" w:color="2E6B3E"/>
              <w:right w:val="single" w:sz="1" w:space="0" w:color="2E6B3E"/>
            </w:tcBorders>
            <w:shd w:val="clear" w:color="auto" w:fill="2E6B3E"/>
            <w:tcMar>
              <w:top w:w="80" w:type="dxa"/>
              <w:left w:w="140" w:type="dxa"/>
              <w:bottom w:w="80" w:type="dxa"/>
              <w:right w:w="140" w:type="dxa"/>
            </w:tcMar>
            <w:vAlign w:val="center"/>
          </w:tcPr>
          <w:p w:rsidR="008E6472" w:rsidRDefault="00000000">
            <w:pPr>
              <w:jc w:val="center"/>
            </w:pPr>
            <w:r>
              <w:rPr>
                <w:b/>
                <w:bCs/>
                <w:color w:val="FFFFFF"/>
              </w:rPr>
              <w:t>01</w:t>
            </w:r>
          </w:p>
        </w:tc>
        <w:tc>
          <w:tcPr>
            <w:tcW w:w="2800" w:type="dxa"/>
            <w:tcBorders>
              <w:top w:val="single" w:sz="1" w:space="0" w:color="2E6B3E"/>
              <w:left w:val="single" w:sz="1" w:space="0" w:color="2E6B3E"/>
              <w:bottom w:val="single" w:sz="1" w:space="0" w:color="2E6B3E"/>
              <w:right w:val="single" w:sz="1" w:space="0" w:color="2E6B3E"/>
            </w:tcBorders>
            <w:shd w:val="clear" w:color="auto" w:fill="2E6B3E"/>
            <w:tcMar>
              <w:top w:w="80" w:type="dxa"/>
              <w:left w:w="140" w:type="dxa"/>
              <w:bottom w:w="80" w:type="dxa"/>
              <w:right w:w="140" w:type="dxa"/>
            </w:tcMar>
            <w:vAlign w:val="center"/>
          </w:tcPr>
          <w:p w:rsidR="008E6472" w:rsidRDefault="00000000">
            <w:r>
              <w:rPr>
                <w:b/>
                <w:bCs/>
                <w:color w:val="FFFFFF"/>
                <w:sz w:val="22"/>
                <w:szCs w:val="22"/>
              </w:rPr>
              <w:t>ISIS</w:t>
            </w:r>
          </w:p>
        </w:tc>
        <w:tc>
          <w:tcPr>
            <w:tcW w:w="54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9"/>
                <w:szCs w:val="19"/>
              </w:rPr>
              <w:t>Signal Acquisition</w:t>
            </w:r>
          </w:p>
        </w:tc>
      </w:tr>
      <w:tr w:rsidR="008E6472">
        <w:tc>
          <w:tcPr>
            <w:tcW w:w="11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8E6472" w:rsidRDefault="008E6472"/>
        </w:tc>
        <w:tc>
          <w:tcPr>
            <w:tcW w:w="28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8E6472" w:rsidRDefault="00000000">
            <w:r>
              <w:rPr>
                <w:color w:val="888888"/>
              </w:rPr>
              <w:t>▼</w:t>
            </w:r>
          </w:p>
        </w:tc>
        <w:tc>
          <w:tcPr>
            <w:tcW w:w="546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8E6472" w:rsidRDefault="008E6472"/>
        </w:tc>
      </w:tr>
      <w:tr w:rsidR="008E6472">
        <w:tc>
          <w:tcPr>
            <w:tcW w:w="1100" w:type="dxa"/>
            <w:tcBorders>
              <w:top w:val="single" w:sz="1" w:space="0" w:color="4A6FA5"/>
              <w:left w:val="single" w:sz="1" w:space="0" w:color="4A6FA5"/>
              <w:bottom w:val="single" w:sz="1" w:space="0" w:color="4A6FA5"/>
              <w:right w:val="single" w:sz="1" w:space="0" w:color="4A6FA5"/>
            </w:tcBorders>
            <w:shd w:val="clear" w:color="auto" w:fill="4A6FA5"/>
            <w:tcMar>
              <w:top w:w="80" w:type="dxa"/>
              <w:left w:w="140" w:type="dxa"/>
              <w:bottom w:w="80" w:type="dxa"/>
              <w:right w:w="140" w:type="dxa"/>
            </w:tcMar>
            <w:vAlign w:val="center"/>
          </w:tcPr>
          <w:p w:rsidR="008E6472" w:rsidRDefault="00000000">
            <w:pPr>
              <w:jc w:val="center"/>
            </w:pPr>
            <w:r>
              <w:rPr>
                <w:b/>
                <w:bCs/>
                <w:color w:val="FFFFFF"/>
              </w:rPr>
              <w:t>02</w:t>
            </w:r>
          </w:p>
        </w:tc>
        <w:tc>
          <w:tcPr>
            <w:tcW w:w="2800" w:type="dxa"/>
            <w:tcBorders>
              <w:top w:val="single" w:sz="1" w:space="0" w:color="4A6FA5"/>
              <w:left w:val="single" w:sz="1" w:space="0" w:color="4A6FA5"/>
              <w:bottom w:val="single" w:sz="1" w:space="0" w:color="4A6FA5"/>
              <w:right w:val="single" w:sz="1" w:space="0" w:color="4A6FA5"/>
            </w:tcBorders>
            <w:shd w:val="clear" w:color="auto" w:fill="4A6FA5"/>
            <w:tcMar>
              <w:top w:w="80" w:type="dxa"/>
              <w:left w:w="140" w:type="dxa"/>
              <w:bottom w:w="80" w:type="dxa"/>
              <w:right w:w="140" w:type="dxa"/>
            </w:tcMar>
            <w:vAlign w:val="center"/>
          </w:tcPr>
          <w:p w:rsidR="008E6472" w:rsidRDefault="00000000">
            <w:r>
              <w:rPr>
                <w:b/>
                <w:bCs/>
                <w:color w:val="FFFFFF"/>
                <w:sz w:val="22"/>
                <w:szCs w:val="22"/>
              </w:rPr>
              <w:t>THOTH</w:t>
            </w:r>
          </w:p>
        </w:tc>
        <w:tc>
          <w:tcPr>
            <w:tcW w:w="54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9"/>
                <w:szCs w:val="19"/>
              </w:rPr>
              <w:t>Dimensional Scoring</w:t>
            </w:r>
          </w:p>
        </w:tc>
      </w:tr>
      <w:tr w:rsidR="008E6472">
        <w:tc>
          <w:tcPr>
            <w:tcW w:w="11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8E6472" w:rsidRDefault="008E6472"/>
        </w:tc>
        <w:tc>
          <w:tcPr>
            <w:tcW w:w="28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8E6472" w:rsidRDefault="00000000">
            <w:r>
              <w:rPr>
                <w:color w:val="888888"/>
              </w:rPr>
              <w:t>▼</w:t>
            </w:r>
          </w:p>
        </w:tc>
        <w:tc>
          <w:tcPr>
            <w:tcW w:w="546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8E6472" w:rsidRDefault="008E6472"/>
        </w:tc>
      </w:tr>
      <w:tr w:rsidR="008E6472">
        <w:tc>
          <w:tcPr>
            <w:tcW w:w="11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40" w:type="dxa"/>
              <w:bottom w:w="80" w:type="dxa"/>
              <w:right w:w="140" w:type="dxa"/>
            </w:tcMar>
            <w:vAlign w:val="center"/>
          </w:tcPr>
          <w:p w:rsidR="008E6472" w:rsidRDefault="00000000">
            <w:pPr>
              <w:jc w:val="center"/>
            </w:pPr>
            <w:r>
              <w:rPr>
                <w:b/>
                <w:bCs/>
                <w:color w:val="FFFFFF"/>
              </w:rPr>
              <w:t>03</w:t>
            </w:r>
          </w:p>
        </w:tc>
        <w:tc>
          <w:tcPr>
            <w:tcW w:w="28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40" w:type="dxa"/>
              <w:bottom w:w="80" w:type="dxa"/>
              <w:right w:w="140" w:type="dxa"/>
            </w:tcMar>
            <w:vAlign w:val="center"/>
          </w:tcPr>
          <w:p w:rsidR="008E6472" w:rsidRDefault="00000000">
            <w:r>
              <w:rPr>
                <w:b/>
                <w:bCs/>
                <w:color w:val="FFFFFF"/>
                <w:sz w:val="22"/>
                <w:szCs w:val="22"/>
              </w:rPr>
              <w:t>SET</w:t>
            </w:r>
          </w:p>
        </w:tc>
        <w:tc>
          <w:tcPr>
            <w:tcW w:w="54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9"/>
                <w:szCs w:val="19"/>
              </w:rPr>
              <w:t>Adversarial Challenge</w:t>
            </w:r>
          </w:p>
        </w:tc>
      </w:tr>
      <w:tr w:rsidR="008E6472">
        <w:tc>
          <w:tcPr>
            <w:tcW w:w="11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8E6472" w:rsidRDefault="008E6472"/>
        </w:tc>
        <w:tc>
          <w:tcPr>
            <w:tcW w:w="28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8E6472" w:rsidRDefault="00000000">
            <w:r>
              <w:rPr>
                <w:color w:val="888888"/>
              </w:rPr>
              <w:t>▼</w:t>
            </w:r>
          </w:p>
        </w:tc>
        <w:tc>
          <w:tcPr>
            <w:tcW w:w="546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8E6472" w:rsidRDefault="008E6472"/>
        </w:tc>
      </w:tr>
      <w:tr w:rsidR="008E6472">
        <w:tc>
          <w:tcPr>
            <w:tcW w:w="1100" w:type="dxa"/>
            <w:tcBorders>
              <w:top w:val="single" w:sz="1" w:space="0" w:color="4A4A8A"/>
              <w:left w:val="single" w:sz="1" w:space="0" w:color="4A4A8A"/>
              <w:bottom w:val="single" w:sz="1" w:space="0" w:color="4A4A8A"/>
              <w:right w:val="single" w:sz="1" w:space="0" w:color="4A4A8A"/>
            </w:tcBorders>
            <w:shd w:val="clear" w:color="auto" w:fill="4A4A8A"/>
            <w:tcMar>
              <w:top w:w="80" w:type="dxa"/>
              <w:left w:w="140" w:type="dxa"/>
              <w:bottom w:w="80" w:type="dxa"/>
              <w:right w:w="140" w:type="dxa"/>
            </w:tcMar>
            <w:vAlign w:val="center"/>
          </w:tcPr>
          <w:p w:rsidR="008E6472" w:rsidRDefault="00000000">
            <w:pPr>
              <w:jc w:val="center"/>
            </w:pPr>
            <w:r>
              <w:rPr>
                <w:b/>
                <w:bCs/>
                <w:color w:val="FFFFFF"/>
              </w:rPr>
              <w:t>04</w:t>
            </w:r>
          </w:p>
        </w:tc>
        <w:tc>
          <w:tcPr>
            <w:tcW w:w="2800" w:type="dxa"/>
            <w:tcBorders>
              <w:top w:val="single" w:sz="1" w:space="0" w:color="4A4A8A"/>
              <w:left w:val="single" w:sz="1" w:space="0" w:color="4A4A8A"/>
              <w:bottom w:val="single" w:sz="1" w:space="0" w:color="4A4A8A"/>
              <w:right w:val="single" w:sz="1" w:space="0" w:color="4A4A8A"/>
            </w:tcBorders>
            <w:shd w:val="clear" w:color="auto" w:fill="4A4A8A"/>
            <w:tcMar>
              <w:top w:w="80" w:type="dxa"/>
              <w:left w:w="140" w:type="dxa"/>
              <w:bottom w:w="80" w:type="dxa"/>
              <w:right w:w="140" w:type="dxa"/>
            </w:tcMar>
            <w:vAlign w:val="center"/>
          </w:tcPr>
          <w:p w:rsidR="008E6472" w:rsidRDefault="00000000">
            <w:r>
              <w:rPr>
                <w:b/>
                <w:bCs/>
                <w:color w:val="FFFFFF"/>
                <w:sz w:val="22"/>
                <w:szCs w:val="22"/>
              </w:rPr>
              <w:t>OSIRIS</w:t>
            </w:r>
          </w:p>
        </w:tc>
        <w:tc>
          <w:tcPr>
            <w:tcW w:w="54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9"/>
                <w:szCs w:val="19"/>
              </w:rPr>
              <w:t>Historical Pattern Matching</w:t>
            </w:r>
          </w:p>
        </w:tc>
      </w:tr>
      <w:tr w:rsidR="008E6472">
        <w:tc>
          <w:tcPr>
            <w:tcW w:w="11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8E6472" w:rsidRDefault="008E6472"/>
        </w:tc>
        <w:tc>
          <w:tcPr>
            <w:tcW w:w="28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8E6472" w:rsidRDefault="00000000">
            <w:r>
              <w:rPr>
                <w:color w:val="888888"/>
              </w:rPr>
              <w:t>▼</w:t>
            </w:r>
          </w:p>
        </w:tc>
        <w:tc>
          <w:tcPr>
            <w:tcW w:w="546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8E6472" w:rsidRDefault="008E6472"/>
        </w:tc>
      </w:tr>
      <w:tr w:rsidR="008E6472">
        <w:tc>
          <w:tcPr>
            <w:tcW w:w="1100" w:type="dxa"/>
            <w:tcBorders>
              <w:top w:val="single" w:sz="1" w:space="0" w:color="B8860B"/>
              <w:left w:val="single" w:sz="1" w:space="0" w:color="B8860B"/>
              <w:bottom w:val="single" w:sz="1" w:space="0" w:color="B8860B"/>
              <w:right w:val="single" w:sz="1" w:space="0" w:color="B8860B"/>
            </w:tcBorders>
            <w:shd w:val="clear" w:color="auto" w:fill="B8860B"/>
            <w:tcMar>
              <w:top w:w="80" w:type="dxa"/>
              <w:left w:w="140" w:type="dxa"/>
              <w:bottom w:w="80" w:type="dxa"/>
              <w:right w:w="140" w:type="dxa"/>
            </w:tcMar>
            <w:vAlign w:val="center"/>
          </w:tcPr>
          <w:p w:rsidR="008E6472" w:rsidRDefault="00000000">
            <w:pPr>
              <w:jc w:val="center"/>
            </w:pPr>
            <w:r>
              <w:rPr>
                <w:b/>
                <w:bCs/>
                <w:color w:val="FFFFFF"/>
              </w:rPr>
              <w:t>05</w:t>
            </w:r>
          </w:p>
        </w:tc>
        <w:tc>
          <w:tcPr>
            <w:tcW w:w="2800" w:type="dxa"/>
            <w:tcBorders>
              <w:top w:val="single" w:sz="1" w:space="0" w:color="B8860B"/>
              <w:left w:val="single" w:sz="1" w:space="0" w:color="B8860B"/>
              <w:bottom w:val="single" w:sz="1" w:space="0" w:color="B8860B"/>
              <w:right w:val="single" w:sz="1" w:space="0" w:color="B8860B"/>
            </w:tcBorders>
            <w:shd w:val="clear" w:color="auto" w:fill="B8860B"/>
            <w:tcMar>
              <w:top w:w="80" w:type="dxa"/>
              <w:left w:w="140" w:type="dxa"/>
              <w:bottom w:w="80" w:type="dxa"/>
              <w:right w:w="140" w:type="dxa"/>
            </w:tcMar>
            <w:vAlign w:val="center"/>
          </w:tcPr>
          <w:p w:rsidR="008E6472" w:rsidRDefault="00000000">
            <w:r>
              <w:rPr>
                <w:b/>
                <w:bCs/>
                <w:color w:val="FFFFFF"/>
                <w:sz w:val="22"/>
                <w:szCs w:val="22"/>
              </w:rPr>
              <w:t>ANUBIS</w:t>
            </w:r>
          </w:p>
        </w:tc>
        <w:tc>
          <w:tcPr>
            <w:tcW w:w="54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9"/>
                <w:szCs w:val="19"/>
              </w:rPr>
              <w:t>Evidence Weighing &amp; Dossier</w:t>
            </w:r>
          </w:p>
        </w:tc>
      </w:tr>
      <w:tr w:rsidR="008E6472">
        <w:tc>
          <w:tcPr>
            <w:tcW w:w="11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8E6472" w:rsidRDefault="008E6472"/>
        </w:tc>
        <w:tc>
          <w:tcPr>
            <w:tcW w:w="28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8E6472" w:rsidRDefault="00000000">
            <w:r>
              <w:rPr>
                <w:color w:val="888888"/>
              </w:rPr>
              <w:t>▼</w:t>
            </w:r>
          </w:p>
        </w:tc>
        <w:tc>
          <w:tcPr>
            <w:tcW w:w="546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8E6472" w:rsidRDefault="008E6472"/>
        </w:tc>
      </w:tr>
      <w:tr w:rsidR="008E6472">
        <w:tc>
          <w:tcPr>
            <w:tcW w:w="1100" w:type="dxa"/>
            <w:tcBorders>
              <w:top w:val="single" w:sz="1" w:space="0" w:color="C9A84C"/>
              <w:left w:val="single" w:sz="1" w:space="0" w:color="C9A84C"/>
              <w:bottom w:val="single" w:sz="1" w:space="0" w:color="C9A84C"/>
              <w:right w:val="single" w:sz="1" w:space="0" w:color="C9A84C"/>
            </w:tcBorders>
            <w:shd w:val="clear" w:color="auto" w:fill="C9A84C"/>
            <w:tcMar>
              <w:top w:w="80" w:type="dxa"/>
              <w:left w:w="140" w:type="dxa"/>
              <w:bottom w:w="80" w:type="dxa"/>
              <w:right w:w="140" w:type="dxa"/>
            </w:tcMar>
            <w:vAlign w:val="center"/>
          </w:tcPr>
          <w:p w:rsidR="008E6472" w:rsidRDefault="00000000">
            <w:pPr>
              <w:jc w:val="center"/>
            </w:pPr>
            <w:r>
              <w:rPr>
                <w:b/>
                <w:bCs/>
                <w:color w:val="111111"/>
              </w:rPr>
              <w:t>—</w:t>
            </w:r>
          </w:p>
        </w:tc>
        <w:tc>
          <w:tcPr>
            <w:tcW w:w="2800" w:type="dxa"/>
            <w:tcBorders>
              <w:top w:val="single" w:sz="1" w:space="0" w:color="C9A84C"/>
              <w:left w:val="single" w:sz="1" w:space="0" w:color="C9A84C"/>
              <w:bottom w:val="single" w:sz="1" w:space="0" w:color="C9A84C"/>
              <w:right w:val="single" w:sz="1" w:space="0" w:color="C9A84C"/>
            </w:tcBorders>
            <w:shd w:val="clear" w:color="auto" w:fill="C9A84C"/>
            <w:tcMar>
              <w:top w:w="80" w:type="dxa"/>
              <w:left w:w="140" w:type="dxa"/>
              <w:bottom w:w="80" w:type="dxa"/>
              <w:right w:w="140" w:type="dxa"/>
            </w:tcMar>
            <w:vAlign w:val="center"/>
          </w:tcPr>
          <w:p w:rsidR="008E6472" w:rsidRDefault="00000000">
            <w:r>
              <w:rPr>
                <w:b/>
                <w:bCs/>
                <w:color w:val="111111"/>
                <w:sz w:val="22"/>
                <w:szCs w:val="22"/>
              </w:rPr>
              <w:t>HORUS GATE</w:t>
            </w:r>
          </w:p>
        </w:tc>
        <w:tc>
          <w:tcPr>
            <w:tcW w:w="5460" w:type="dxa"/>
            <w:tcBorders>
              <w:top w:val="single" w:sz="1" w:space="0" w:color="CCCCCC"/>
              <w:left w:val="single" w:sz="1" w:space="0" w:color="CCCCCC"/>
              <w:bottom w:val="single" w:sz="1" w:space="0" w:color="CCCCCC"/>
              <w:right w:val="single" w:sz="1" w:space="0" w:color="CCCCCC"/>
            </w:tcBorders>
            <w:shd w:val="clear" w:color="auto" w:fill="FFF8DC"/>
            <w:tcMar>
              <w:top w:w="80" w:type="dxa"/>
              <w:left w:w="140" w:type="dxa"/>
              <w:bottom w:w="80" w:type="dxa"/>
              <w:right w:w="140" w:type="dxa"/>
            </w:tcMar>
            <w:vAlign w:val="center"/>
          </w:tcPr>
          <w:p w:rsidR="008E6472" w:rsidRDefault="00000000">
            <w:r>
              <w:rPr>
                <w:color w:val="111111"/>
                <w:sz w:val="19"/>
                <w:szCs w:val="19"/>
              </w:rPr>
              <w:t>Human Approval — MANDATORY</w:t>
            </w:r>
          </w:p>
        </w:tc>
      </w:tr>
      <w:tr w:rsidR="008E6472">
        <w:tc>
          <w:tcPr>
            <w:tcW w:w="11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8E6472" w:rsidRDefault="008E6472"/>
        </w:tc>
        <w:tc>
          <w:tcPr>
            <w:tcW w:w="28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8E6472" w:rsidRDefault="00000000">
            <w:r>
              <w:rPr>
                <w:color w:val="888888"/>
              </w:rPr>
              <w:t>▼</w:t>
            </w:r>
          </w:p>
        </w:tc>
        <w:tc>
          <w:tcPr>
            <w:tcW w:w="546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8E6472" w:rsidRDefault="008E6472"/>
        </w:tc>
      </w:tr>
      <w:tr w:rsidR="008E6472">
        <w:tc>
          <w:tcPr>
            <w:tcW w:w="1100" w:type="dxa"/>
            <w:tcBorders>
              <w:top w:val="single" w:sz="1" w:space="0" w:color="8B4513"/>
              <w:left w:val="single" w:sz="1" w:space="0" w:color="8B4513"/>
              <w:bottom w:val="single" w:sz="1" w:space="0" w:color="8B4513"/>
              <w:right w:val="single" w:sz="1" w:space="0" w:color="8B4513"/>
            </w:tcBorders>
            <w:shd w:val="clear" w:color="auto" w:fill="8B4513"/>
            <w:tcMar>
              <w:top w:w="80" w:type="dxa"/>
              <w:left w:w="140" w:type="dxa"/>
              <w:bottom w:w="80" w:type="dxa"/>
              <w:right w:w="140" w:type="dxa"/>
            </w:tcMar>
            <w:vAlign w:val="center"/>
          </w:tcPr>
          <w:p w:rsidR="008E6472" w:rsidRDefault="00000000">
            <w:pPr>
              <w:jc w:val="center"/>
            </w:pPr>
            <w:r>
              <w:rPr>
                <w:b/>
                <w:bCs/>
                <w:color w:val="FFFFFF"/>
              </w:rPr>
              <w:t>06</w:t>
            </w:r>
          </w:p>
        </w:tc>
        <w:tc>
          <w:tcPr>
            <w:tcW w:w="2800" w:type="dxa"/>
            <w:tcBorders>
              <w:top w:val="single" w:sz="1" w:space="0" w:color="8B4513"/>
              <w:left w:val="single" w:sz="1" w:space="0" w:color="8B4513"/>
              <w:bottom w:val="single" w:sz="1" w:space="0" w:color="8B4513"/>
              <w:right w:val="single" w:sz="1" w:space="0" w:color="8B4513"/>
            </w:tcBorders>
            <w:shd w:val="clear" w:color="auto" w:fill="8B4513"/>
            <w:tcMar>
              <w:top w:w="80" w:type="dxa"/>
              <w:left w:w="140" w:type="dxa"/>
              <w:bottom w:w="80" w:type="dxa"/>
              <w:right w:w="140" w:type="dxa"/>
            </w:tcMar>
            <w:vAlign w:val="center"/>
          </w:tcPr>
          <w:p w:rsidR="008E6472" w:rsidRDefault="00000000">
            <w:r>
              <w:rPr>
                <w:b/>
                <w:bCs/>
                <w:color w:val="FFFFFF"/>
                <w:sz w:val="22"/>
                <w:szCs w:val="22"/>
              </w:rPr>
              <w:t>RA</w:t>
            </w:r>
          </w:p>
        </w:tc>
        <w:tc>
          <w:tcPr>
            <w:tcW w:w="54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9"/>
                <w:szCs w:val="19"/>
              </w:rPr>
              <w:t>Final Judgment</w:t>
            </w:r>
          </w:p>
        </w:tc>
      </w:tr>
    </w:tbl>
    <w:p w:rsidR="008E6472" w:rsidRDefault="008E6472"/>
    <w:p w:rsidR="008E6472" w:rsidRDefault="00000000">
      <w:pPr>
        <w:spacing w:before="60" w:after="60"/>
        <w:jc w:val="center"/>
      </w:pPr>
      <w:r>
        <w:rPr>
          <w:b/>
          <w:bCs/>
          <w:i/>
          <w:iCs/>
          <w:color w:val="888888"/>
          <w:sz w:val="19"/>
          <w:szCs w:val="19"/>
        </w:rPr>
        <w:t>Table 2 — Agent Reference: Roles, Functions, and Constraints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700"/>
        <w:gridCol w:w="2700"/>
        <w:gridCol w:w="3560"/>
      </w:tblGrid>
      <w:tr w:rsidR="008E6472">
        <w:tc>
          <w:tcPr>
            <w:tcW w:w="14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8E6472" w:rsidRDefault="00000000">
            <w:pPr>
              <w:jc w:val="center"/>
            </w:pPr>
            <w:r>
              <w:rPr>
                <w:b/>
                <w:bCs/>
                <w:color w:val="FFFFFF"/>
              </w:rPr>
              <w:t>Agent</w:t>
            </w:r>
          </w:p>
        </w:tc>
        <w:tc>
          <w:tcPr>
            <w:tcW w:w="17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8E6472" w:rsidRDefault="00000000">
            <w:pPr>
              <w:jc w:val="center"/>
            </w:pPr>
            <w:r>
              <w:rPr>
                <w:b/>
                <w:bCs/>
                <w:color w:val="FFFFFF"/>
              </w:rPr>
              <w:t>Role</w:t>
            </w:r>
          </w:p>
        </w:tc>
        <w:tc>
          <w:tcPr>
            <w:tcW w:w="27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8E6472" w:rsidRDefault="00000000">
            <w:pPr>
              <w:jc w:val="center"/>
            </w:pPr>
            <w:r>
              <w:rPr>
                <w:b/>
                <w:bCs/>
                <w:color w:val="FFFFFF"/>
              </w:rPr>
              <w:t>Function</w:t>
            </w:r>
          </w:p>
        </w:tc>
        <w:tc>
          <w:tcPr>
            <w:tcW w:w="356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8E6472" w:rsidRDefault="00000000">
            <w:pPr>
              <w:jc w:val="center"/>
            </w:pPr>
            <w:r>
              <w:rPr>
                <w:b/>
                <w:bCs/>
                <w:color w:val="FFFFFF"/>
              </w:rPr>
              <w:t>Key Constraints</w:t>
            </w:r>
          </w:p>
        </w:tc>
      </w:tr>
      <w:tr w:rsidR="008E6472">
        <w:tc>
          <w:tcPr>
            <w:tcW w:w="1400" w:type="dxa"/>
            <w:tcBorders>
              <w:top w:val="single" w:sz="1" w:space="0" w:color="2E6B3E"/>
              <w:left w:val="single" w:sz="1" w:space="0" w:color="2E6B3E"/>
              <w:bottom w:val="single" w:sz="1" w:space="0" w:color="2E6B3E"/>
              <w:right w:val="single" w:sz="1" w:space="0" w:color="2E6B3E"/>
            </w:tcBorders>
            <w:shd w:val="clear" w:color="auto" w:fill="2E6B3E"/>
            <w:tcMar>
              <w:top w:w="80" w:type="dxa"/>
              <w:left w:w="140" w:type="dxa"/>
              <w:bottom w:w="80" w:type="dxa"/>
              <w:right w:w="140" w:type="dxa"/>
            </w:tcMar>
            <w:vAlign w:val="center"/>
          </w:tcPr>
          <w:p w:rsidR="008E6472" w:rsidRDefault="00000000">
            <w:pPr>
              <w:jc w:val="center"/>
            </w:pPr>
            <w:r>
              <w:rPr>
                <w:b/>
                <w:bCs/>
                <w:color w:val="FFFFFF"/>
              </w:rPr>
              <w:t>ISIS</w:t>
            </w:r>
          </w:p>
        </w:tc>
        <w:tc>
          <w:tcPr>
            <w:tcW w:w="17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Signal Acquisition</w:t>
            </w:r>
          </w:p>
        </w:tc>
        <w:tc>
          <w:tcPr>
            <w:tcW w:w="27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Gather &amp; deduplicate signals from APIs, web search, RSS in parallel; classify by DSSM domain</w:t>
            </w:r>
          </w:p>
        </w:tc>
        <w:tc>
          <w:tcPr>
            <w:tcW w:w="3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color w:val="111111"/>
                <w:sz w:val="17"/>
                <w:szCs w:val="17"/>
              </w:rPr>
              <w:t>No analytical function; acquisitive only</w:t>
            </w:r>
          </w:p>
        </w:tc>
      </w:tr>
      <w:tr w:rsidR="008E6472">
        <w:tc>
          <w:tcPr>
            <w:tcW w:w="1400" w:type="dxa"/>
            <w:tcBorders>
              <w:top w:val="single" w:sz="1" w:space="0" w:color="4A6FA5"/>
              <w:left w:val="single" w:sz="1" w:space="0" w:color="4A6FA5"/>
              <w:bottom w:val="single" w:sz="1" w:space="0" w:color="4A6FA5"/>
              <w:right w:val="single" w:sz="1" w:space="0" w:color="4A6FA5"/>
            </w:tcBorders>
            <w:shd w:val="clear" w:color="auto" w:fill="4A6FA5"/>
            <w:tcMar>
              <w:top w:w="80" w:type="dxa"/>
              <w:left w:w="140" w:type="dxa"/>
              <w:bottom w:w="80" w:type="dxa"/>
              <w:right w:w="140" w:type="dxa"/>
            </w:tcMar>
            <w:vAlign w:val="center"/>
          </w:tcPr>
          <w:p w:rsidR="008E6472" w:rsidRDefault="00000000">
            <w:pPr>
              <w:jc w:val="center"/>
            </w:pPr>
            <w:r>
              <w:rPr>
                <w:b/>
                <w:bCs/>
                <w:color w:val="FFFFFF"/>
              </w:rPr>
              <w:t>THOTH</w:t>
            </w:r>
          </w:p>
        </w:tc>
        <w:tc>
          <w:tcPr>
            <w:tcW w:w="17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Dimensional Scoring</w:t>
            </w:r>
          </w:p>
        </w:tc>
        <w:tc>
          <w:tcPr>
            <w:tcW w:w="27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Score each signal across SRF/IC/AGF/MSS; complete 3 mandatory self-audit flags; apply rhetorical correction</w:t>
            </w:r>
          </w:p>
        </w:tc>
        <w:tc>
          <w:tcPr>
            <w:tcW w:w="3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color w:val="111111"/>
                <w:sz w:val="17"/>
                <w:szCs w:val="17"/>
              </w:rPr>
              <w:t>Bias correction applied in code, not by model</w:t>
            </w:r>
          </w:p>
        </w:tc>
      </w:tr>
      <w:tr w:rsidR="008E6472">
        <w:tc>
          <w:tcPr>
            <w:tcW w:w="14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40" w:type="dxa"/>
              <w:bottom w:w="80" w:type="dxa"/>
              <w:right w:w="140" w:type="dxa"/>
            </w:tcMar>
            <w:vAlign w:val="center"/>
          </w:tcPr>
          <w:p w:rsidR="008E6472" w:rsidRDefault="00000000">
            <w:pPr>
              <w:jc w:val="center"/>
            </w:pPr>
            <w:r>
              <w:rPr>
                <w:b/>
                <w:bCs/>
                <w:color w:val="FFFFFF"/>
              </w:rPr>
              <w:lastRenderedPageBreak/>
              <w:t>SET</w:t>
            </w:r>
          </w:p>
        </w:tc>
        <w:tc>
          <w:tcPr>
            <w:tcW w:w="17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Adversarial Challenge</w:t>
            </w:r>
          </w:p>
        </w:tc>
        <w:tc>
          <w:tcPr>
            <w:tcW w:w="27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Challenge Thoth's methodology on top-scored signals; name exact failure mechanism</w:t>
            </w:r>
          </w:p>
        </w:tc>
        <w:tc>
          <w:tcPr>
            <w:tcW w:w="3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color w:val="111111"/>
                <w:sz w:val="17"/>
                <w:szCs w:val="17"/>
              </w:rPr>
              <w:t>Generic resilience frames disallowed; hard score caps enforced algorithmically</w:t>
            </w:r>
          </w:p>
        </w:tc>
      </w:tr>
      <w:tr w:rsidR="008E6472">
        <w:tc>
          <w:tcPr>
            <w:tcW w:w="1400" w:type="dxa"/>
            <w:tcBorders>
              <w:top w:val="single" w:sz="1" w:space="0" w:color="4A4A8A"/>
              <w:left w:val="single" w:sz="1" w:space="0" w:color="4A4A8A"/>
              <w:bottom w:val="single" w:sz="1" w:space="0" w:color="4A4A8A"/>
              <w:right w:val="single" w:sz="1" w:space="0" w:color="4A4A8A"/>
            </w:tcBorders>
            <w:shd w:val="clear" w:color="auto" w:fill="4A4A8A"/>
            <w:tcMar>
              <w:top w:w="80" w:type="dxa"/>
              <w:left w:w="140" w:type="dxa"/>
              <w:bottom w:w="80" w:type="dxa"/>
              <w:right w:w="140" w:type="dxa"/>
            </w:tcMar>
            <w:vAlign w:val="center"/>
          </w:tcPr>
          <w:p w:rsidR="008E6472" w:rsidRDefault="00000000">
            <w:pPr>
              <w:jc w:val="center"/>
            </w:pPr>
            <w:r>
              <w:rPr>
                <w:b/>
                <w:bCs/>
                <w:color w:val="FFFFFF"/>
              </w:rPr>
              <w:t>OSIRIS</w:t>
            </w:r>
          </w:p>
        </w:tc>
        <w:tc>
          <w:tcPr>
            <w:tcW w:w="17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Historical Matching</w:t>
            </w:r>
          </w:p>
        </w:tc>
        <w:tc>
          <w:tcPr>
            <w:tcW w:w="27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Retrieve historical analogues by DSSM structural fingerprint; assign trajectory from 5-option vocabulary</w:t>
            </w:r>
          </w:p>
        </w:tc>
        <w:tc>
          <w:tcPr>
            <w:tcW w:w="3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color w:val="111111"/>
                <w:sz w:val="17"/>
                <w:szCs w:val="17"/>
              </w:rPr>
              <w:t>Post-1945 primary; pre-1945 flagged; fingerprint not topic retrieval</w:t>
            </w:r>
          </w:p>
        </w:tc>
      </w:tr>
      <w:tr w:rsidR="008E6472">
        <w:tc>
          <w:tcPr>
            <w:tcW w:w="1400" w:type="dxa"/>
            <w:tcBorders>
              <w:top w:val="single" w:sz="1" w:space="0" w:color="B8860B"/>
              <w:left w:val="single" w:sz="1" w:space="0" w:color="B8860B"/>
              <w:bottom w:val="single" w:sz="1" w:space="0" w:color="B8860B"/>
              <w:right w:val="single" w:sz="1" w:space="0" w:color="B8860B"/>
            </w:tcBorders>
            <w:shd w:val="clear" w:color="auto" w:fill="B8860B"/>
            <w:tcMar>
              <w:top w:w="80" w:type="dxa"/>
              <w:left w:w="140" w:type="dxa"/>
              <w:bottom w:w="80" w:type="dxa"/>
              <w:right w:w="140" w:type="dxa"/>
            </w:tcMar>
            <w:vAlign w:val="center"/>
          </w:tcPr>
          <w:p w:rsidR="008E6472" w:rsidRDefault="00000000">
            <w:pPr>
              <w:jc w:val="center"/>
            </w:pPr>
            <w:r>
              <w:rPr>
                <w:b/>
                <w:bCs/>
                <w:color w:val="FFFFFF"/>
              </w:rPr>
              <w:t>ANUBIS</w:t>
            </w:r>
          </w:p>
        </w:tc>
        <w:tc>
          <w:tcPr>
            <w:tcW w:w="17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Evidence Weighing</w:t>
            </w:r>
          </w:p>
        </w:tc>
        <w:tc>
          <w:tcPr>
            <w:tcW w:w="27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Produce pre-judgment dossier: 4-point threat level, SFI score, tripwire with deadline and escalation %</w:t>
            </w:r>
          </w:p>
        </w:tc>
        <w:tc>
          <w:tcPr>
            <w:tcW w:w="3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color w:val="111111"/>
                <w:sz w:val="17"/>
                <w:szCs w:val="17"/>
              </w:rPr>
              <w:t>Must justify level over adjacent levels; tripwire = action deadline not note</w:t>
            </w:r>
          </w:p>
        </w:tc>
      </w:tr>
      <w:tr w:rsidR="008E6472">
        <w:tc>
          <w:tcPr>
            <w:tcW w:w="1400" w:type="dxa"/>
            <w:tcBorders>
              <w:top w:val="single" w:sz="1" w:space="0" w:color="C9A84C"/>
              <w:left w:val="single" w:sz="1" w:space="0" w:color="C9A84C"/>
              <w:bottom w:val="single" w:sz="1" w:space="0" w:color="C9A84C"/>
              <w:right w:val="single" w:sz="1" w:space="0" w:color="C9A84C"/>
            </w:tcBorders>
            <w:shd w:val="clear" w:color="auto" w:fill="C9A84C"/>
            <w:tcMar>
              <w:top w:w="80" w:type="dxa"/>
              <w:left w:w="140" w:type="dxa"/>
              <w:bottom w:w="80" w:type="dxa"/>
              <w:right w:w="140" w:type="dxa"/>
            </w:tcMar>
            <w:vAlign w:val="center"/>
          </w:tcPr>
          <w:p w:rsidR="008E6472" w:rsidRDefault="00000000">
            <w:pPr>
              <w:jc w:val="center"/>
            </w:pPr>
            <w:r>
              <w:rPr>
                <w:b/>
                <w:bCs/>
                <w:color w:val="111111"/>
              </w:rPr>
              <w:t>HORUS</w:t>
            </w:r>
          </w:p>
        </w:tc>
        <w:tc>
          <w:tcPr>
            <w:tcW w:w="17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Human Gate</w:t>
            </w:r>
          </w:p>
        </w:tc>
        <w:tc>
          <w:tcPr>
            <w:tcW w:w="27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Human operator reviews assembled dossier; explicitly approves judgment phase</w:t>
            </w:r>
          </w:p>
        </w:tc>
        <w:tc>
          <w:tcPr>
            <w:tcW w:w="3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color w:val="111111"/>
                <w:sz w:val="17"/>
                <w:szCs w:val="17"/>
              </w:rPr>
              <w:t>Pipeline PAUSES — judgment stage cannot execute without human approval</w:t>
            </w:r>
          </w:p>
        </w:tc>
      </w:tr>
      <w:tr w:rsidR="008E6472">
        <w:tc>
          <w:tcPr>
            <w:tcW w:w="1400" w:type="dxa"/>
            <w:tcBorders>
              <w:top w:val="single" w:sz="1" w:space="0" w:color="8B4513"/>
              <w:left w:val="single" w:sz="1" w:space="0" w:color="8B4513"/>
              <w:bottom w:val="single" w:sz="1" w:space="0" w:color="8B4513"/>
              <w:right w:val="single" w:sz="1" w:space="0" w:color="8B4513"/>
            </w:tcBorders>
            <w:shd w:val="clear" w:color="auto" w:fill="8B4513"/>
            <w:tcMar>
              <w:top w:w="80" w:type="dxa"/>
              <w:left w:w="140" w:type="dxa"/>
              <w:bottom w:w="80" w:type="dxa"/>
              <w:right w:w="140" w:type="dxa"/>
            </w:tcMar>
            <w:vAlign w:val="center"/>
          </w:tcPr>
          <w:p w:rsidR="008E6472" w:rsidRDefault="00000000">
            <w:pPr>
              <w:jc w:val="center"/>
            </w:pPr>
            <w:r>
              <w:rPr>
                <w:b/>
                <w:bCs/>
                <w:color w:val="FFFFFF"/>
              </w:rPr>
              <w:t>RA</w:t>
            </w:r>
          </w:p>
        </w:tc>
        <w:tc>
          <w:tcPr>
            <w:tcW w:w="17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Final Judgment</w:t>
            </w:r>
          </w:p>
        </w:tc>
        <w:tc>
          <w:tcPr>
            <w:tcW w:w="27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Render structured judgment: summary, risks, challenges, analogues, recommendations, falsifiability check</w:t>
            </w:r>
          </w:p>
        </w:tc>
        <w:tc>
          <w:tcPr>
            <w:tcW w:w="3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color w:val="111111"/>
                <w:sz w:val="17"/>
                <w:szCs w:val="17"/>
              </w:rPr>
              <w:t>AI mis-attribution listed first; actor incentives required; falsifiability mandatory</w:t>
            </w:r>
          </w:p>
        </w:tc>
      </w:tr>
    </w:tbl>
    <w:p w:rsidR="008E6472" w:rsidRDefault="008E6472"/>
    <w:p w:rsidR="008E6472" w:rsidRDefault="00000000">
      <w:pPr>
        <w:pStyle w:val="Heading2"/>
      </w:pPr>
      <w:r>
        <w:t>4.1  Stage 1 — Isis: The Gatherer</w:t>
      </w:r>
    </w:p>
    <w:p w:rsidR="008E6472" w:rsidRDefault="00000000">
      <w:pPr>
        <w:spacing w:before="60" w:after="120"/>
        <w:jc w:val="both"/>
      </w:pPr>
      <w:r>
        <w:rPr>
          <w:color w:val="111111"/>
        </w:rPr>
        <w:t>Isis is the signal acquisition layer. Named for the Egyptian deity who gathered the scattered remains of Osiris across the world, Isis is responsible for collecting raw intelligence from open-source channels simultaneously. These sources span structured news APIs, unkeyed web search, and live RSS aggregation. All sources are queried in parallel; results are deduplicated and classified by a keyword-based domain classifier that maps signals to DSSM-relevant categories before they are passed downstream.</w:t>
      </w:r>
    </w:p>
    <w:p w:rsidR="008E6472" w:rsidRDefault="00000000">
      <w:pPr>
        <w:spacing w:before="60" w:after="120"/>
        <w:jc w:val="both"/>
      </w:pPr>
      <w:r>
        <w:rPr>
          <w:color w:val="111111"/>
        </w:rPr>
        <w:t xml:space="preserve">Isis has no analytical opinion. Her function is purely acquisitive: gather as many relevant signals as the configured source set allows, deduplicate by headline similarity, and pass a bounded set forward. This strict separation of acquisition from analysis reflects a core design principle: contaminating the signal acquisition layer with analytical priors introduces systematic bias at the foundation of the pipeline </w:t>
      </w:r>
      <w:r>
        <w:rPr>
          <w:color w:val="4A6FA5"/>
          <w:sz w:val="16"/>
          <w:szCs w:val="16"/>
          <w:vertAlign w:val="superscript"/>
        </w:rPr>
        <w:t>[6]</w:t>
      </w:r>
      <w:r>
        <w:rPr>
          <w:color w:val="111111"/>
        </w:rPr>
        <w:t>. Phase-2 development extends Isis to social media platforms, introducing new challenges around signal quality and adversarial content.</w:t>
      </w:r>
    </w:p>
    <w:p w:rsidR="008E6472" w:rsidRDefault="00000000">
      <w:pPr>
        <w:pStyle w:val="Heading2"/>
      </w:pPr>
      <w:r>
        <w:t>4.2  Stage 2 — Thoth: The Scorer</w:t>
      </w:r>
    </w:p>
    <w:p w:rsidR="008E6472" w:rsidRDefault="00000000">
      <w:pPr>
        <w:spacing w:before="60" w:after="120"/>
        <w:jc w:val="both"/>
      </w:pPr>
      <w:r>
        <w:rPr>
          <w:color w:val="111111"/>
        </w:rPr>
        <w:t>Thoth is the analytical backbone of the pipeline. Named for the Egyptian deity of knowledge, writing, and judgment, Thoth takes Isis's raw signals and scores each one across the four DSSM dimensions. Thoth is the first point in the pipeline where AI reasoning is applied to content, and it is constrained by three mandatory self-audit flags that must be completed before any score is finalised.</w:t>
      </w:r>
    </w:p>
    <w:p w:rsidR="008E6472" w:rsidRDefault="008E6472"/>
    <w:p w:rsidR="008E6472" w:rsidRDefault="00000000">
      <w:pPr>
        <w:spacing w:before="60" w:after="60"/>
        <w:jc w:val="center"/>
      </w:pPr>
      <w:r>
        <w:rPr>
          <w:b/>
          <w:bCs/>
          <w:i/>
          <w:iCs/>
          <w:color w:val="888888"/>
          <w:sz w:val="19"/>
          <w:szCs w:val="19"/>
        </w:rPr>
        <w:t>Table 3 — Thoth Self-Audit Flags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3480"/>
        <w:gridCol w:w="3280"/>
      </w:tblGrid>
      <w:tr w:rsidR="008E6472">
        <w:tc>
          <w:tcPr>
            <w:tcW w:w="2600" w:type="dxa"/>
            <w:tcBorders>
              <w:top w:val="single" w:sz="1" w:space="0" w:color="4A6FA5"/>
              <w:left w:val="single" w:sz="1" w:space="0" w:color="4A6FA5"/>
              <w:bottom w:val="single" w:sz="1" w:space="0" w:color="4A6FA5"/>
              <w:right w:val="single" w:sz="1" w:space="0" w:color="4A6FA5"/>
            </w:tcBorders>
            <w:shd w:val="clear" w:color="auto" w:fill="4A6FA5"/>
            <w:tcMar>
              <w:top w:w="80" w:type="dxa"/>
              <w:left w:w="140" w:type="dxa"/>
              <w:bottom w:w="80" w:type="dxa"/>
              <w:right w:w="140" w:type="dxa"/>
            </w:tcMar>
            <w:vAlign w:val="center"/>
          </w:tcPr>
          <w:p w:rsidR="008E6472" w:rsidRDefault="00000000">
            <w:pPr>
              <w:jc w:val="center"/>
            </w:pPr>
            <w:r>
              <w:rPr>
                <w:b/>
                <w:bCs/>
                <w:color w:val="FFFFFF"/>
              </w:rPr>
              <w:t>Self-Audit Flag</w:t>
            </w:r>
          </w:p>
        </w:tc>
        <w:tc>
          <w:tcPr>
            <w:tcW w:w="3480" w:type="dxa"/>
            <w:tcBorders>
              <w:top w:val="single" w:sz="1" w:space="0" w:color="4A6FA5"/>
              <w:left w:val="single" w:sz="1" w:space="0" w:color="4A6FA5"/>
              <w:bottom w:val="single" w:sz="1" w:space="0" w:color="4A6FA5"/>
              <w:right w:val="single" w:sz="1" w:space="0" w:color="4A6FA5"/>
            </w:tcBorders>
            <w:shd w:val="clear" w:color="auto" w:fill="4A6FA5"/>
            <w:tcMar>
              <w:top w:w="80" w:type="dxa"/>
              <w:left w:w="140" w:type="dxa"/>
              <w:bottom w:w="80" w:type="dxa"/>
              <w:right w:w="140" w:type="dxa"/>
            </w:tcMar>
            <w:vAlign w:val="center"/>
          </w:tcPr>
          <w:p w:rsidR="008E6472" w:rsidRDefault="00000000">
            <w:pPr>
              <w:jc w:val="center"/>
            </w:pPr>
            <w:r>
              <w:rPr>
                <w:b/>
                <w:bCs/>
                <w:color w:val="FFFFFF"/>
              </w:rPr>
              <w:t>Trigger Condition</w:t>
            </w:r>
          </w:p>
        </w:tc>
        <w:tc>
          <w:tcPr>
            <w:tcW w:w="3280" w:type="dxa"/>
            <w:tcBorders>
              <w:top w:val="single" w:sz="1" w:space="0" w:color="4A6FA5"/>
              <w:left w:val="single" w:sz="1" w:space="0" w:color="4A6FA5"/>
              <w:bottom w:val="single" w:sz="1" w:space="0" w:color="4A6FA5"/>
              <w:right w:val="single" w:sz="1" w:space="0" w:color="4A6FA5"/>
            </w:tcBorders>
            <w:shd w:val="clear" w:color="auto" w:fill="4A6FA5"/>
            <w:tcMar>
              <w:top w:w="80" w:type="dxa"/>
              <w:left w:w="140" w:type="dxa"/>
              <w:bottom w:w="80" w:type="dxa"/>
              <w:right w:w="140" w:type="dxa"/>
            </w:tcMar>
            <w:vAlign w:val="center"/>
          </w:tcPr>
          <w:p w:rsidR="008E6472" w:rsidRDefault="00000000">
            <w:pPr>
              <w:jc w:val="center"/>
            </w:pPr>
            <w:r>
              <w:rPr>
                <w:b/>
                <w:bCs/>
                <w:color w:val="FFFFFF"/>
              </w:rPr>
              <w:t>Required Adjustment</w:t>
            </w:r>
          </w:p>
        </w:tc>
      </w:tr>
      <w:tr w:rsidR="008E6472">
        <w:tc>
          <w:tcPr>
            <w:tcW w:w="26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Causal Reversal</w:t>
            </w:r>
          </w:p>
        </w:tc>
        <w:tc>
          <w:tcPr>
            <w:tcW w:w="3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Effect scored as cause — e.g. market reaction mis-scored as institutional collapse</w:t>
            </w:r>
          </w:p>
        </w:tc>
        <w:tc>
          <w:tcPr>
            <w:tcW w:w="328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8"/>
                <w:szCs w:val="18"/>
              </w:rPr>
              <w:t>Reduce IC score; reclassify as downstream signal</w:t>
            </w:r>
          </w:p>
        </w:tc>
      </w:tr>
      <w:tr w:rsidR="008E6472">
        <w:tc>
          <w:tcPr>
            <w:tcW w:w="26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b/>
                <w:bCs/>
                <w:color w:val="111111"/>
                <w:sz w:val="18"/>
                <w:szCs w:val="18"/>
              </w:rPr>
              <w:t>Lagging Indicator</w:t>
            </w:r>
          </w:p>
        </w:tc>
        <w:tc>
          <w:tcPr>
            <w:tcW w:w="3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Temporally displaced signal — published economic data, retrospective diplomatic statement</w:t>
            </w:r>
          </w:p>
        </w:tc>
        <w:tc>
          <w:tcPr>
            <w:tcW w:w="328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8"/>
                <w:szCs w:val="18"/>
              </w:rPr>
              <w:t>Reduce current-state weighting; flag as past-state reference</w:t>
            </w:r>
          </w:p>
        </w:tc>
      </w:tr>
      <w:tr w:rsidR="008E6472">
        <w:tc>
          <w:tcPr>
            <w:tcW w:w="26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lastRenderedPageBreak/>
              <w:t>Deterrence Miscategorization</w:t>
            </w:r>
          </w:p>
        </w:tc>
        <w:tc>
          <w:tcPr>
            <w:tcW w:w="34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Coercive signal (exercises, tests, positioning) read as operational preparation</w:t>
            </w:r>
          </w:p>
        </w:tc>
        <w:tc>
          <w:tcPr>
            <w:tcW w:w="328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8"/>
                <w:szCs w:val="18"/>
              </w:rPr>
              <w:t>Recategorize; distinguish deterrence from operational intent</w:t>
            </w:r>
          </w:p>
        </w:tc>
      </w:tr>
    </w:tbl>
    <w:p w:rsidR="008E6472" w:rsidRDefault="008E6472"/>
    <w:p w:rsidR="008E6472" w:rsidRDefault="00000000">
      <w:pPr>
        <w:spacing w:before="60" w:after="120"/>
        <w:jc w:val="both"/>
      </w:pPr>
      <w:r>
        <w:rPr>
          <w:color w:val="111111"/>
        </w:rPr>
        <w:t xml:space="preserve">These three flags operationalize specific, named failure modes identified in the intelligence analysis literature as endemic to unstructured analysis </w:t>
      </w:r>
      <w:r>
        <w:rPr>
          <w:color w:val="4A6FA5"/>
          <w:sz w:val="16"/>
          <w:szCs w:val="16"/>
          <w:vertAlign w:val="superscript"/>
        </w:rPr>
        <w:t>[6][8]</w:t>
      </w:r>
      <w:r>
        <w:rPr>
          <w:color w:val="111111"/>
        </w:rPr>
        <w:t xml:space="preserve">. The causal reversal flag addresses Kahneman's availability heuristic, which leads analysts to weight salient downstream effects as highly as structural causes </w:t>
      </w:r>
      <w:r>
        <w:rPr>
          <w:color w:val="4A6FA5"/>
          <w:sz w:val="16"/>
          <w:szCs w:val="16"/>
          <w:vertAlign w:val="superscript"/>
        </w:rPr>
        <w:t>[8]</w:t>
      </w:r>
      <w:r>
        <w:rPr>
          <w:color w:val="111111"/>
        </w:rPr>
        <w:t xml:space="preserve">. The lagging indicator flag addresses the tendency to treat published data as current-state information when it reflects conditions from weeks or months prior — a systematic source of overestimated present risk </w:t>
      </w:r>
      <w:r>
        <w:rPr>
          <w:color w:val="4A6FA5"/>
          <w:sz w:val="16"/>
          <w:szCs w:val="16"/>
          <w:vertAlign w:val="superscript"/>
        </w:rPr>
        <w:t>[9]</w:t>
      </w:r>
      <w:r>
        <w:rPr>
          <w:color w:val="111111"/>
        </w:rPr>
        <w:t xml:space="preserve">. The deterrence miscategorization flag addresses Schelling's insight that coercive signals and operational preparations are structurally distinct and require different analytical responses </w:t>
      </w:r>
      <w:r>
        <w:rPr>
          <w:color w:val="4A6FA5"/>
          <w:sz w:val="16"/>
          <w:szCs w:val="16"/>
          <w:vertAlign w:val="superscript"/>
        </w:rPr>
        <w:t>[17]</w:t>
      </w:r>
      <w:r>
        <w:rPr>
          <w:color w:val="111111"/>
        </w:rPr>
        <w:t>.</w:t>
      </w:r>
    </w:p>
    <w:p w:rsidR="008E6472" w:rsidRDefault="00000000">
      <w:pPr>
        <w:pStyle w:val="Heading2"/>
      </w:pPr>
      <w:r>
        <w:t>4.3  Stage 3 — Set: The Adversarial Challenger</w:t>
      </w:r>
    </w:p>
    <w:p w:rsidR="008E6472" w:rsidRDefault="00000000">
      <w:pPr>
        <w:spacing w:before="60" w:after="120"/>
        <w:jc w:val="both"/>
      </w:pPr>
      <w:r>
        <w:rPr>
          <w:color w:val="111111"/>
        </w:rPr>
        <w:t xml:space="preserve">Set is NETJERU's built-in adversarial agent. Named for the Egyptian deity of chaos and the adversary in the divine council, Set takes the top-scored signals from Thoth and challenges not their conclusions but their methodology. This distinction — between challenging conclusions and challenging the reasoning that produced them — is fundamental to NETJERU's design </w:t>
      </w:r>
      <w:r>
        <w:rPr>
          <w:color w:val="4A6FA5"/>
          <w:sz w:val="16"/>
          <w:szCs w:val="16"/>
          <w:vertAlign w:val="superscript"/>
        </w:rPr>
        <w:t>[11]</w:t>
      </w:r>
      <w:r>
        <w:rPr>
          <w:color w:val="111111"/>
        </w:rPr>
        <w:t>.</w:t>
      </w:r>
    </w:p>
    <w:p w:rsidR="008E6472" w:rsidRDefault="00000000">
      <w:pPr>
        <w:spacing w:before="60" w:after="120"/>
        <w:jc w:val="both"/>
      </w:pPr>
      <w:r>
        <w:rPr>
          <w:color w:val="111111"/>
        </w:rPr>
        <w:t>A critical design constraint: generic resilience frames are not valid challenges. A challenge that says 'this situation has historical precedent and societies are resilient' is a template, not an analysis. Set is required to identify the specific methodological flaw in Thoth's reasoning and name the failure mechanism precisely. Challenge strength determines score impact, enforced algorithmically.</w:t>
      </w:r>
    </w:p>
    <w:p w:rsidR="008E6472" w:rsidRDefault="008E6472"/>
    <w:p w:rsidR="008E6472" w:rsidRDefault="00000000">
      <w:pPr>
        <w:spacing w:before="60" w:after="60"/>
        <w:jc w:val="center"/>
      </w:pPr>
      <w:r>
        <w:rPr>
          <w:b/>
          <w:bCs/>
          <w:i/>
          <w:iCs/>
          <w:color w:val="888888"/>
          <w:sz w:val="19"/>
          <w:szCs w:val="19"/>
        </w:rPr>
        <w:t>Table 4 — Set Challenge Strength: Criteria and Score Delta Outcomes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4360"/>
        <w:gridCol w:w="3200"/>
      </w:tblGrid>
      <w:tr w:rsidR="008E6472">
        <w:tc>
          <w:tcPr>
            <w:tcW w:w="18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8E6472" w:rsidRDefault="00000000">
            <w:pPr>
              <w:jc w:val="center"/>
            </w:pPr>
            <w:r>
              <w:rPr>
                <w:b/>
                <w:bCs/>
                <w:color w:val="FFFFFF"/>
              </w:rPr>
              <w:t>Strength</w:t>
            </w:r>
          </w:p>
        </w:tc>
        <w:tc>
          <w:tcPr>
            <w:tcW w:w="436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8E6472" w:rsidRDefault="00000000">
            <w:pPr>
              <w:jc w:val="center"/>
            </w:pPr>
            <w:r>
              <w:rPr>
                <w:b/>
                <w:bCs/>
                <w:color w:val="FFFFFF"/>
              </w:rPr>
              <w:t>Qualifying Criteria</w:t>
            </w:r>
          </w:p>
        </w:tc>
        <w:tc>
          <w:tcPr>
            <w:tcW w:w="32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8E6472" w:rsidRDefault="00000000">
            <w:pPr>
              <w:jc w:val="center"/>
            </w:pPr>
            <w:r>
              <w:rPr>
                <w:b/>
                <w:bCs/>
                <w:color w:val="FFFFFF"/>
              </w:rPr>
              <w:t>Score Delta Outcome</w:t>
            </w:r>
          </w:p>
        </w:tc>
      </w:tr>
      <w:tr w:rsidR="008E6472">
        <w:tc>
          <w:tcPr>
            <w:tcW w:w="18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40" w:type="dxa"/>
              <w:bottom w:w="80" w:type="dxa"/>
              <w:right w:w="140" w:type="dxa"/>
            </w:tcMar>
            <w:vAlign w:val="center"/>
          </w:tcPr>
          <w:p w:rsidR="008E6472" w:rsidRDefault="00000000">
            <w:pPr>
              <w:jc w:val="center"/>
            </w:pPr>
            <w:r>
              <w:rPr>
                <w:b/>
                <w:bCs/>
                <w:color w:val="FFFFFF"/>
              </w:rPr>
              <w:t>DEFINITIVE</w:t>
            </w:r>
          </w:p>
        </w:tc>
        <w:tc>
          <w:tcPr>
            <w:tcW w:w="4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Directly engages the signal's causal mechanism; names exact failure point; mechanism_engaged: true</w:t>
            </w:r>
          </w:p>
        </w:tc>
        <w:tc>
          <w:tcPr>
            <w:tcW w:w="32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Uncapped reduction up to system maximum</w:t>
            </w:r>
          </w:p>
        </w:tc>
      </w:tr>
      <w:tr w:rsidR="008E6472">
        <w:tc>
          <w:tcPr>
            <w:tcW w:w="1800" w:type="dxa"/>
            <w:tcBorders>
              <w:top w:val="single" w:sz="1" w:space="0" w:color="B8860B"/>
              <w:left w:val="single" w:sz="1" w:space="0" w:color="B8860B"/>
              <w:bottom w:val="single" w:sz="1" w:space="0" w:color="B8860B"/>
              <w:right w:val="single" w:sz="1" w:space="0" w:color="B8860B"/>
            </w:tcBorders>
            <w:shd w:val="clear" w:color="auto" w:fill="B8860B"/>
            <w:tcMar>
              <w:top w:w="80" w:type="dxa"/>
              <w:left w:w="140" w:type="dxa"/>
              <w:bottom w:w="80" w:type="dxa"/>
              <w:right w:w="140" w:type="dxa"/>
            </w:tcMar>
            <w:vAlign w:val="center"/>
          </w:tcPr>
          <w:p w:rsidR="008E6472" w:rsidRDefault="00000000">
            <w:pPr>
              <w:jc w:val="center"/>
            </w:pPr>
            <w:r>
              <w:rPr>
                <w:b/>
                <w:bCs/>
                <w:color w:val="FFFFFF"/>
              </w:rPr>
              <w:t>MODERATE</w:t>
            </w:r>
          </w:p>
        </w:tc>
        <w:tc>
          <w:tcPr>
            <w:tcW w:w="4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Engages methodology but not specific mechanism; partial critique; mechanism_engaged: true</w:t>
            </w:r>
          </w:p>
        </w:tc>
        <w:tc>
          <w:tcPr>
            <w:tcW w:w="32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Capped at defined maximum reduction</w:t>
            </w:r>
          </w:p>
        </w:tc>
      </w:tr>
      <w:tr w:rsidR="008E6472">
        <w:tc>
          <w:tcPr>
            <w:tcW w:w="1800" w:type="dxa"/>
            <w:tcBorders>
              <w:top w:val="single" w:sz="1" w:space="0" w:color="CCCCCC"/>
              <w:left w:val="single" w:sz="1" w:space="0" w:color="CCCCCC"/>
              <w:bottom w:val="single" w:sz="1" w:space="0" w:color="CCCCCC"/>
              <w:right w:val="single" w:sz="1" w:space="0" w:color="CCCCCC"/>
            </w:tcBorders>
            <w:shd w:val="clear" w:color="auto" w:fill="CCCCCC"/>
            <w:tcMar>
              <w:top w:w="80" w:type="dxa"/>
              <w:left w:w="140" w:type="dxa"/>
              <w:bottom w:w="80" w:type="dxa"/>
              <w:right w:w="140" w:type="dxa"/>
            </w:tcMar>
            <w:vAlign w:val="center"/>
          </w:tcPr>
          <w:p w:rsidR="008E6472" w:rsidRDefault="00000000">
            <w:pPr>
              <w:jc w:val="center"/>
            </w:pPr>
            <w:r>
              <w:rPr>
                <w:b/>
                <w:bCs/>
                <w:color w:val="111111"/>
              </w:rPr>
              <w:t>SUPERFICIAL</w:t>
            </w:r>
          </w:p>
        </w:tc>
        <w:tc>
          <w:tcPr>
            <w:tcW w:w="4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Generic resilience frame; no mechanism engagement; template language detected</w:t>
            </w:r>
          </w:p>
        </w:tc>
        <w:tc>
          <w:tcPr>
            <w:tcW w:w="32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Zero score delta — challenge rejected</w:t>
            </w:r>
          </w:p>
        </w:tc>
      </w:tr>
    </w:tbl>
    <w:p w:rsidR="008E6472" w:rsidRDefault="008E6472"/>
    <w:p w:rsidR="008E6472" w:rsidRDefault="00000000">
      <w:pPr>
        <w:spacing w:before="60" w:after="120"/>
        <w:jc w:val="both"/>
      </w:pPr>
      <w:r>
        <w:rPr>
          <w:color w:val="111111"/>
        </w:rPr>
        <w:t xml:space="preserve">Hard caps on score reduction are enforced in code based on challenge strength, regardless of what the model returns. A SUPERFICIAL challenge produces zero score delta. Only a DEFINITIVE challenge earns uncapped reduction. The system also monitors for template behaviour: uniform challenge ratings across heterogeneous signals are logged as a warning, reflecting the principle that independent analysis should produce variable outputs across variable inputs </w:t>
      </w:r>
      <w:r>
        <w:rPr>
          <w:color w:val="4A6FA5"/>
          <w:sz w:val="16"/>
          <w:szCs w:val="16"/>
          <w:vertAlign w:val="superscript"/>
        </w:rPr>
        <w:t>[19]</w:t>
      </w:r>
      <w:r>
        <w:rPr>
          <w:color w:val="111111"/>
        </w:rPr>
        <w:t>.</w:t>
      </w:r>
    </w:p>
    <w:p w:rsidR="008E6472" w:rsidRDefault="00000000">
      <w:pPr>
        <w:pStyle w:val="Heading2"/>
      </w:pPr>
      <w:r>
        <w:t>4.4  Stage 4 — Osiris: Historical Pattern Matching</w:t>
      </w:r>
    </w:p>
    <w:p w:rsidR="008E6472" w:rsidRDefault="00000000">
      <w:pPr>
        <w:spacing w:before="60" w:after="120"/>
        <w:jc w:val="both"/>
      </w:pPr>
      <w:r>
        <w:rPr>
          <w:color w:val="111111"/>
        </w:rPr>
        <w:t xml:space="preserve">Osiris is the memory layer. Named for the Egyptian deity of death, resurrection, and historical judgment, Osiris takes the aggregate DSSM dimensional fingerprint computed from Thoth's full scored output and uses it as the primary retrieval key for historical analogues. This is a deliberate architectural choice: the system retrieves by structural fingerprint, not topic similarity. A trade fragmentation signal with high MSS and high SRF scores should be matched to structurally similar historical crises, not merely to other trade disputes. This reflects the information-theoretic principle that structural similarity is a better predictor of dynamic equivalence than surface similarity </w:t>
      </w:r>
      <w:r>
        <w:rPr>
          <w:color w:val="4A6FA5"/>
          <w:sz w:val="16"/>
          <w:szCs w:val="16"/>
          <w:vertAlign w:val="superscript"/>
        </w:rPr>
        <w:t>[10][14]</w:t>
      </w:r>
      <w:r>
        <w:rPr>
          <w:color w:val="111111"/>
        </w:rPr>
        <w:t>.</w:t>
      </w:r>
    </w:p>
    <w:p w:rsidR="008E6472" w:rsidRDefault="008E6472"/>
    <w:p w:rsidR="0097399C" w:rsidRDefault="0097399C">
      <w:pPr>
        <w:spacing w:before="60" w:after="60"/>
        <w:jc w:val="center"/>
        <w:rPr>
          <w:b/>
          <w:bCs/>
          <w:i/>
          <w:iCs/>
          <w:color w:val="888888"/>
          <w:sz w:val="19"/>
          <w:szCs w:val="19"/>
        </w:rPr>
      </w:pPr>
    </w:p>
    <w:p w:rsidR="008E6472" w:rsidRDefault="00000000">
      <w:pPr>
        <w:spacing w:before="60" w:after="60"/>
        <w:jc w:val="center"/>
      </w:pPr>
      <w:r>
        <w:rPr>
          <w:b/>
          <w:bCs/>
          <w:i/>
          <w:iCs/>
          <w:color w:val="888888"/>
          <w:sz w:val="19"/>
          <w:szCs w:val="19"/>
        </w:rPr>
        <w:lastRenderedPageBreak/>
        <w:t>Table 5 — Osiris Trajectory Vocabulary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4760"/>
        <w:gridCol w:w="2200"/>
      </w:tblGrid>
      <w:tr w:rsidR="008E6472">
        <w:tc>
          <w:tcPr>
            <w:tcW w:w="2400" w:type="dxa"/>
            <w:tcBorders>
              <w:top w:val="single" w:sz="1" w:space="0" w:color="4A4A8A"/>
              <w:left w:val="single" w:sz="1" w:space="0" w:color="4A4A8A"/>
              <w:bottom w:val="single" w:sz="1" w:space="0" w:color="4A4A8A"/>
              <w:right w:val="single" w:sz="1" w:space="0" w:color="4A4A8A"/>
            </w:tcBorders>
            <w:shd w:val="clear" w:color="auto" w:fill="4A4A8A"/>
            <w:tcMar>
              <w:top w:w="80" w:type="dxa"/>
              <w:left w:w="140" w:type="dxa"/>
              <w:bottom w:w="80" w:type="dxa"/>
              <w:right w:w="140" w:type="dxa"/>
            </w:tcMar>
            <w:vAlign w:val="center"/>
          </w:tcPr>
          <w:p w:rsidR="008E6472" w:rsidRDefault="00000000">
            <w:pPr>
              <w:jc w:val="center"/>
            </w:pPr>
            <w:r>
              <w:rPr>
                <w:b/>
                <w:bCs/>
                <w:color w:val="FFFFFF"/>
              </w:rPr>
              <w:t>Trajectory</w:t>
            </w:r>
          </w:p>
        </w:tc>
        <w:tc>
          <w:tcPr>
            <w:tcW w:w="4760" w:type="dxa"/>
            <w:tcBorders>
              <w:top w:val="single" w:sz="1" w:space="0" w:color="4A4A8A"/>
              <w:left w:val="single" w:sz="1" w:space="0" w:color="4A4A8A"/>
              <w:bottom w:val="single" w:sz="1" w:space="0" w:color="4A4A8A"/>
              <w:right w:val="single" w:sz="1" w:space="0" w:color="4A4A8A"/>
            </w:tcBorders>
            <w:shd w:val="clear" w:color="auto" w:fill="4A4A8A"/>
            <w:tcMar>
              <w:top w:w="80" w:type="dxa"/>
              <w:left w:w="140" w:type="dxa"/>
              <w:bottom w:w="80" w:type="dxa"/>
              <w:right w:w="140" w:type="dxa"/>
            </w:tcMar>
            <w:vAlign w:val="center"/>
          </w:tcPr>
          <w:p w:rsidR="008E6472" w:rsidRDefault="00000000">
            <w:pPr>
              <w:jc w:val="center"/>
            </w:pPr>
            <w:r>
              <w:rPr>
                <w:b/>
                <w:bCs/>
                <w:color w:val="FFFFFF"/>
              </w:rPr>
              <w:t>Structural Meaning</w:t>
            </w:r>
          </w:p>
        </w:tc>
        <w:tc>
          <w:tcPr>
            <w:tcW w:w="2200" w:type="dxa"/>
            <w:tcBorders>
              <w:top w:val="single" w:sz="1" w:space="0" w:color="4A4A8A"/>
              <w:left w:val="single" w:sz="1" w:space="0" w:color="4A4A8A"/>
              <w:bottom w:val="single" w:sz="1" w:space="0" w:color="4A4A8A"/>
              <w:right w:val="single" w:sz="1" w:space="0" w:color="4A4A8A"/>
            </w:tcBorders>
            <w:shd w:val="clear" w:color="auto" w:fill="4A4A8A"/>
            <w:tcMar>
              <w:top w:w="80" w:type="dxa"/>
              <w:left w:w="140" w:type="dxa"/>
              <w:bottom w:w="80" w:type="dxa"/>
              <w:right w:w="140" w:type="dxa"/>
            </w:tcMar>
            <w:vAlign w:val="center"/>
          </w:tcPr>
          <w:p w:rsidR="008E6472" w:rsidRDefault="00000000">
            <w:pPr>
              <w:jc w:val="center"/>
            </w:pPr>
            <w:r>
              <w:rPr>
                <w:b/>
                <w:bCs/>
                <w:color w:val="FFFFFF"/>
              </w:rPr>
              <w:t>Typical Threat Level</w:t>
            </w:r>
          </w:p>
        </w:tc>
      </w:tr>
      <w:tr w:rsidR="008E6472">
        <w:tc>
          <w:tcPr>
            <w:tcW w:w="24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Escalation</w:t>
            </w:r>
          </w:p>
        </w:tc>
        <w:tc>
          <w:tcPr>
            <w:tcW w:w="47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Structural dynamics are intensifying; key indicators trending toward higher-severity outcomes</w:t>
            </w:r>
          </w:p>
        </w:tc>
        <w:tc>
          <w:tcPr>
            <w:tcW w:w="22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Elevated / Critical</w:t>
            </w:r>
          </w:p>
        </w:tc>
      </w:tr>
      <w:tr w:rsidR="008E6472">
        <w:tc>
          <w:tcPr>
            <w:tcW w:w="24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b/>
                <w:bCs/>
                <w:color w:val="111111"/>
                <w:sz w:val="18"/>
                <w:szCs w:val="18"/>
              </w:rPr>
              <w:t>De-escalation</w:t>
            </w:r>
          </w:p>
        </w:tc>
        <w:tc>
          <w:tcPr>
            <w:tcW w:w="47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Structural dynamics are resolving; key indicators trending toward reduced severity</w:t>
            </w:r>
          </w:p>
        </w:tc>
        <w:tc>
          <w:tcPr>
            <w:tcW w:w="22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Monitoring</w:t>
            </w:r>
          </w:p>
        </w:tc>
      </w:tr>
      <w:tr w:rsidR="008E6472">
        <w:tc>
          <w:tcPr>
            <w:tcW w:w="24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Stalemate</w:t>
            </w:r>
          </w:p>
        </w:tc>
        <w:tc>
          <w:tcPr>
            <w:tcW w:w="47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Dynamics are locked; no significant movement in either direction; actors in equilibrium of inaction</w:t>
            </w:r>
          </w:p>
        </w:tc>
        <w:tc>
          <w:tcPr>
            <w:tcW w:w="22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Elevated</w:t>
            </w:r>
          </w:p>
        </w:tc>
      </w:tr>
      <w:tr w:rsidR="008E6472">
        <w:tc>
          <w:tcPr>
            <w:tcW w:w="24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b/>
                <w:bCs/>
                <w:color w:val="111111"/>
                <w:sz w:val="18"/>
                <w:szCs w:val="18"/>
              </w:rPr>
              <w:t>Transformation</w:t>
            </w:r>
          </w:p>
        </w:tc>
        <w:tc>
          <w:tcPr>
            <w:tcW w:w="47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The nature of the conflict or system is shifting; a new structural form is emerging</w:t>
            </w:r>
          </w:p>
        </w:tc>
        <w:tc>
          <w:tcPr>
            <w:tcW w:w="22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Elevated / High</w:t>
            </w:r>
          </w:p>
        </w:tc>
      </w:tr>
      <w:tr w:rsidR="008E6472">
        <w:tc>
          <w:tcPr>
            <w:tcW w:w="24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Stable Fragmentation</w:t>
            </w:r>
          </w:p>
        </w:tc>
        <w:tc>
          <w:tcPr>
            <w:tcW w:w="47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Actors have deliberately chosen incompatible systems as stable equilibrium — structurally distinct from collapse</w:t>
            </w:r>
          </w:p>
        </w:tc>
        <w:tc>
          <w:tcPr>
            <w:tcW w:w="22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High (distinct character)</w:t>
            </w:r>
          </w:p>
        </w:tc>
      </w:tr>
    </w:tbl>
    <w:p w:rsidR="008E6472" w:rsidRDefault="008E6472"/>
    <w:p w:rsidR="008E6472" w:rsidRDefault="00000000">
      <w:pPr>
        <w:spacing w:before="60" w:after="120"/>
        <w:jc w:val="both"/>
      </w:pPr>
      <w:r>
        <w:rPr>
          <w:color w:val="111111"/>
        </w:rPr>
        <w:t xml:space="preserve">The inclusion of Stable Fragmentation as a distinct trajectory option is significant. It distinguishes situations in which actors have deliberately chosen incompatible systems as a stable equilibrium from situations in which systems are failing without replacement. These are structurally distinct conditions that Schelling's framework </w:t>
      </w:r>
      <w:r>
        <w:rPr>
          <w:color w:val="4A6FA5"/>
          <w:sz w:val="16"/>
          <w:szCs w:val="16"/>
          <w:vertAlign w:val="superscript"/>
        </w:rPr>
        <w:t>[17]</w:t>
      </w:r>
      <w:r>
        <w:rPr>
          <w:color w:val="111111"/>
        </w:rPr>
        <w:t xml:space="preserve"> treats as different strategic games, requiring different prescriptive responses. Osiris is governed by an analogue weighting rule: post-1945 analogues are treated as primary; pre-1945 analogues are flagged with explicit disclosure.</w:t>
      </w:r>
    </w:p>
    <w:p w:rsidR="008E6472" w:rsidRDefault="00000000">
      <w:pPr>
        <w:pStyle w:val="Heading2"/>
      </w:pPr>
      <w:r>
        <w:t>4.5  Stage 5 — Anubis: The Weigher</w:t>
      </w:r>
    </w:p>
    <w:p w:rsidR="008E6472" w:rsidRDefault="00000000">
      <w:pPr>
        <w:spacing w:before="60" w:after="120"/>
        <w:jc w:val="both"/>
      </w:pPr>
      <w:r>
        <w:rPr>
          <w:color w:val="111111"/>
        </w:rPr>
        <w:t>Anubis weighs all assembled evidence — signals, scores, challenges, and historical memory — and produces the pre-judgment dossier. Three outputs are mandatory: a threat level from a precisely defined four-point scale, a Strategic Fragmentation Index (SFI), and a Tripwire.</w:t>
      </w:r>
    </w:p>
    <w:p w:rsidR="008E6472" w:rsidRDefault="008E6472"/>
    <w:p w:rsidR="008E6472" w:rsidRDefault="00000000">
      <w:pPr>
        <w:spacing w:before="60" w:after="60"/>
        <w:jc w:val="center"/>
      </w:pPr>
      <w:r>
        <w:rPr>
          <w:b/>
          <w:bCs/>
          <w:i/>
          <w:iCs/>
          <w:color w:val="888888"/>
          <w:sz w:val="19"/>
          <w:szCs w:val="19"/>
        </w:rPr>
        <w:t>Table 6 — Anubis Threat Level Definitions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4560"/>
        <w:gridCol w:w="3000"/>
      </w:tblGrid>
      <w:tr w:rsidR="008E6472">
        <w:tc>
          <w:tcPr>
            <w:tcW w:w="18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8E6472" w:rsidRDefault="00000000">
            <w:pPr>
              <w:jc w:val="center"/>
            </w:pPr>
            <w:r>
              <w:rPr>
                <w:b/>
                <w:bCs/>
                <w:color w:val="FFFFFF"/>
              </w:rPr>
              <w:t>Threat Level</w:t>
            </w:r>
          </w:p>
        </w:tc>
        <w:tc>
          <w:tcPr>
            <w:tcW w:w="456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8E6472" w:rsidRDefault="00000000">
            <w:pPr>
              <w:jc w:val="center"/>
            </w:pPr>
            <w:r>
              <w:rPr>
                <w:b/>
                <w:bCs/>
                <w:color w:val="FFFFFF"/>
              </w:rPr>
              <w:t>Definition</w:t>
            </w:r>
          </w:p>
        </w:tc>
        <w:tc>
          <w:tcPr>
            <w:tcW w:w="30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8E6472" w:rsidRDefault="00000000">
            <w:pPr>
              <w:jc w:val="center"/>
            </w:pPr>
            <w:r>
              <w:rPr>
                <w:b/>
                <w:bCs/>
                <w:color w:val="FFFFFF"/>
              </w:rPr>
              <w:t>Required Response</w:t>
            </w:r>
          </w:p>
        </w:tc>
      </w:tr>
      <w:tr w:rsidR="008E6472">
        <w:tc>
          <w:tcPr>
            <w:tcW w:w="18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40" w:type="dxa"/>
              <w:bottom w:w="80" w:type="dxa"/>
              <w:right w:w="140" w:type="dxa"/>
            </w:tcMar>
            <w:vAlign w:val="center"/>
          </w:tcPr>
          <w:p w:rsidR="008E6472" w:rsidRDefault="00000000">
            <w:pPr>
              <w:jc w:val="center"/>
            </w:pPr>
            <w:r>
              <w:rPr>
                <w:b/>
                <w:bCs/>
                <w:color w:val="FFFFFF"/>
              </w:rPr>
              <w:t>CRITICAL</w:t>
            </w:r>
          </w:p>
        </w:tc>
        <w:tc>
          <w:tcPr>
            <w:tcW w:w="4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Containment mechanisms actively failing; escalation underway or imminent</w:t>
            </w:r>
          </w:p>
        </w:tc>
        <w:tc>
          <w:tcPr>
            <w:tcW w:w="30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Immediate intervention required</w:t>
            </w:r>
          </w:p>
        </w:tc>
      </w:tr>
      <w:tr w:rsidR="008E6472">
        <w:tc>
          <w:tcPr>
            <w:tcW w:w="1800" w:type="dxa"/>
            <w:tcBorders>
              <w:top w:val="single" w:sz="1" w:space="0" w:color="8B4513"/>
              <w:left w:val="single" w:sz="1" w:space="0" w:color="8B4513"/>
              <w:bottom w:val="single" w:sz="1" w:space="0" w:color="8B4513"/>
              <w:right w:val="single" w:sz="1" w:space="0" w:color="8B4513"/>
            </w:tcBorders>
            <w:shd w:val="clear" w:color="auto" w:fill="8B4513"/>
            <w:tcMar>
              <w:top w:w="80" w:type="dxa"/>
              <w:left w:w="140" w:type="dxa"/>
              <w:bottom w:w="80" w:type="dxa"/>
              <w:right w:w="140" w:type="dxa"/>
            </w:tcMar>
            <w:vAlign w:val="center"/>
          </w:tcPr>
          <w:p w:rsidR="008E6472" w:rsidRDefault="00000000">
            <w:pPr>
              <w:jc w:val="center"/>
            </w:pPr>
            <w:r>
              <w:rPr>
                <w:b/>
                <w:bCs/>
                <w:color w:val="FFFFFF"/>
              </w:rPr>
              <w:t>HIGH</w:t>
            </w:r>
          </w:p>
        </w:tc>
        <w:tc>
          <w:tcPr>
            <w:tcW w:w="4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Containment mechanisms straining; escalation the likely path without intervention</w:t>
            </w:r>
          </w:p>
        </w:tc>
        <w:tc>
          <w:tcPr>
            <w:tcW w:w="30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Active mitigation required</w:t>
            </w:r>
          </w:p>
        </w:tc>
      </w:tr>
      <w:tr w:rsidR="008E6472">
        <w:tc>
          <w:tcPr>
            <w:tcW w:w="1800" w:type="dxa"/>
            <w:tcBorders>
              <w:top w:val="single" w:sz="1" w:space="0" w:color="B8860B"/>
              <w:left w:val="single" w:sz="1" w:space="0" w:color="B8860B"/>
              <w:bottom w:val="single" w:sz="1" w:space="0" w:color="B8860B"/>
              <w:right w:val="single" w:sz="1" w:space="0" w:color="B8860B"/>
            </w:tcBorders>
            <w:shd w:val="clear" w:color="auto" w:fill="B8860B"/>
            <w:tcMar>
              <w:top w:w="80" w:type="dxa"/>
              <w:left w:w="140" w:type="dxa"/>
              <w:bottom w:w="80" w:type="dxa"/>
              <w:right w:w="140" w:type="dxa"/>
            </w:tcMar>
            <w:vAlign w:val="center"/>
          </w:tcPr>
          <w:p w:rsidR="008E6472" w:rsidRDefault="00000000">
            <w:pPr>
              <w:jc w:val="center"/>
            </w:pPr>
            <w:r>
              <w:rPr>
                <w:b/>
                <w:bCs/>
                <w:color w:val="FFFFFF"/>
              </w:rPr>
              <w:t>ELEVATED</w:t>
            </w:r>
          </w:p>
        </w:tc>
        <w:tc>
          <w:tcPr>
            <w:tcW w:w="4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Stress indicators present; escalation possible but not most probable path</w:t>
            </w:r>
          </w:p>
        </w:tc>
        <w:tc>
          <w:tcPr>
            <w:tcW w:w="30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Enhanced monitoring required</w:t>
            </w:r>
          </w:p>
        </w:tc>
      </w:tr>
      <w:tr w:rsidR="008E6472">
        <w:tc>
          <w:tcPr>
            <w:tcW w:w="1800" w:type="dxa"/>
            <w:tcBorders>
              <w:top w:val="single" w:sz="1" w:space="0" w:color="2E6B3E"/>
              <w:left w:val="single" w:sz="1" w:space="0" w:color="2E6B3E"/>
              <w:bottom w:val="single" w:sz="1" w:space="0" w:color="2E6B3E"/>
              <w:right w:val="single" w:sz="1" w:space="0" w:color="2E6B3E"/>
            </w:tcBorders>
            <w:shd w:val="clear" w:color="auto" w:fill="2E6B3E"/>
            <w:tcMar>
              <w:top w:w="80" w:type="dxa"/>
              <w:left w:w="140" w:type="dxa"/>
              <w:bottom w:w="80" w:type="dxa"/>
              <w:right w:w="140" w:type="dxa"/>
            </w:tcMar>
            <w:vAlign w:val="center"/>
          </w:tcPr>
          <w:p w:rsidR="008E6472" w:rsidRDefault="00000000">
            <w:pPr>
              <w:jc w:val="center"/>
            </w:pPr>
            <w:r>
              <w:rPr>
                <w:b/>
                <w:bCs/>
                <w:color w:val="FFFFFF"/>
              </w:rPr>
              <w:t>MONITORING</w:t>
            </w:r>
          </w:p>
        </w:tc>
        <w:tc>
          <w:tcPr>
            <w:tcW w:w="4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No acute escalation signal detected; situation within normal systemic variance</w:t>
            </w:r>
          </w:p>
        </w:tc>
        <w:tc>
          <w:tcPr>
            <w:tcW w:w="30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Routine observation</w:t>
            </w:r>
          </w:p>
        </w:tc>
      </w:tr>
    </w:tbl>
    <w:p w:rsidR="008E6472" w:rsidRDefault="008E6472"/>
    <w:p w:rsidR="008E6472" w:rsidRDefault="00000000">
      <w:pPr>
        <w:spacing w:before="60" w:after="120"/>
        <w:jc w:val="both"/>
      </w:pPr>
      <w:r>
        <w:rPr>
          <w:color w:val="111111"/>
        </w:rPr>
        <w:t xml:space="preserve">The requirement that Anubis provide a one-sentence rationale explaining why the assessed threat level was chosen over the adjacent levels directly operationalizes Tetlock's finding that structured probability elicitation with explicit justification significantly improves calibration relative to unconstrained expert judgment </w:t>
      </w:r>
      <w:r>
        <w:rPr>
          <w:color w:val="4A6FA5"/>
          <w:sz w:val="16"/>
          <w:szCs w:val="16"/>
          <w:vertAlign w:val="superscript"/>
        </w:rPr>
        <w:t>[18][19]</w:t>
      </w:r>
      <w:r>
        <w:rPr>
          <w:color w:val="111111"/>
        </w:rPr>
        <w:t xml:space="preserve">. The Tripwire mechanism — an action deadline rather than a monitoring note — reflects the operational intelligence literature's distinction between intelligence products and decision support </w:t>
      </w:r>
      <w:r>
        <w:rPr>
          <w:color w:val="4A6FA5"/>
          <w:sz w:val="16"/>
          <w:szCs w:val="16"/>
          <w:vertAlign w:val="superscript"/>
        </w:rPr>
        <w:t>[6]</w:t>
      </w:r>
      <w:r>
        <w:rPr>
          <w:color w:val="111111"/>
        </w:rPr>
        <w:t>.</w:t>
      </w:r>
    </w:p>
    <w:p w:rsidR="0097399C" w:rsidRDefault="0097399C">
      <w:pPr>
        <w:pStyle w:val="Heading2"/>
      </w:pPr>
    </w:p>
    <w:p w:rsidR="008E6472" w:rsidRDefault="00000000">
      <w:pPr>
        <w:pStyle w:val="Heading2"/>
      </w:pPr>
      <w:r>
        <w:lastRenderedPageBreak/>
        <w:t>4.6  The Horus Gate</w:t>
      </w:r>
    </w:p>
    <w:p w:rsidR="008E6472" w:rsidRDefault="00000000">
      <w:pPr>
        <w:spacing w:before="60" w:after="120"/>
        <w:jc w:val="both"/>
      </w:pPr>
      <w:r>
        <w:rPr>
          <w:color w:val="111111"/>
        </w:rPr>
        <w:t>Before Stage 6 is initiated, the pipeline pauses. The session enters an awaiting_horus state. Horus — in Egyptian mythology the son of Osiris and Isis, and the rightful heir who adjudicates the council — represents the human operator in NETJERU. No judgment is rendered without explicit human approval. The Horus Gate is enforced in code: the judgment stage cannot execute without a deliberate human action.</w:t>
      </w:r>
    </w:p>
    <w:p w:rsidR="008E6472" w:rsidRDefault="00000000">
      <w:pPr>
        <w:spacing w:before="60" w:after="120"/>
        <w:jc w:val="both"/>
      </w:pPr>
      <w:r>
        <w:rPr>
          <w:color w:val="111111"/>
        </w:rPr>
        <w:t xml:space="preserve">This gate reflects Weizenbaum's foundational argument  that certain categories of decision should require human judgment not because human judgment is superior to computational judgment in all cases, but because the act of human authorization assigns accountability and creates a deliberate review point. Russell's formulation of human-compatible AI </w:t>
      </w:r>
      <w:r>
        <w:rPr>
          <w:color w:val="4A6FA5"/>
          <w:sz w:val="16"/>
          <w:szCs w:val="16"/>
          <w:vertAlign w:val="superscript"/>
        </w:rPr>
        <w:t>[16]</w:t>
      </w:r>
      <w:r>
        <w:rPr>
          <w:color w:val="111111"/>
        </w:rPr>
        <w:t xml:space="preserve"> provides additional grounding: the gate operationalizes the principle that AI systems operating in high-stakes domains should preserve human oversight rather than route around it. The gate also creates a natural review point at which the operator can query individual agents and probe the pipeline's reasoning before committing to a judgment.</w:t>
      </w:r>
    </w:p>
    <w:p w:rsidR="008E6472" w:rsidRDefault="00000000">
      <w:pPr>
        <w:pStyle w:val="Heading2"/>
      </w:pPr>
      <w:r>
        <w:t>4.7  Stage 6 — Ra: The Judge</w:t>
      </w:r>
    </w:p>
    <w:p w:rsidR="008E6472" w:rsidRDefault="00000000">
      <w:pPr>
        <w:spacing w:before="60" w:after="120"/>
        <w:jc w:val="both"/>
      </w:pPr>
      <w:r>
        <w:rPr>
          <w:color w:val="111111"/>
        </w:rPr>
        <w:t>Once Horus approves, Ra convenes. Named for the supreme solar deity of the Egyptian pantheon, Ra receives the judgment prompt assembled by Anubis and renders the final structured judgment across eight mandatory output sections.</w:t>
      </w:r>
    </w:p>
    <w:p w:rsidR="008E6472" w:rsidRDefault="008E6472"/>
    <w:p w:rsidR="008E6472" w:rsidRDefault="00000000">
      <w:pPr>
        <w:spacing w:before="60" w:after="60"/>
        <w:jc w:val="center"/>
      </w:pPr>
      <w:r>
        <w:rPr>
          <w:b/>
          <w:bCs/>
          <w:i/>
          <w:iCs/>
          <w:color w:val="888888"/>
          <w:sz w:val="19"/>
          <w:szCs w:val="19"/>
        </w:rPr>
        <w:t>Table 7 — Ra Output Structure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4360"/>
        <w:gridCol w:w="2400"/>
      </w:tblGrid>
      <w:tr w:rsidR="008E6472">
        <w:tc>
          <w:tcPr>
            <w:tcW w:w="2600" w:type="dxa"/>
            <w:tcBorders>
              <w:top w:val="single" w:sz="1" w:space="0" w:color="8B4513"/>
              <w:left w:val="single" w:sz="1" w:space="0" w:color="8B4513"/>
              <w:bottom w:val="single" w:sz="1" w:space="0" w:color="8B4513"/>
              <w:right w:val="single" w:sz="1" w:space="0" w:color="8B4513"/>
            </w:tcBorders>
            <w:shd w:val="clear" w:color="auto" w:fill="8B4513"/>
            <w:tcMar>
              <w:top w:w="80" w:type="dxa"/>
              <w:left w:w="140" w:type="dxa"/>
              <w:bottom w:w="80" w:type="dxa"/>
              <w:right w:w="140" w:type="dxa"/>
            </w:tcMar>
            <w:vAlign w:val="center"/>
          </w:tcPr>
          <w:p w:rsidR="008E6472" w:rsidRDefault="00000000">
            <w:pPr>
              <w:jc w:val="center"/>
            </w:pPr>
            <w:r>
              <w:rPr>
                <w:b/>
                <w:bCs/>
                <w:color w:val="FFFFFF"/>
              </w:rPr>
              <w:t>Output Section</w:t>
            </w:r>
          </w:p>
        </w:tc>
        <w:tc>
          <w:tcPr>
            <w:tcW w:w="4360" w:type="dxa"/>
            <w:tcBorders>
              <w:top w:val="single" w:sz="1" w:space="0" w:color="8B4513"/>
              <w:left w:val="single" w:sz="1" w:space="0" w:color="8B4513"/>
              <w:bottom w:val="single" w:sz="1" w:space="0" w:color="8B4513"/>
              <w:right w:val="single" w:sz="1" w:space="0" w:color="8B4513"/>
            </w:tcBorders>
            <w:shd w:val="clear" w:color="auto" w:fill="8B4513"/>
            <w:tcMar>
              <w:top w:w="80" w:type="dxa"/>
              <w:left w:w="140" w:type="dxa"/>
              <w:bottom w:w="80" w:type="dxa"/>
              <w:right w:w="140" w:type="dxa"/>
            </w:tcMar>
            <w:vAlign w:val="center"/>
          </w:tcPr>
          <w:p w:rsidR="008E6472" w:rsidRDefault="00000000">
            <w:pPr>
              <w:jc w:val="center"/>
            </w:pPr>
            <w:r>
              <w:rPr>
                <w:b/>
                <w:bCs/>
                <w:color w:val="FFFFFF"/>
              </w:rPr>
              <w:t>Content</w:t>
            </w:r>
          </w:p>
        </w:tc>
        <w:tc>
          <w:tcPr>
            <w:tcW w:w="2400" w:type="dxa"/>
            <w:tcBorders>
              <w:top w:val="single" w:sz="1" w:space="0" w:color="8B4513"/>
              <w:left w:val="single" w:sz="1" w:space="0" w:color="8B4513"/>
              <w:bottom w:val="single" w:sz="1" w:space="0" w:color="8B4513"/>
              <w:right w:val="single" w:sz="1" w:space="0" w:color="8B4513"/>
            </w:tcBorders>
            <w:shd w:val="clear" w:color="auto" w:fill="8B4513"/>
            <w:tcMar>
              <w:top w:w="80" w:type="dxa"/>
              <w:left w:w="140" w:type="dxa"/>
              <w:bottom w:w="80" w:type="dxa"/>
              <w:right w:w="140" w:type="dxa"/>
            </w:tcMar>
            <w:vAlign w:val="center"/>
          </w:tcPr>
          <w:p w:rsidR="008E6472" w:rsidRDefault="00000000">
            <w:pPr>
              <w:jc w:val="center"/>
            </w:pPr>
            <w:r>
              <w:rPr>
                <w:b/>
                <w:bCs/>
                <w:color w:val="FFFFFF"/>
              </w:rPr>
              <w:t>Constraint</w:t>
            </w:r>
          </w:p>
        </w:tc>
      </w:tr>
      <w:tr w:rsidR="008E6472">
        <w:tc>
          <w:tcPr>
            <w:tcW w:w="26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Plain-English Summary</w:t>
            </w:r>
          </w:p>
        </w:tc>
        <w:tc>
          <w:tcPr>
            <w:tcW w:w="4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Accessible overview of the assessed situation for non-specialist readers</w:t>
            </w:r>
          </w:p>
        </w:tc>
        <w:tc>
          <w:tcPr>
            <w:tcW w:w="2400" w:type="dxa"/>
            <w:tcBorders>
              <w:top w:val="single" w:sz="1" w:space="0" w:color="CCCCCC"/>
              <w:left w:val="single" w:sz="1" w:space="0" w:color="CCCCCC"/>
              <w:bottom w:val="single" w:sz="1" w:space="0" w:color="CCCCCC"/>
              <w:right w:val="single" w:sz="1" w:space="0" w:color="CCCCCC"/>
            </w:tcBorders>
            <w:shd w:val="clear" w:color="auto" w:fill="FFF8DC"/>
            <w:tcMar>
              <w:top w:w="80" w:type="dxa"/>
              <w:left w:w="140" w:type="dxa"/>
              <w:bottom w:w="80" w:type="dxa"/>
              <w:right w:w="140" w:type="dxa"/>
            </w:tcMar>
            <w:vAlign w:val="center"/>
          </w:tcPr>
          <w:p w:rsidR="008E6472" w:rsidRDefault="00000000">
            <w:r>
              <w:rPr>
                <w:color w:val="8B4513"/>
                <w:sz w:val="17"/>
                <w:szCs w:val="17"/>
              </w:rPr>
              <w:t>Always present</w:t>
            </w:r>
          </w:p>
        </w:tc>
      </w:tr>
      <w:tr w:rsidR="008E6472">
        <w:tc>
          <w:tcPr>
            <w:tcW w:w="26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b/>
                <w:bCs/>
                <w:color w:val="111111"/>
                <w:sz w:val="18"/>
                <w:szCs w:val="18"/>
              </w:rPr>
              <w:t>Situation Assessment</w:t>
            </w:r>
          </w:p>
        </w:tc>
        <w:tc>
          <w:tcPr>
            <w:tcW w:w="4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DSSM-grounded characterisation of current systemic state across four dimensions</w:t>
            </w:r>
          </w:p>
        </w:tc>
        <w:tc>
          <w:tcPr>
            <w:tcW w:w="2400" w:type="dxa"/>
            <w:tcBorders>
              <w:top w:val="single" w:sz="1" w:space="0" w:color="CCCCCC"/>
              <w:left w:val="single" w:sz="1" w:space="0" w:color="CCCCCC"/>
              <w:bottom w:val="single" w:sz="1" w:space="0" w:color="CCCCCC"/>
              <w:right w:val="single" w:sz="1" w:space="0" w:color="CCCCCC"/>
            </w:tcBorders>
            <w:shd w:val="clear" w:color="auto" w:fill="FFF8DC"/>
            <w:tcMar>
              <w:top w:w="80" w:type="dxa"/>
              <w:left w:w="140" w:type="dxa"/>
              <w:bottom w:w="80" w:type="dxa"/>
              <w:right w:w="140" w:type="dxa"/>
            </w:tcMar>
            <w:vAlign w:val="center"/>
          </w:tcPr>
          <w:p w:rsidR="008E6472" w:rsidRDefault="00000000">
            <w:r>
              <w:rPr>
                <w:color w:val="8B4513"/>
                <w:sz w:val="17"/>
                <w:szCs w:val="17"/>
              </w:rPr>
              <w:t>Always present</w:t>
            </w:r>
          </w:p>
        </w:tc>
      </w:tr>
      <w:tr w:rsidR="008E6472">
        <w:tc>
          <w:tcPr>
            <w:tcW w:w="26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Primary Risks</w:t>
            </w:r>
          </w:p>
        </w:tc>
        <w:tc>
          <w:tcPr>
            <w:tcW w:w="4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Risk inventory — AI mis-attribution listed first as mandatory standalone risk</w:t>
            </w:r>
          </w:p>
        </w:tc>
        <w:tc>
          <w:tcPr>
            <w:tcW w:w="2400" w:type="dxa"/>
            <w:tcBorders>
              <w:top w:val="single" w:sz="1" w:space="0" w:color="CCCCCC"/>
              <w:left w:val="single" w:sz="1" w:space="0" w:color="CCCCCC"/>
              <w:bottom w:val="single" w:sz="1" w:space="0" w:color="CCCCCC"/>
              <w:right w:val="single" w:sz="1" w:space="0" w:color="CCCCCC"/>
            </w:tcBorders>
            <w:shd w:val="clear" w:color="auto" w:fill="FFF8DC"/>
            <w:tcMar>
              <w:top w:w="80" w:type="dxa"/>
              <w:left w:w="140" w:type="dxa"/>
              <w:bottom w:w="80" w:type="dxa"/>
              <w:right w:w="140" w:type="dxa"/>
            </w:tcMar>
            <w:vAlign w:val="center"/>
          </w:tcPr>
          <w:p w:rsidR="008E6472" w:rsidRDefault="00000000">
            <w:r>
              <w:rPr>
                <w:color w:val="8B4513"/>
                <w:sz w:val="17"/>
                <w:szCs w:val="17"/>
              </w:rPr>
              <w:t>AI mis-attribution: mandatory first</w:t>
            </w:r>
          </w:p>
        </w:tc>
      </w:tr>
      <w:tr w:rsidR="008E6472">
        <w:tc>
          <w:tcPr>
            <w:tcW w:w="26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b/>
                <w:bCs/>
                <w:color w:val="111111"/>
                <w:sz w:val="18"/>
                <w:szCs w:val="18"/>
              </w:rPr>
              <w:t>Set Challenge Review</w:t>
            </w:r>
          </w:p>
        </w:tc>
        <w:tc>
          <w:tcPr>
            <w:tcW w:w="4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Explicit concession or disagreement with each of Set's adversarial challenges</w:t>
            </w:r>
          </w:p>
        </w:tc>
        <w:tc>
          <w:tcPr>
            <w:tcW w:w="2400" w:type="dxa"/>
            <w:tcBorders>
              <w:top w:val="single" w:sz="1" w:space="0" w:color="CCCCCC"/>
              <w:left w:val="single" w:sz="1" w:space="0" w:color="CCCCCC"/>
              <w:bottom w:val="single" w:sz="1" w:space="0" w:color="CCCCCC"/>
              <w:right w:val="single" w:sz="1" w:space="0" w:color="CCCCCC"/>
            </w:tcBorders>
            <w:shd w:val="clear" w:color="auto" w:fill="FFF8DC"/>
            <w:tcMar>
              <w:top w:w="80" w:type="dxa"/>
              <w:left w:w="140" w:type="dxa"/>
              <w:bottom w:w="80" w:type="dxa"/>
              <w:right w:w="140" w:type="dxa"/>
            </w:tcMar>
            <w:vAlign w:val="center"/>
          </w:tcPr>
          <w:p w:rsidR="008E6472" w:rsidRDefault="00000000">
            <w:r>
              <w:rPr>
                <w:color w:val="8B4513"/>
                <w:sz w:val="17"/>
                <w:szCs w:val="17"/>
              </w:rPr>
              <w:t>No challenge may be ignored</w:t>
            </w:r>
          </w:p>
        </w:tc>
      </w:tr>
      <w:tr w:rsidR="008E6472">
        <w:tc>
          <w:tcPr>
            <w:tcW w:w="26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Historical Parallel</w:t>
            </w:r>
          </w:p>
        </w:tc>
        <w:tc>
          <w:tcPr>
            <w:tcW w:w="4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Osiris analogue commentary with pattern-weight and trajectory context</w:t>
            </w:r>
          </w:p>
        </w:tc>
        <w:tc>
          <w:tcPr>
            <w:tcW w:w="2400" w:type="dxa"/>
            <w:tcBorders>
              <w:top w:val="single" w:sz="1" w:space="0" w:color="CCCCCC"/>
              <w:left w:val="single" w:sz="1" w:space="0" w:color="CCCCCC"/>
              <w:bottom w:val="single" w:sz="1" w:space="0" w:color="CCCCCC"/>
              <w:right w:val="single" w:sz="1" w:space="0" w:color="CCCCCC"/>
            </w:tcBorders>
            <w:shd w:val="clear" w:color="auto" w:fill="FFF8DC"/>
            <w:tcMar>
              <w:top w:w="80" w:type="dxa"/>
              <w:left w:w="140" w:type="dxa"/>
              <w:bottom w:w="80" w:type="dxa"/>
              <w:right w:w="140" w:type="dxa"/>
            </w:tcMar>
            <w:vAlign w:val="center"/>
          </w:tcPr>
          <w:p w:rsidR="008E6472" w:rsidRDefault="00000000">
            <w:r>
              <w:rPr>
                <w:color w:val="8B4513"/>
                <w:sz w:val="17"/>
                <w:szCs w:val="17"/>
              </w:rPr>
              <w:t>Must reference specific analogues</w:t>
            </w:r>
          </w:p>
        </w:tc>
      </w:tr>
      <w:tr w:rsidR="008E6472">
        <w:tc>
          <w:tcPr>
            <w:tcW w:w="26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b/>
                <w:bCs/>
                <w:color w:val="111111"/>
                <w:sz w:val="18"/>
                <w:szCs w:val="18"/>
              </w:rPr>
              <w:t>Tripwire Restatement</w:t>
            </w:r>
          </w:p>
        </w:tc>
        <w:tc>
          <w:tcPr>
            <w:tcW w:w="4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Restate and extend Anubis tripwire; update deadline window and escalation probability</w:t>
            </w:r>
          </w:p>
        </w:tc>
        <w:tc>
          <w:tcPr>
            <w:tcW w:w="2400" w:type="dxa"/>
            <w:tcBorders>
              <w:top w:val="single" w:sz="1" w:space="0" w:color="CCCCCC"/>
              <w:left w:val="single" w:sz="1" w:space="0" w:color="CCCCCC"/>
              <w:bottom w:val="single" w:sz="1" w:space="0" w:color="CCCCCC"/>
              <w:right w:val="single" w:sz="1" w:space="0" w:color="CCCCCC"/>
            </w:tcBorders>
            <w:shd w:val="clear" w:color="auto" w:fill="FFF8DC"/>
            <w:tcMar>
              <w:top w:w="80" w:type="dxa"/>
              <w:left w:w="140" w:type="dxa"/>
              <w:bottom w:w="80" w:type="dxa"/>
              <w:right w:w="140" w:type="dxa"/>
            </w:tcMar>
            <w:vAlign w:val="center"/>
          </w:tcPr>
          <w:p w:rsidR="008E6472" w:rsidRDefault="00000000">
            <w:r>
              <w:rPr>
                <w:color w:val="8B4513"/>
                <w:sz w:val="17"/>
                <w:szCs w:val="17"/>
              </w:rPr>
              <w:t>Deadline in hours; probability required</w:t>
            </w:r>
          </w:p>
        </w:tc>
      </w:tr>
      <w:tr w:rsidR="008E6472">
        <w:tc>
          <w:tcPr>
            <w:tcW w:w="26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Recommended Responses</w:t>
            </w:r>
          </w:p>
        </w:tc>
        <w:tc>
          <w:tcPr>
            <w:tcW w:w="4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Actor-specific recommendations, each with incentive analysis — why the actor would agree</w:t>
            </w:r>
          </w:p>
        </w:tc>
        <w:tc>
          <w:tcPr>
            <w:tcW w:w="2400" w:type="dxa"/>
            <w:tcBorders>
              <w:top w:val="single" w:sz="1" w:space="0" w:color="CCCCCC"/>
              <w:left w:val="single" w:sz="1" w:space="0" w:color="CCCCCC"/>
              <w:bottom w:val="single" w:sz="1" w:space="0" w:color="CCCCCC"/>
              <w:right w:val="single" w:sz="1" w:space="0" w:color="CCCCCC"/>
            </w:tcBorders>
            <w:shd w:val="clear" w:color="auto" w:fill="FFF8DC"/>
            <w:tcMar>
              <w:top w:w="80" w:type="dxa"/>
              <w:left w:w="140" w:type="dxa"/>
              <w:bottom w:w="80" w:type="dxa"/>
              <w:right w:w="140" w:type="dxa"/>
            </w:tcMar>
            <w:vAlign w:val="center"/>
          </w:tcPr>
          <w:p w:rsidR="008E6472" w:rsidRDefault="00000000">
            <w:r>
              <w:rPr>
                <w:color w:val="8B4513"/>
                <w:sz w:val="17"/>
                <w:szCs w:val="17"/>
              </w:rPr>
              <w:t>Discard if no incentive identified</w:t>
            </w:r>
          </w:p>
        </w:tc>
      </w:tr>
      <w:tr w:rsidR="008E6472">
        <w:tc>
          <w:tcPr>
            <w:tcW w:w="26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b/>
                <w:bCs/>
                <w:color w:val="111111"/>
                <w:sz w:val="18"/>
                <w:szCs w:val="18"/>
              </w:rPr>
              <w:t>Falsifiability Check</w:t>
            </w:r>
          </w:p>
        </w:tc>
        <w:tc>
          <w:tcPr>
            <w:tcW w:w="4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2–3 specific observable conditions that, if present, would require the judgment reversed</w:t>
            </w:r>
          </w:p>
        </w:tc>
        <w:tc>
          <w:tcPr>
            <w:tcW w:w="2400" w:type="dxa"/>
            <w:tcBorders>
              <w:top w:val="single" w:sz="1" w:space="0" w:color="CCCCCC"/>
              <w:left w:val="single" w:sz="1" w:space="0" w:color="CCCCCC"/>
              <w:bottom w:val="single" w:sz="1" w:space="0" w:color="CCCCCC"/>
              <w:right w:val="single" w:sz="1" w:space="0" w:color="CCCCCC"/>
            </w:tcBorders>
            <w:shd w:val="clear" w:color="auto" w:fill="FFF8DC"/>
            <w:tcMar>
              <w:top w:w="80" w:type="dxa"/>
              <w:left w:w="140" w:type="dxa"/>
              <w:bottom w:w="80" w:type="dxa"/>
              <w:right w:w="140" w:type="dxa"/>
            </w:tcMar>
            <w:vAlign w:val="center"/>
          </w:tcPr>
          <w:p w:rsidR="008E6472" w:rsidRDefault="00000000">
            <w:r>
              <w:rPr>
                <w:color w:val="8B4513"/>
                <w:sz w:val="17"/>
                <w:szCs w:val="17"/>
              </w:rPr>
              <w:t>Mandatory — no exceptions</w:t>
            </w:r>
          </w:p>
        </w:tc>
      </w:tr>
    </w:tbl>
    <w:p w:rsidR="008E6472" w:rsidRDefault="008E6472"/>
    <w:p w:rsidR="008E6472" w:rsidRDefault="00000000">
      <w:pPr>
        <w:spacing w:before="60" w:after="120"/>
        <w:jc w:val="both"/>
      </w:pPr>
      <w:r>
        <w:rPr>
          <w:color w:val="111111"/>
        </w:rPr>
        <w:t xml:space="preserve">The falsifiability check is a required component, grounded in Popper's criterion for scientific claims </w:t>
      </w:r>
      <w:r>
        <w:rPr>
          <w:color w:val="4A6FA5"/>
          <w:sz w:val="16"/>
          <w:szCs w:val="16"/>
          <w:vertAlign w:val="superscript"/>
        </w:rPr>
        <w:t>[15]</w:t>
      </w:r>
      <w:r>
        <w:rPr>
          <w:color w:val="111111"/>
        </w:rPr>
        <w:t xml:space="preserve">: a conclusion that cannot specify the conditions under which it would be wrong is not an analytical conclusion. The actor incentive requirement reflects a realist constraint on prescriptive output: recommendations for which no plausible incentive structure can be identified are analytically coherent but operationally inert, and should be discarded rather than presented as viable options. This draws on Schelling's analysis </w:t>
      </w:r>
      <w:r>
        <w:rPr>
          <w:color w:val="4A6FA5"/>
          <w:sz w:val="16"/>
          <w:szCs w:val="16"/>
          <w:vertAlign w:val="superscript"/>
        </w:rPr>
        <w:t>[17]</w:t>
      </w:r>
      <w:r>
        <w:rPr>
          <w:color w:val="111111"/>
        </w:rPr>
        <w:t xml:space="preserve"> of the conditions under which strategic actors accept outcomes that constrain their own options.</w:t>
      </w:r>
    </w:p>
    <w:p w:rsidR="0097399C" w:rsidRDefault="0097399C">
      <w:pPr>
        <w:pStyle w:val="Heading1"/>
      </w:pPr>
    </w:p>
    <w:p w:rsidR="008E6472" w:rsidRDefault="00000000">
      <w:pPr>
        <w:pStyle w:val="Heading1"/>
      </w:pPr>
      <w:r>
        <w:lastRenderedPageBreak/>
        <w:t>5. Design Philosophy</w:t>
      </w:r>
    </w:p>
    <w:p w:rsidR="008E6472" w:rsidRDefault="008E6472">
      <w:pPr>
        <w:pBdr>
          <w:bottom w:val="single" w:sz="8" w:space="1" w:color="4A6FA5"/>
        </w:pBdr>
      </w:pPr>
    </w:p>
    <w:p w:rsidR="008E6472" w:rsidRDefault="008E6472"/>
    <w:p w:rsidR="008E6472" w:rsidRDefault="00000000">
      <w:pPr>
        <w:spacing w:before="60" w:after="120"/>
        <w:jc w:val="both"/>
      </w:pPr>
      <w:r>
        <w:rPr>
          <w:color w:val="111111"/>
        </w:rPr>
        <w:t xml:space="preserve">Seven design principles permeate NETJERU's architecture and reflect the epistemic requirements of consequential analytical domains </w:t>
      </w:r>
      <w:r>
        <w:rPr>
          <w:color w:val="4A6FA5"/>
          <w:sz w:val="16"/>
          <w:szCs w:val="16"/>
          <w:vertAlign w:val="superscript"/>
        </w:rPr>
        <w:t>[20]</w:t>
      </w:r>
      <w:r>
        <w:rPr>
          <w:color w:val="111111"/>
        </w:rPr>
        <w:t>.</w:t>
      </w:r>
    </w:p>
    <w:p w:rsidR="008E6472" w:rsidRDefault="008E6472"/>
    <w:p w:rsidR="008E6472" w:rsidRDefault="00000000">
      <w:pPr>
        <w:spacing w:before="60" w:after="60"/>
        <w:jc w:val="center"/>
      </w:pPr>
      <w:r>
        <w:rPr>
          <w:b/>
          <w:bCs/>
          <w:i/>
          <w:iCs/>
          <w:color w:val="888888"/>
          <w:sz w:val="19"/>
          <w:szCs w:val="19"/>
        </w:rPr>
        <w:t>Table 8 — Design Principles and Rationale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8E6472">
        <w:tc>
          <w:tcPr>
            <w:tcW w:w="28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8E6472" w:rsidRDefault="00000000">
            <w:pPr>
              <w:jc w:val="center"/>
            </w:pPr>
            <w:r>
              <w:rPr>
                <w:b/>
                <w:bCs/>
                <w:color w:val="FFFFFF"/>
              </w:rPr>
              <w:t>Design Principle</w:t>
            </w:r>
          </w:p>
        </w:tc>
        <w:tc>
          <w:tcPr>
            <w:tcW w:w="656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8E6472" w:rsidRDefault="00000000">
            <w:pPr>
              <w:jc w:val="center"/>
            </w:pPr>
            <w:r>
              <w:rPr>
                <w:b/>
                <w:bCs/>
                <w:color w:val="FFFFFF"/>
              </w:rPr>
              <w:t>Rationale</w:t>
            </w:r>
          </w:p>
        </w:tc>
      </w:tr>
      <w:tr w:rsidR="008E6472">
        <w:tc>
          <w:tcPr>
            <w:tcW w:w="2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Epistemic Function Separation</w:t>
            </w:r>
          </w:p>
        </w:tc>
        <w:tc>
          <w:tcPr>
            <w:tcW w:w="6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Each agent performs exactly one analytical role. No agent spans multiple functions. This limits compound errors and makes each stage independently inspectable.</w:t>
            </w:r>
          </w:p>
        </w:tc>
      </w:tr>
      <w:tr w:rsidR="008E6472">
        <w:tc>
          <w:tcPr>
            <w:tcW w:w="2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b/>
                <w:bCs/>
                <w:color w:val="111111"/>
                <w:sz w:val="18"/>
                <w:szCs w:val="18"/>
              </w:rPr>
              <w:t>Code-Level Enforcement</w:t>
            </w:r>
          </w:p>
        </w:tc>
        <w:tc>
          <w:tcPr>
            <w:tcW w:w="6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Critical constraints — rhetorical bias correction, Set's challenge caps, Horus gate — are enforced in non-AI code. Prompt compliance is unreliable; code enforcement cannot be overridden by the model.</w:t>
            </w:r>
          </w:p>
        </w:tc>
      </w:tr>
      <w:tr w:rsidR="008E6472">
        <w:tc>
          <w:tcPr>
            <w:tcW w:w="2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Named Failure Mode Enumeration</w:t>
            </w:r>
          </w:p>
        </w:tc>
        <w:tc>
          <w:tcPr>
            <w:tcW w:w="6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The system does not treat AI failure generically. Thoth's flags and Set's attack categories name specific, domain-relevant failure modes. Generic warnings produce generic defences.</w:t>
            </w:r>
          </w:p>
        </w:tc>
      </w:tr>
      <w:tr w:rsidR="008E6472">
        <w:tc>
          <w:tcPr>
            <w:tcW w:w="2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b/>
                <w:bCs/>
                <w:color w:val="111111"/>
                <w:sz w:val="18"/>
                <w:szCs w:val="18"/>
              </w:rPr>
              <w:t>Falsifiability as Requirement</w:t>
            </w:r>
          </w:p>
        </w:tc>
        <w:tc>
          <w:tcPr>
            <w:tcW w:w="6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Ra must state 2–3 observable conditions that would require the judgment to be reversed. A conclusion without falsification conditions is a rhetoric engine, not an analytical system.</w:t>
            </w:r>
          </w:p>
        </w:tc>
      </w:tr>
      <w:tr w:rsidR="008E6472">
        <w:tc>
          <w:tcPr>
            <w:tcW w:w="2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Template Detection</w:t>
            </w:r>
          </w:p>
        </w:tc>
        <w:tc>
          <w:tcPr>
            <w:tcW w:w="6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Uniform challenge ratings across heterogeneous signals are flagged as a pattern failure. Independent analysis should produce variable outputs; uniformity signals template application.</w:t>
            </w:r>
          </w:p>
        </w:tc>
      </w:tr>
      <w:tr w:rsidR="008E6472">
        <w:tc>
          <w:tcPr>
            <w:tcW w:w="2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b/>
                <w:bCs/>
                <w:color w:val="111111"/>
                <w:sz w:val="18"/>
                <w:szCs w:val="18"/>
              </w:rPr>
              <w:t>Structural Fingerprint Retrieval</w:t>
            </w:r>
          </w:p>
        </w:tc>
        <w:tc>
          <w:tcPr>
            <w:tcW w:w="6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Osiris retrieves historical analogues by dimensional profile, not topic similarity. Structure — not surface — is the relevant matching criterion for crisis analysis.</w:t>
            </w:r>
          </w:p>
        </w:tc>
      </w:tr>
      <w:tr w:rsidR="008E6472">
        <w:tc>
          <w:tcPr>
            <w:tcW w:w="2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b/>
                <w:bCs/>
                <w:color w:val="111111"/>
                <w:sz w:val="18"/>
                <w:szCs w:val="18"/>
              </w:rPr>
              <w:t>Actor Incentive Requirement</w:t>
            </w:r>
          </w:p>
        </w:tc>
        <w:tc>
          <w:tcPr>
            <w:tcW w:w="6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8E6472" w:rsidRDefault="00000000">
            <w:r>
              <w:rPr>
                <w:color w:val="111111"/>
                <w:sz w:val="18"/>
                <w:szCs w:val="18"/>
              </w:rPr>
              <w:t>Ra must state why each addressed actor would agree to a recommendation. Prescriptions lacking a plausible incentive structure are discarded. Analytically coherent but politically inert advice is waste.</w:t>
            </w:r>
          </w:p>
        </w:tc>
      </w:tr>
    </w:tbl>
    <w:p w:rsidR="008E6472" w:rsidRDefault="008E6472"/>
    <w:p w:rsidR="008E6472" w:rsidRDefault="00000000">
      <w:pPr>
        <w:pStyle w:val="Heading1"/>
      </w:pPr>
      <w:r>
        <w:t>6. The DSSM Fingerprint as Analytical Infrastructure</w:t>
      </w:r>
    </w:p>
    <w:p w:rsidR="008E6472" w:rsidRDefault="008E6472">
      <w:pPr>
        <w:pBdr>
          <w:bottom w:val="single" w:sz="8" w:space="1" w:color="4A6FA5"/>
        </w:pBdr>
      </w:pPr>
    </w:p>
    <w:p w:rsidR="008E6472" w:rsidRDefault="008E6472"/>
    <w:p w:rsidR="008E6472" w:rsidRDefault="00000000">
      <w:pPr>
        <w:spacing w:before="60" w:after="120"/>
        <w:jc w:val="both"/>
      </w:pPr>
      <w:r>
        <w:rPr>
          <w:color w:val="111111"/>
        </w:rPr>
        <w:t>The dimensional fingerprint produced by Thoth — the aggregate across the top-scored signals, not a single signal's scores — functions as the common analytical currency of the pipeline. Osiris uses it to retrieve historically analogous crises by structural type. Anubis uses it to calibrate threat level and strategic fragmentation assessments. Ra receives it embedded in the judgment dossier.</w:t>
      </w:r>
    </w:p>
    <w:p w:rsidR="008E6472" w:rsidRDefault="00000000">
      <w:pPr>
        <w:spacing w:before="60" w:after="120"/>
        <w:jc w:val="both"/>
      </w:pPr>
      <w:r>
        <w:rPr>
          <w:color w:val="111111"/>
        </w:rPr>
        <w:t xml:space="preserve">This design decision reflects an insight from fuzzy set theory and high-dimensional data analysis </w:t>
      </w:r>
      <w:r>
        <w:rPr>
          <w:color w:val="4A6FA5"/>
          <w:sz w:val="16"/>
          <w:szCs w:val="16"/>
          <w:vertAlign w:val="superscript"/>
        </w:rPr>
        <w:t>[10]</w:t>
      </w:r>
      <w:r>
        <w:rPr>
          <w:color w:val="111111"/>
        </w:rPr>
        <w:t>: the aggregate shape of a multidimensional signal distribution carries information that cannot be recovered from its individual components. A collection of signals that each score moderately on multiple dimensions produces a different fingerprint than a collection in which one dimension dominates. The former may indicate diffuse systemic stress; the latter may indicate acute crisis in a specific domain. The fingerprint captures this distinction in a way that per-signal analysis cannot.</w:t>
      </w:r>
    </w:p>
    <w:p w:rsidR="008E6472" w:rsidRDefault="00000000">
      <w:pPr>
        <w:spacing w:before="60" w:after="120"/>
        <w:jc w:val="both"/>
      </w:pPr>
      <w:r>
        <w:rPr>
          <w:color w:val="111111"/>
        </w:rPr>
        <w:t xml:space="preserve">The fingerprint also serves as the mechanism by which NETJERU implements Pearl's insight </w:t>
      </w:r>
      <w:r>
        <w:rPr>
          <w:color w:val="4A6FA5"/>
          <w:sz w:val="16"/>
          <w:szCs w:val="16"/>
          <w:vertAlign w:val="superscript"/>
        </w:rPr>
        <w:t>[14]</w:t>
      </w:r>
      <w:r>
        <w:rPr>
          <w:color w:val="111111"/>
        </w:rPr>
        <w:t xml:space="preserve"> that causal reasoning requires structural models rather than mere correlational patterns. By retrieving historical analogues on the basis of dimensional structure rather than surface similarity, Osiris operationalizes the </w:t>
      </w:r>
      <w:r>
        <w:rPr>
          <w:color w:val="111111"/>
        </w:rPr>
        <w:lastRenderedPageBreak/>
        <w:t>distinction between situations that resemble each other at the surface level and situations that share the same underlying causal architecture.</w:t>
      </w:r>
    </w:p>
    <w:p w:rsidR="008E6472" w:rsidRDefault="008E6472"/>
    <w:p w:rsidR="008E6472" w:rsidRDefault="00000000">
      <w:pPr>
        <w:pStyle w:val="Heading1"/>
      </w:pPr>
      <w:r>
        <w:t>7. Limitations and Future Directions</w:t>
      </w:r>
    </w:p>
    <w:p w:rsidR="008E6472" w:rsidRDefault="008E6472">
      <w:pPr>
        <w:pBdr>
          <w:bottom w:val="single" w:sz="8" w:space="1" w:color="4A6FA5"/>
        </w:pBdr>
      </w:pPr>
    </w:p>
    <w:p w:rsidR="008E6472" w:rsidRDefault="008E6472"/>
    <w:p w:rsidR="008E6472" w:rsidRDefault="00000000">
      <w:pPr>
        <w:spacing w:before="60" w:after="120"/>
        <w:jc w:val="both"/>
      </w:pPr>
      <w:r>
        <w:rPr>
          <w:color w:val="111111"/>
        </w:rPr>
        <w:t xml:space="preserve">NETJERU in its current form carries several acknowledged limitations. Signal acquisition depends on the quality and coverage of configured open-source sources; structured APIs and web search miss signals that require human access to closed networks, private communications, or non-public documents. The DSSM framework reflects a specific theoretical stance on the dimensions of systemic risk </w:t>
      </w:r>
      <w:r>
        <w:rPr>
          <w:color w:val="4A6FA5"/>
          <w:sz w:val="16"/>
          <w:szCs w:val="16"/>
          <w:vertAlign w:val="superscript"/>
        </w:rPr>
        <w:t>[20]</w:t>
      </w:r>
      <w:r>
        <w:rPr>
          <w:color w:val="111111"/>
        </w:rPr>
        <w:t xml:space="preserve"> that may not generalise to all analytical contexts.</w:t>
      </w:r>
    </w:p>
    <w:p w:rsidR="008E6472" w:rsidRDefault="00000000">
      <w:pPr>
        <w:spacing w:before="60" w:after="120"/>
        <w:jc w:val="both"/>
      </w:pPr>
      <w:r>
        <w:rPr>
          <w:color w:val="111111"/>
        </w:rPr>
        <w:t xml:space="preserve">The system's confidence calibration depends on the reliability of the underlying AI models' self-reported confidence scores. Bender et al. </w:t>
      </w:r>
      <w:r>
        <w:rPr>
          <w:color w:val="4A6FA5"/>
          <w:sz w:val="16"/>
          <w:szCs w:val="16"/>
          <w:vertAlign w:val="superscript"/>
        </w:rPr>
        <w:t>[2]</w:t>
      </w:r>
      <w:r>
        <w:rPr>
          <w:color w:val="111111"/>
        </w:rPr>
        <w:t xml:space="preserve"> and Chan et al. </w:t>
      </w:r>
      <w:r>
        <w:rPr>
          <w:color w:val="4A6FA5"/>
          <w:sz w:val="16"/>
          <w:szCs w:val="16"/>
          <w:vertAlign w:val="superscript"/>
        </w:rPr>
        <w:t>[4]</w:t>
      </w:r>
      <w:r>
        <w:rPr>
          <w:color w:val="111111"/>
        </w:rPr>
        <w:t xml:space="preserve"> document the tendency of LLMs to produce confident-sounding outputs in domains where their training data is sparse or unrepresentative. NETJERU's rhetorical bias correction partially addresses this by distinguishing linguistic confidence from structural evidential weight, but it does not fully resolve the calibration problem.</w:t>
      </w:r>
    </w:p>
    <w:p w:rsidR="008E6472" w:rsidRDefault="00000000">
      <w:pPr>
        <w:spacing w:before="60" w:after="120"/>
        <w:jc w:val="both"/>
      </w:pPr>
      <w:r>
        <w:rPr>
          <w:color w:val="111111"/>
        </w:rPr>
        <w:t xml:space="preserve">Planned extensions include integration of social media platforms as additional Isis sources, introducing new challenges around signal quality, attribution, and adversarial content injection. The provider architecture is designed to be extensible to multiple AI providers, which would allow Ra's judgment council to represent genuinely independent model perspectives rather than a single provider's outputs — addressing a known limitation of current single-provider architectures </w:t>
      </w:r>
      <w:r>
        <w:rPr>
          <w:color w:val="4A6FA5"/>
          <w:sz w:val="16"/>
          <w:szCs w:val="16"/>
          <w:vertAlign w:val="superscript"/>
        </w:rPr>
        <w:t>[12]</w:t>
      </w:r>
      <w:r>
        <w:rPr>
          <w:color w:val="111111"/>
        </w:rPr>
        <w:t>. The falsifiability check, tripwire mechanism, and adversarial challenge structure are all designed for iterative refinement as the system accumulates operational history.</w:t>
      </w:r>
    </w:p>
    <w:p w:rsidR="008E6472" w:rsidRDefault="008E6472"/>
    <w:p w:rsidR="008E6472" w:rsidRDefault="00000000">
      <w:pPr>
        <w:pStyle w:val="Heading1"/>
      </w:pPr>
      <w:r>
        <w:t>8. Conclusion</w:t>
      </w:r>
    </w:p>
    <w:p w:rsidR="008E6472" w:rsidRDefault="008E6472">
      <w:pPr>
        <w:pBdr>
          <w:bottom w:val="single" w:sz="8" w:space="1" w:color="4A6FA5"/>
        </w:pBdr>
      </w:pPr>
    </w:p>
    <w:p w:rsidR="008E6472" w:rsidRDefault="008E6472"/>
    <w:p w:rsidR="008E6472" w:rsidRDefault="00000000">
      <w:pPr>
        <w:spacing w:before="60" w:after="120"/>
        <w:jc w:val="both"/>
      </w:pPr>
      <w:r>
        <w:rPr>
          <w:color w:val="111111"/>
        </w:rPr>
        <w:t>NETJERU represents a structural approach to AI-assisted intelligence analysis in which the design of the system reflects the epistemic requirements of the domain rather than the technical affordances of available models . Its pipeline architecture, adversarial controls, mandatory human approval gate, and falsifiability requirements are not features appended to a general-purpose AI system. They are the system.</w:t>
      </w:r>
    </w:p>
    <w:p w:rsidR="008E6472" w:rsidRDefault="00000000">
      <w:pPr>
        <w:spacing w:before="60" w:after="120"/>
        <w:jc w:val="both"/>
      </w:pPr>
      <w:r>
        <w:rPr>
          <w:color w:val="111111"/>
        </w:rPr>
        <w:t xml:space="preserve">The central design thesis — that consequential analytical conclusions should be the product of a deliberative process in which each stage performs a distinct epistemic function, constrained by explicit structural rules rather than left to the discretion of individual AI model outputs — reflects a convergence of insights from intelligence analysis </w:t>
      </w:r>
      <w:r>
        <w:rPr>
          <w:color w:val="4A6FA5"/>
          <w:sz w:val="16"/>
          <w:szCs w:val="16"/>
          <w:vertAlign w:val="superscript"/>
        </w:rPr>
        <w:t>[6][9]</w:t>
      </w:r>
      <w:r>
        <w:rPr>
          <w:color w:val="111111"/>
        </w:rPr>
        <w:t xml:space="preserve">, cognitive bias research </w:t>
      </w:r>
      <w:r>
        <w:rPr>
          <w:color w:val="4A6FA5"/>
          <w:sz w:val="16"/>
          <w:szCs w:val="16"/>
          <w:vertAlign w:val="superscript"/>
        </w:rPr>
        <w:t>[8][18]</w:t>
      </w:r>
      <w:r>
        <w:rPr>
          <w:color w:val="111111"/>
        </w:rPr>
        <w:t xml:space="preserve">, multi-agent system theory </w:t>
      </w:r>
      <w:r>
        <w:rPr>
          <w:color w:val="4A6FA5"/>
          <w:sz w:val="16"/>
          <w:szCs w:val="16"/>
          <w:vertAlign w:val="superscript"/>
        </w:rPr>
        <w:t>[21]</w:t>
      </w:r>
      <w:r>
        <w:rPr>
          <w:color w:val="111111"/>
        </w:rPr>
        <w:t xml:space="preserve">, and the philosophy of science </w:t>
      </w:r>
      <w:r>
        <w:rPr>
          <w:color w:val="4A6FA5"/>
          <w:sz w:val="16"/>
          <w:szCs w:val="16"/>
          <w:vertAlign w:val="superscript"/>
        </w:rPr>
        <w:t>[15]</w:t>
      </w:r>
      <w:r>
        <w:rPr>
          <w:color w:val="111111"/>
        </w:rPr>
        <w:t>. NETJERU's contribution is to operationalize this convergence in a working system architecture that treats AI failure modes as first-class system concerns.</w:t>
      </w:r>
    </w:p>
    <w:p w:rsidR="008E6472" w:rsidRDefault="00000000">
      <w:pPr>
        <w:spacing w:before="60" w:after="120"/>
        <w:jc w:val="both"/>
      </w:pPr>
      <w:r>
        <w:rPr>
          <w:color w:val="111111"/>
        </w:rPr>
        <w:t xml:space="preserve">The distinction this architecture draws — between a sophisticated chat interface and a deliberative analytical system — is not merely technical. It is epistemological. The question is not whether AI systems can reason about complex domains; they demonstrably can </w:t>
      </w:r>
      <w:r>
        <w:rPr>
          <w:color w:val="4A6FA5"/>
          <w:sz w:val="16"/>
          <w:szCs w:val="16"/>
          <w:vertAlign w:val="superscript"/>
        </w:rPr>
        <w:t>[3][12]</w:t>
      </w:r>
      <w:r>
        <w:rPr>
          <w:color w:val="111111"/>
        </w:rPr>
        <w:t>. The question is whether the conditions under which they do so are structured appropriately for the stakes involved. NETJERU is an argument, expressed in architecture, that they should be.</w:t>
      </w:r>
    </w:p>
    <w:p w:rsidR="008E6472" w:rsidRDefault="008E6472"/>
    <w:p w:rsidR="008E6472" w:rsidRDefault="00000000">
      <w:pPr>
        <w:pStyle w:val="Heading1"/>
      </w:pPr>
      <w:r>
        <w:lastRenderedPageBreak/>
        <w:t>References</w:t>
      </w:r>
    </w:p>
    <w:p w:rsidR="008E6472" w:rsidRDefault="008E6472">
      <w:pPr>
        <w:pBdr>
          <w:bottom w:val="single" w:sz="8" w:space="1" w:color="4A6FA5"/>
        </w:pBdr>
      </w:pPr>
    </w:p>
    <w:p w:rsidR="008E6472" w:rsidRDefault="008E6472"/>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560"/>
      </w:tblGrid>
      <w:tr w:rsidR="008E6472">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pPr>
              <w:jc w:val="center"/>
            </w:pPr>
            <w:r>
              <w:rPr>
                <w:b/>
                <w:bCs/>
                <w:color w:val="4A6FA5"/>
                <w:sz w:val="17"/>
                <w:szCs w:val="17"/>
              </w:rPr>
              <w:t>[1]</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7"/>
                <w:szCs w:val="17"/>
              </w:rPr>
              <w:t>Anthropic. (2024). Claude's Model Specification. Anthropic Technical Documentation. https://www.anthropic.com/research/model-spec</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pPr>
              <w:jc w:val="center"/>
            </w:pPr>
            <w:r>
              <w:rPr>
                <w:b/>
                <w:bCs/>
                <w:color w:val="4A6FA5"/>
                <w:sz w:val="17"/>
                <w:szCs w:val="17"/>
              </w:rPr>
              <w:t>[2]</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color w:val="111111"/>
                <w:sz w:val="17"/>
                <w:szCs w:val="17"/>
              </w:rPr>
              <w:t>Bender, E. M., Gebru, T., McMillan-Major, A., &amp; Shmitchell, S. (2021). On the Dangers of Stochastic Parrots: Can Language Models Be Too Big? Proceedings of the 2021 ACM Conference on Fairness, Accountability, and Transparency, 610–623.</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pPr>
              <w:jc w:val="center"/>
            </w:pPr>
            <w:r>
              <w:rPr>
                <w:b/>
                <w:bCs/>
                <w:color w:val="4A6FA5"/>
                <w:sz w:val="17"/>
                <w:szCs w:val="17"/>
              </w:rPr>
              <w:t>[3]</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7"/>
                <w:szCs w:val="17"/>
              </w:rPr>
              <w:t>Brown, T., Mann, B., Ryder, N., et al. (2020). Language Models are Few-Shot Learners. Advances in Neural Information Processing Systems, 33, 1877–1901.</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pPr>
              <w:jc w:val="center"/>
            </w:pPr>
            <w:r>
              <w:rPr>
                <w:b/>
                <w:bCs/>
                <w:color w:val="4A6FA5"/>
                <w:sz w:val="17"/>
                <w:szCs w:val="17"/>
              </w:rPr>
              <w:t>[4]</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color w:val="111111"/>
                <w:sz w:val="17"/>
                <w:szCs w:val="17"/>
              </w:rPr>
              <w:t>Chan, A., Salganik, R., Markelius, A., et al. (2023). Harms from Increasingly Agentic Algorithmic Systems. Proceedings of the 2023 ACM Conference on Fairness, Accountability, and Transparency, 651–666.</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pPr>
              <w:jc w:val="center"/>
            </w:pPr>
            <w:r>
              <w:rPr>
                <w:b/>
                <w:bCs/>
                <w:color w:val="4A6FA5"/>
                <w:sz w:val="17"/>
                <w:szCs w:val="17"/>
              </w:rPr>
              <w:t>[5]</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7"/>
                <w:szCs w:val="17"/>
              </w:rPr>
              <w:t>Gabriel, I. (2020). Artificial Intelligence, Values, and Alignment. Minds and Machines, 30(3), 411–437.</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pPr>
              <w:jc w:val="center"/>
            </w:pPr>
            <w:r>
              <w:rPr>
                <w:b/>
                <w:bCs/>
                <w:color w:val="4A6FA5"/>
                <w:sz w:val="17"/>
                <w:szCs w:val="17"/>
              </w:rPr>
              <w:t>[6]</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color w:val="111111"/>
                <w:sz w:val="17"/>
                <w:szCs w:val="17"/>
              </w:rPr>
              <w:t>Heuer, R. J. (1999). Psychology of Intelligence Analysis. Center for the Study of Intelligence, Central Intelligence Agency.</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pPr>
              <w:jc w:val="center"/>
            </w:pPr>
            <w:r>
              <w:rPr>
                <w:b/>
                <w:bCs/>
                <w:color w:val="4A6FA5"/>
                <w:sz w:val="17"/>
                <w:szCs w:val="17"/>
              </w:rPr>
              <w:t>[7]</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7"/>
                <w:szCs w:val="17"/>
              </w:rPr>
              <w:t>Jones, M. D., &amp; McBeth, M. K. (2010). A Narrative Policy Framework: Clear Enough to Be Wrong? Policy Studies Journal, 38(2), 329–353.</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pPr>
              <w:jc w:val="center"/>
            </w:pPr>
            <w:r>
              <w:rPr>
                <w:b/>
                <w:bCs/>
                <w:color w:val="4A6FA5"/>
                <w:sz w:val="17"/>
                <w:szCs w:val="17"/>
              </w:rPr>
              <w:t>[8]</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color w:val="111111"/>
                <w:sz w:val="17"/>
                <w:szCs w:val="17"/>
              </w:rPr>
              <w:t>Kahneman, D. (2011). Thinking, Fast and Slow. Farrar, Straus and Giroux.</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pPr>
              <w:jc w:val="center"/>
            </w:pPr>
            <w:r>
              <w:rPr>
                <w:b/>
                <w:bCs/>
                <w:color w:val="4A6FA5"/>
                <w:sz w:val="17"/>
                <w:szCs w:val="17"/>
              </w:rPr>
              <w:t>[9]</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7"/>
                <w:szCs w:val="17"/>
              </w:rPr>
              <w:t>Kent, S. (1964). Words of Estimative Probability. Studies in Intelligence, 8(4), 49–65.</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pPr>
              <w:jc w:val="center"/>
            </w:pPr>
            <w:r>
              <w:rPr>
                <w:b/>
                <w:bCs/>
                <w:color w:val="4A6FA5"/>
                <w:sz w:val="17"/>
                <w:szCs w:val="17"/>
              </w:rPr>
              <w:t>[10]</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color w:val="111111"/>
                <w:sz w:val="17"/>
                <w:szCs w:val="17"/>
              </w:rPr>
              <w:t>Klir, G. J., &amp; Yuan, B. (1995). Fuzzy Sets and Fuzzy Logic: Theory and Applications. Prentice Hall.</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pPr>
              <w:jc w:val="center"/>
            </w:pPr>
            <w:r>
              <w:rPr>
                <w:b/>
                <w:bCs/>
                <w:color w:val="4A6FA5"/>
                <w:sz w:val="17"/>
                <w:szCs w:val="17"/>
              </w:rPr>
              <w:t>[11]</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7"/>
                <w:szCs w:val="17"/>
              </w:rPr>
              <w:t>Mercier, H., &amp; Sperber, D. (2011). Why do humans reason? Arguments for an argumentative theory. Behavioral and Brain Sciences, 34(2), 57–74.</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pPr>
              <w:jc w:val="center"/>
            </w:pPr>
            <w:r>
              <w:rPr>
                <w:b/>
                <w:bCs/>
                <w:color w:val="4A6FA5"/>
                <w:sz w:val="17"/>
                <w:szCs w:val="17"/>
              </w:rPr>
              <w:t>[12]</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color w:val="111111"/>
                <w:sz w:val="17"/>
                <w:szCs w:val="17"/>
              </w:rPr>
              <w:t>OpenAI. (2023). GPT-4 Technical Report. arXiv preprint arXiv:2303.08774.</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pPr>
              <w:jc w:val="center"/>
            </w:pPr>
            <w:r>
              <w:rPr>
                <w:b/>
                <w:bCs/>
                <w:color w:val="4A6FA5"/>
                <w:sz w:val="17"/>
                <w:szCs w:val="17"/>
              </w:rPr>
              <w:t>[13]</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7"/>
                <w:szCs w:val="17"/>
              </w:rPr>
              <w:t>Park, J. S., O'Brien, J. C., Cai, C. J., Morris, M. R., Liang, P., &amp; Bernstein, M. S. (2023). Generative Agents: Interactive Simulacra of Human Behavior. Proceedings of the 36th Annual ACM Symposium on User Interface Software and Technology, 1–22.</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pPr>
              <w:jc w:val="center"/>
            </w:pPr>
            <w:r>
              <w:rPr>
                <w:b/>
                <w:bCs/>
                <w:color w:val="4A6FA5"/>
                <w:sz w:val="17"/>
                <w:szCs w:val="17"/>
              </w:rPr>
              <w:t>[14]</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color w:val="111111"/>
                <w:sz w:val="17"/>
                <w:szCs w:val="17"/>
              </w:rPr>
              <w:t>Pearl, J. (2009). Causality: Models, Reasoning and Inference (2nd ed.). Cambridge University Press.</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pPr>
              <w:jc w:val="center"/>
            </w:pPr>
            <w:r>
              <w:rPr>
                <w:b/>
                <w:bCs/>
                <w:color w:val="4A6FA5"/>
                <w:sz w:val="17"/>
                <w:szCs w:val="17"/>
              </w:rPr>
              <w:t>[15]</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7"/>
                <w:szCs w:val="17"/>
              </w:rPr>
              <w:t>Popper, K. R. (1959). The Logic of Scientific Discovery. Hutchinson &amp; Co.</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pPr>
              <w:jc w:val="center"/>
            </w:pPr>
            <w:r>
              <w:rPr>
                <w:b/>
                <w:bCs/>
                <w:color w:val="4A6FA5"/>
                <w:sz w:val="17"/>
                <w:szCs w:val="17"/>
              </w:rPr>
              <w:t>[16]</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color w:val="111111"/>
                <w:sz w:val="17"/>
                <w:szCs w:val="17"/>
              </w:rPr>
              <w:t>Russell, S. (2019). Human Compatible: Artificial Intelligence and the Problem of Control. Viking.</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pPr>
              <w:jc w:val="center"/>
            </w:pPr>
            <w:r>
              <w:rPr>
                <w:b/>
                <w:bCs/>
                <w:color w:val="4A6FA5"/>
                <w:sz w:val="17"/>
                <w:szCs w:val="17"/>
              </w:rPr>
              <w:t>[17]</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7"/>
                <w:szCs w:val="17"/>
              </w:rPr>
              <w:t>Schelling, T. C. (1960). The Strategy of Conflict. Harvard University Press.</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pPr>
              <w:jc w:val="center"/>
            </w:pPr>
            <w:r>
              <w:rPr>
                <w:b/>
                <w:bCs/>
                <w:color w:val="4A6FA5"/>
                <w:sz w:val="17"/>
                <w:szCs w:val="17"/>
              </w:rPr>
              <w:t>[18]</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color w:val="111111"/>
                <w:sz w:val="17"/>
                <w:szCs w:val="17"/>
              </w:rPr>
              <w:t>Tetlock, P. E. (2005). Expert Political Judgment: How Good Is It? How Can We Know? Princeton University Press.</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pPr>
              <w:jc w:val="center"/>
            </w:pPr>
            <w:r>
              <w:rPr>
                <w:b/>
                <w:bCs/>
                <w:color w:val="4A6FA5"/>
                <w:sz w:val="17"/>
                <w:szCs w:val="17"/>
              </w:rPr>
              <w:t>[19]</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7"/>
                <w:szCs w:val="17"/>
              </w:rPr>
              <w:t>Tetlock, P. E., &amp; Gardner, D. (2015). Superforecasting: The Art and Science of Prediction. Crown Publishers.</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pPr>
              <w:jc w:val="center"/>
            </w:pPr>
            <w:r>
              <w:rPr>
                <w:b/>
                <w:bCs/>
                <w:color w:val="4A6FA5"/>
                <w:sz w:val="17"/>
                <w:szCs w:val="17"/>
              </w:rPr>
              <w:t>[20]</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color w:val="111111"/>
                <w:sz w:val="17"/>
                <w:szCs w:val="17"/>
              </w:rPr>
              <w:t>Vondoom, A. (2026). Civilization Is Rehearsed: The Deep Symbolic Systems Model. Zenodo. https://doi.org/10.5281/zenodo.19170162</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pPr>
              <w:jc w:val="center"/>
            </w:pPr>
            <w:r>
              <w:rPr>
                <w:b/>
                <w:bCs/>
                <w:color w:val="4A6FA5"/>
                <w:sz w:val="17"/>
                <w:szCs w:val="17"/>
              </w:rPr>
              <w:t>[21]</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7"/>
                <w:szCs w:val="17"/>
              </w:rPr>
              <w:t>Wooldridge, M. (2009). An Introduction to MultiAgent Systems (2nd ed.). John Wiley &amp; Sons.</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pPr>
              <w:jc w:val="center"/>
            </w:pPr>
            <w:r>
              <w:rPr>
                <w:b/>
                <w:bCs/>
                <w:color w:val="4A6FA5"/>
                <w:sz w:val="17"/>
                <w:szCs w:val="17"/>
              </w:rPr>
              <w:t>[22]</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8E6472" w:rsidRDefault="00000000">
            <w:r>
              <w:rPr>
                <w:color w:val="111111"/>
                <w:sz w:val="17"/>
                <w:szCs w:val="17"/>
              </w:rPr>
              <w:t>Xi, Z., Chen, W., Guo, X., et al. (2023). The Rise and Potential of Large Language Model Based Agents: A Survey. arXiv preprint arXiv:2309.07864.</w:t>
            </w:r>
          </w:p>
        </w:tc>
      </w:tr>
      <w:tr w:rsidR="008E6472">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pPr>
              <w:jc w:val="center"/>
            </w:pPr>
            <w:r>
              <w:rPr>
                <w:b/>
                <w:bCs/>
                <w:color w:val="4A6FA5"/>
                <w:sz w:val="17"/>
                <w:szCs w:val="17"/>
              </w:rPr>
              <w:t>[23]</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8E6472" w:rsidRDefault="00000000">
            <w:r>
              <w:rPr>
                <w:color w:val="111111"/>
                <w:sz w:val="17"/>
                <w:szCs w:val="17"/>
              </w:rPr>
              <w:t>Yao, S., Zhao, J., Yu, D., et al. (2023). ReAct: Synergizing Reasoning and Acting in Language Models. International Conference on Learning Representations (ICLR 2023).</w:t>
            </w:r>
          </w:p>
        </w:tc>
      </w:tr>
    </w:tbl>
    <w:p w:rsidR="008E6472" w:rsidRDefault="008E6472"/>
    <w:p w:rsidR="008E6472" w:rsidRDefault="008E6472">
      <w:pPr>
        <w:pBdr>
          <w:bottom w:val="single" w:sz="8" w:space="1" w:color="C9A84C"/>
        </w:pBdr>
      </w:pPr>
    </w:p>
    <w:p w:rsidR="008E6472" w:rsidRDefault="008E6472">
      <w:pPr>
        <w:jc w:val="center"/>
      </w:pPr>
    </w:p>
    <w:sectPr w:rsidR="008E647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E70"/>
    <w:multiLevelType w:val="hybridMultilevel"/>
    <w:tmpl w:val="FDDC9222"/>
    <w:lvl w:ilvl="0" w:tplc="8E7CBA66">
      <w:start w:val="1"/>
      <w:numFmt w:val="bullet"/>
      <w:lvlText w:val="●"/>
      <w:lvlJc w:val="left"/>
      <w:pPr>
        <w:ind w:left="720" w:hanging="360"/>
      </w:pPr>
    </w:lvl>
    <w:lvl w:ilvl="1" w:tplc="673021B6">
      <w:start w:val="1"/>
      <w:numFmt w:val="bullet"/>
      <w:lvlText w:val="○"/>
      <w:lvlJc w:val="left"/>
      <w:pPr>
        <w:ind w:left="1440" w:hanging="360"/>
      </w:pPr>
    </w:lvl>
    <w:lvl w:ilvl="2" w:tplc="998AEE28">
      <w:start w:val="1"/>
      <w:numFmt w:val="bullet"/>
      <w:lvlText w:val="■"/>
      <w:lvlJc w:val="left"/>
      <w:pPr>
        <w:ind w:left="2160" w:hanging="360"/>
      </w:pPr>
    </w:lvl>
    <w:lvl w:ilvl="3" w:tplc="20C69BAC">
      <w:start w:val="1"/>
      <w:numFmt w:val="bullet"/>
      <w:lvlText w:val="●"/>
      <w:lvlJc w:val="left"/>
      <w:pPr>
        <w:ind w:left="2880" w:hanging="360"/>
      </w:pPr>
    </w:lvl>
    <w:lvl w:ilvl="4" w:tplc="AE2C4B50">
      <w:start w:val="1"/>
      <w:numFmt w:val="bullet"/>
      <w:lvlText w:val="○"/>
      <w:lvlJc w:val="left"/>
      <w:pPr>
        <w:ind w:left="3600" w:hanging="360"/>
      </w:pPr>
    </w:lvl>
    <w:lvl w:ilvl="5" w:tplc="9C68B26E">
      <w:start w:val="1"/>
      <w:numFmt w:val="bullet"/>
      <w:lvlText w:val="■"/>
      <w:lvlJc w:val="left"/>
      <w:pPr>
        <w:ind w:left="4320" w:hanging="360"/>
      </w:pPr>
    </w:lvl>
    <w:lvl w:ilvl="6" w:tplc="CC601322">
      <w:start w:val="1"/>
      <w:numFmt w:val="bullet"/>
      <w:lvlText w:val="●"/>
      <w:lvlJc w:val="left"/>
      <w:pPr>
        <w:ind w:left="5040" w:hanging="360"/>
      </w:pPr>
    </w:lvl>
    <w:lvl w:ilvl="7" w:tplc="7F2E7804">
      <w:start w:val="1"/>
      <w:numFmt w:val="bullet"/>
      <w:lvlText w:val="●"/>
      <w:lvlJc w:val="left"/>
      <w:pPr>
        <w:ind w:left="5760" w:hanging="360"/>
      </w:pPr>
    </w:lvl>
    <w:lvl w:ilvl="8" w:tplc="C46E3B18">
      <w:start w:val="1"/>
      <w:numFmt w:val="bullet"/>
      <w:lvlText w:val="●"/>
      <w:lvlJc w:val="left"/>
      <w:pPr>
        <w:ind w:left="6480" w:hanging="360"/>
      </w:pPr>
    </w:lvl>
  </w:abstractNum>
  <w:num w:numId="1" w16cid:durableId="408888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472"/>
    <w:rsid w:val="00516EF0"/>
    <w:rsid w:val="008E6472"/>
    <w:rsid w:val="0097399C"/>
  </w:rsids>
  <m:mathPr>
    <m:mathFont m:val="Cambria Math"/>
    <m:brkBin m:val="before"/>
    <m:brkBinSub m:val="--"/>
    <m:smallFrac m:val="0"/>
    <m:dispDef/>
    <m:lMargin m:val="0"/>
    <m:rMargin m:val="0"/>
    <m:defJc m:val="centerGroup"/>
    <m:wrapIndent m:val="1440"/>
    <m:intLim m:val="subSup"/>
    <m:naryLim m:val="undOvr"/>
  </m:mathPr>
  <w:themeFontLang w:val="en-LK"/>
  <w:clrSchemeMapping w:bg1="light1" w:t1="dark1" w:bg2="light2" w:t2="dark2" w:accent1="accent1" w:accent2="accent2" w:accent3="accent3" w:accent4="accent4" w:accent5="accent5" w:accent6="accent6" w:hyperlink="hyperlink" w:followedHyperlink="followedHyperlink"/>
  <w:decimalSymbol w:val="."/>
  <w:listSeparator w:val=","/>
  <w14:docId w14:val="0A976D33"/>
  <w15:docId w15:val="{1144A668-1674-4749-9108-C74D5D25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L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b/>
      <w:bCs/>
      <w:color w:val="1A1A2E"/>
      <w:sz w:val="36"/>
      <w:szCs w:val="36"/>
    </w:rPr>
  </w:style>
  <w:style w:type="paragraph" w:styleId="Heading2">
    <w:name w:val="heading 2"/>
    <w:uiPriority w:val="9"/>
    <w:unhideWhenUsed/>
    <w:qFormat/>
    <w:pPr>
      <w:spacing w:before="280" w:after="120"/>
      <w:outlineLvl w:val="1"/>
    </w:pPr>
    <w:rPr>
      <w:b/>
      <w:bCs/>
      <w:color w:val="4A6FA5"/>
      <w:sz w:val="26"/>
      <w:szCs w:val="26"/>
    </w:rPr>
  </w:style>
  <w:style w:type="paragraph" w:styleId="Heading3">
    <w:name w:val="heading 3"/>
    <w:uiPriority w:val="9"/>
    <w:semiHidden/>
    <w:unhideWhenUsed/>
    <w:qFormat/>
    <w:pPr>
      <w:spacing w:before="200" w:after="100"/>
      <w:outlineLvl w:val="2"/>
    </w:pPr>
    <w:rPr>
      <w:b/>
      <w:bCs/>
      <w:color w:val="4A4A8A"/>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4982</Words>
  <Characters>28402</Characters>
  <Application>Microsoft Office Word</Application>
  <DocSecurity>0</DocSecurity>
  <Lines>236</Lines>
  <Paragraphs>66</Paragraphs>
  <ScaleCrop>false</ScaleCrop>
  <Company/>
  <LinksUpToDate>false</LinksUpToDate>
  <CharactersWithSpaces>33318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3</cp:revision>
  <dcterms:created xsi:type="dcterms:W3CDTF">2026-04-02T09:06:00Z</dcterms:created>
  <dcterms:modified xsi:type="dcterms:W3CDTF">2026-04-02T14:37:00Z</dcterms:modified>
</cp:coreProperties>
</file>