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956" w:rsidRDefault="00000000">
      <w:pPr>
        <w:spacing w:before="480" w:after="120"/>
        <w:jc w:val="center"/>
      </w:pPr>
      <w:r>
        <w:rPr>
          <w:b/>
          <w:bCs/>
          <w:color w:val="1A2A4A"/>
          <w:sz w:val="52"/>
          <w:szCs w:val="52"/>
        </w:rPr>
        <w:t>Eye of Horus</w:t>
      </w:r>
    </w:p>
    <w:p w:rsidR="00726956" w:rsidRDefault="00000000">
      <w:pPr>
        <w:spacing w:before="60" w:after="80"/>
        <w:jc w:val="center"/>
        <w:rPr>
          <w:i/>
          <w:iCs/>
          <w:color w:val="2E4A7A"/>
          <w:sz w:val="26"/>
          <w:szCs w:val="26"/>
        </w:rPr>
      </w:pPr>
      <w:r>
        <w:rPr>
          <w:i/>
          <w:iCs/>
          <w:color w:val="2E4A7A"/>
          <w:sz w:val="26"/>
          <w:szCs w:val="26"/>
        </w:rPr>
        <w:t>Architecture and Design of a Multi-Modal AI Observational Intelligence System for Archaeological Field Analysis</w:t>
      </w: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B961ED" w:rsidRDefault="00B961ED">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FC3765" w:rsidRDefault="00FC3765">
      <w:pPr>
        <w:spacing w:before="60" w:after="80"/>
        <w:jc w:val="center"/>
        <w:rPr>
          <w:i/>
          <w:iCs/>
          <w:color w:val="2E4A7A"/>
          <w:sz w:val="26"/>
          <w:szCs w:val="26"/>
        </w:rPr>
      </w:pPr>
    </w:p>
    <w:p w:rsidR="00B961ED" w:rsidRDefault="00B961ED">
      <w:pPr>
        <w:spacing w:before="60" w:after="80"/>
        <w:jc w:val="center"/>
      </w:pPr>
    </w:p>
    <w:p w:rsidR="00726956" w:rsidRDefault="00000000">
      <w:pPr>
        <w:spacing w:before="100" w:after="60"/>
        <w:jc w:val="center"/>
      </w:pPr>
      <w:r>
        <w:rPr>
          <w:b/>
          <w:bCs/>
          <w:color w:val="555555"/>
        </w:rPr>
        <w:t>Anthony Vondoom</w:t>
      </w:r>
    </w:p>
    <w:p w:rsidR="00726956" w:rsidRDefault="00000000">
      <w:pPr>
        <w:spacing w:before="40" w:after="60"/>
        <w:jc w:val="center"/>
      </w:pPr>
      <w:r>
        <w:rPr>
          <w:color w:val="555555"/>
          <w:sz w:val="20"/>
          <w:szCs w:val="20"/>
        </w:rPr>
        <w:t>ORCID: 0009-0003-4953-1427  ·  Anthony.vondoom@outlook.com</w:t>
      </w:r>
    </w:p>
    <w:p w:rsidR="00FC3765" w:rsidRDefault="00FC3765" w:rsidP="00FC3765">
      <w:pPr>
        <w:spacing w:before="40" w:after="360"/>
        <w:jc w:val="center"/>
        <w:rPr>
          <w:rFonts w:ascii="Helvetica" w:hAnsi="Helvetica"/>
          <w:b/>
          <w:bCs/>
          <w:sz w:val="20"/>
          <w:szCs w:val="20"/>
          <w:shd w:val="clear" w:color="auto" w:fill="FFFFFF"/>
          <w:lang w:val="it-IT"/>
        </w:rPr>
      </w:pPr>
      <w:r>
        <w:rPr>
          <w:rFonts w:ascii="Helvetica" w:hAnsi="Helvetica"/>
          <w:b/>
          <w:bCs/>
          <w:sz w:val="20"/>
          <w:szCs w:val="20"/>
          <w:shd w:val="clear" w:color="auto" w:fill="FFFFFF"/>
        </w:rPr>
        <w:t>10.5281/zenodo.19388800</w:t>
      </w:r>
      <w:r>
        <w:rPr>
          <w:rFonts w:ascii="Helvetica" w:hAnsi="Helvetica"/>
          <w:b/>
          <w:bCs/>
          <w:sz w:val="20"/>
          <w:szCs w:val="20"/>
          <w:shd w:val="clear" w:color="auto" w:fill="FFFFFF"/>
          <w:lang w:val="it-IT"/>
        </w:rPr>
        <w:t xml:space="preserve"> ZENODO 2026</w:t>
      </w:r>
    </w:p>
    <w:p w:rsidR="00DF2823" w:rsidRPr="00FC3765" w:rsidRDefault="00DF2823" w:rsidP="00FC3765">
      <w:pPr>
        <w:spacing w:before="40" w:after="360"/>
        <w:jc w:val="center"/>
        <w:rPr>
          <w:color w:val="555555"/>
          <w:sz w:val="20"/>
          <w:szCs w:val="20"/>
        </w:rPr>
      </w:pPr>
    </w:p>
    <w:p w:rsidR="00726956" w:rsidRDefault="00726956">
      <w:pPr>
        <w:pBdr>
          <w:bottom w:val="single" w:sz="4" w:space="1" w:color="C9A84C"/>
        </w:pBdr>
        <w:spacing w:before="120" w:after="120"/>
      </w:pPr>
    </w:p>
    <w:p w:rsidR="00726956" w:rsidRDefault="00726956">
      <w:pPr>
        <w:spacing w:before="60" w:after="60"/>
      </w:pPr>
    </w:p>
    <w:p w:rsidR="00726956" w:rsidRDefault="00000000">
      <w:pPr>
        <w:pStyle w:val="Heading1"/>
      </w:pPr>
      <w:r>
        <w:t>Abstract</w:t>
      </w:r>
    </w:p>
    <w:p w:rsidR="00726956" w:rsidRDefault="00000000" w:rsidP="00B961ED">
      <w:pPr>
        <w:spacing w:before="80" w:after="120"/>
        <w:ind w:firstLine="720"/>
        <w:jc w:val="both"/>
      </w:pPr>
      <w:r>
        <w:t>This paper describes the Eye of Horus system — a multi-modal observational intelligence platform designed to support complex archaeological field analysis by integrating AI reasoning, LiDAR-derived spatial data, satellite geophysical datasets, and a structured human-operated scoring instrument grounded in the Deep Symbolic Systems Model (DSSM). The system addresses a class of problems in which no single data source or analytical method is sufficient to produce reliable conclusions: problems requiring simultaneous reasoning across spatial scales, data modalities, and levels of analytical abstraction.</w:t>
      </w:r>
    </w:p>
    <w:p w:rsidR="00726956" w:rsidRDefault="00726956">
      <w:pPr>
        <w:spacing w:before="60" w:after="60"/>
      </w:pPr>
    </w:p>
    <w:p w:rsidR="00726956" w:rsidRDefault="00000000">
      <w:pPr>
        <w:spacing w:before="80" w:after="120"/>
        <w:jc w:val="both"/>
      </w:pPr>
      <w:r>
        <w:t>We describe the system's purpose, the three-stream data architecture, the seven-stage AI reasoning pipeline, and the Field Companion Protocol — the structured field scoring instrument derived from the DSSM observable taxonomy. We do not describe implementation specifics. The contribution of this paper is a coherent systems design philosophy for high-stakes field observational analysis under conditions of multi-source data complexity, with the Field Companion Protocol's DSSM-grounded scoring framework described in full for the first time in an integrated systems context.</w:t>
      </w:r>
    </w:p>
    <w:p w:rsidR="00B961ED" w:rsidRDefault="00B961ED">
      <w:pPr>
        <w:pBdr>
          <w:bottom w:val="single" w:sz="4" w:space="1" w:color="C9A84C"/>
        </w:pBdr>
        <w:spacing w:before="120" w:after="120"/>
      </w:pPr>
    </w:p>
    <w:p w:rsidR="00726956" w:rsidRDefault="00000000">
      <w:pPr>
        <w:pStyle w:val="Heading1"/>
      </w:pPr>
      <w:r>
        <w:t>1.  The Problem the System Addresses</w:t>
      </w:r>
    </w:p>
    <w:p w:rsidR="00726956" w:rsidRDefault="00000000">
      <w:pPr>
        <w:spacing w:before="80" w:after="120"/>
        <w:jc w:val="both"/>
      </w:pPr>
      <w:r>
        <w:t>There exists a class of real-world observational problems in archaeological field analysis characterized by three compounding difficulties.</w:t>
      </w:r>
    </w:p>
    <w:p w:rsidR="00726956" w:rsidRDefault="00726956">
      <w:pPr>
        <w:spacing w:before="60" w:after="60"/>
      </w:pPr>
    </w:p>
    <w:p w:rsidR="00726956" w:rsidRDefault="00000000">
      <w:pPr>
        <w:spacing w:before="80" w:after="120"/>
        <w:jc w:val="both"/>
      </w:pPr>
      <w:r>
        <w:rPr>
          <w:b/>
          <w:bCs/>
        </w:rPr>
        <w:t>Data heterogeneity.</w:t>
      </w:r>
      <w:r>
        <w:t xml:space="preserve"> The phenomena under study — symbolic stabilization patterns, mnemonic architectures, distributed authority structures — manifest across multiple physical registers simultaneously: geometric, spectral, atmospheric, and stratigraphic. No single instrument captures all relevant dimensions. Any analysis built on a single data stream is structurally incomplete.</w:t>
      </w:r>
    </w:p>
    <w:p w:rsidR="00726956" w:rsidRDefault="00726956">
      <w:pPr>
        <w:spacing w:before="60" w:after="60"/>
      </w:pPr>
    </w:p>
    <w:p w:rsidR="00726956" w:rsidRDefault="00000000">
      <w:pPr>
        <w:spacing w:before="80" w:after="120"/>
        <w:jc w:val="both"/>
      </w:pPr>
      <w:r>
        <w:rPr>
          <w:b/>
          <w:bCs/>
        </w:rPr>
        <w:t>Scale mismatch.</w:t>
      </w:r>
      <w:r>
        <w:t xml:space="preserve"> The data streams that illuminate a site operate at incompatible spatial and temporal scales. LiDAR provides centimeter-precision local geometry but no temporal context. Satellite datasets provide decades of atmospheric and geophysical baseline but no local resolution. The interpretive gap between these scales is not bridgeable by simple aggregation — it requires active reasoning across frames.</w:t>
      </w:r>
    </w:p>
    <w:p w:rsidR="00726956" w:rsidRDefault="00726956">
      <w:pPr>
        <w:spacing w:before="60" w:after="60"/>
      </w:pPr>
    </w:p>
    <w:p w:rsidR="00726956" w:rsidRDefault="00000000">
      <w:pPr>
        <w:spacing w:before="80" w:after="120"/>
        <w:jc w:val="both"/>
      </w:pPr>
      <w:r>
        <w:rPr>
          <w:b/>
          <w:bCs/>
        </w:rPr>
        <w:t>Interpretive opacity.</w:t>
      </w:r>
      <w:r>
        <w:t xml:space="preserve"> Even where high-quality multi-modal data exists, the process by which a trained archaeologist moves from raw data to a defensible interpretation of symbolic content is typically tacit, undocumented, and irreproducible. Expertise in reading symbolic stabilization from field evidence is difficult to scale, to audit, or to transfer.</w:t>
      </w:r>
    </w:p>
    <w:p w:rsidR="00726956" w:rsidRDefault="00726956">
      <w:pPr>
        <w:spacing w:before="60" w:after="60"/>
      </w:pPr>
    </w:p>
    <w:p w:rsidR="00726956" w:rsidRDefault="00000000">
      <w:pPr>
        <w:spacing w:before="80" w:after="120"/>
        <w:jc w:val="both"/>
      </w:pPr>
      <w:r>
        <w:t>The Eye of Horus system is designed to address all three difficulties simultaneously: by fusing multiple data streams, by providing an AI reasoning layer capable of operating across scales, and by making the interpretive process explicit, sequential, and auditable. The system does not replace archaeological expertise. It makes that expertise formally legible to a structured reasoning architecture, and it provides that architecture with the geometric and contextual data streams needed to test expert judgment against independent physical evidence.</w:t>
      </w:r>
    </w:p>
    <w:p w:rsidR="00726956" w:rsidRDefault="00726956">
      <w:pPr>
        <w:spacing w:before="60" w:after="60"/>
      </w:pPr>
    </w:p>
    <w:p w:rsidR="00B961ED" w:rsidRDefault="00B961ED">
      <w:pPr>
        <w:pStyle w:val="Heading1"/>
      </w:pPr>
    </w:p>
    <w:p w:rsidR="00726956" w:rsidRDefault="00000000">
      <w:pPr>
        <w:pStyle w:val="Heading1"/>
      </w:pPr>
      <w:r>
        <w:lastRenderedPageBreak/>
        <w:t>2.  System Overview</w:t>
      </w:r>
    </w:p>
    <w:p w:rsidR="00726956" w:rsidRDefault="00000000">
      <w:pPr>
        <w:spacing w:before="80" w:after="120"/>
        <w:jc w:val="both"/>
      </w:pPr>
      <w:r>
        <w:t>The Eye of Horus is a web-deployed platform organized around three primary subsystems:</w:t>
      </w:r>
    </w:p>
    <w:p w:rsidR="00726956" w:rsidRDefault="00000000">
      <w:pPr>
        <w:pStyle w:val="ListParagraph"/>
        <w:numPr>
          <w:ilvl w:val="0"/>
          <w:numId w:val="2"/>
        </w:numPr>
        <w:spacing w:before="40" w:after="40"/>
      </w:pPr>
      <w:r>
        <w:t>A multi-modal data ingestion layer accepting inputs from three independent physical sources</w:t>
      </w:r>
    </w:p>
    <w:p w:rsidR="00726956" w:rsidRDefault="00000000">
      <w:pPr>
        <w:pStyle w:val="ListParagraph"/>
        <w:numPr>
          <w:ilvl w:val="0"/>
          <w:numId w:val="2"/>
        </w:numPr>
        <w:spacing w:before="40" w:after="40"/>
      </w:pPr>
      <w:r>
        <w:t>A structured AI agent reasoning pipeline processing those inputs through seven distinct cognitive stages</w:t>
      </w:r>
    </w:p>
    <w:p w:rsidR="00726956" w:rsidRDefault="00000000">
      <w:pPr>
        <w:pStyle w:val="ListParagraph"/>
        <w:numPr>
          <w:ilvl w:val="0"/>
          <w:numId w:val="2"/>
        </w:numPr>
        <w:spacing w:before="40" w:after="40"/>
      </w:pPr>
      <w:r>
        <w:t>A synthesis and output layer producing structured analytical deliverables from the pipeline's conclusions</w:t>
      </w:r>
    </w:p>
    <w:p w:rsidR="00726956" w:rsidRDefault="00726956">
      <w:pPr>
        <w:spacing w:before="60" w:after="60"/>
      </w:pPr>
    </w:p>
    <w:p w:rsidR="00726956" w:rsidRDefault="00000000">
      <w:pPr>
        <w:spacing w:before="80" w:after="120"/>
        <w:jc w:val="both"/>
      </w:pPr>
      <w:r>
        <w:t>These subsystems are mutually dependent. The quality of output is a function of all three operating correctly. The system cannot produce reliable conclusions from strong AI reasoning applied to weak data, nor from strong data passed through a poorly structured reasoning process. Robustness comes from the joint integrity of data quality, data diversity, and reasoning structure — not from any single component's strength.</w:t>
      </w:r>
    </w:p>
    <w:p w:rsidR="00726956" w:rsidRDefault="00726956">
      <w:pPr>
        <w:spacing w:before="60" w:after="60"/>
      </w:pPr>
    </w:p>
    <w:p w:rsidR="00726956" w:rsidRDefault="00000000">
      <w:pPr>
        <w:spacing w:before="80" w:after="120"/>
        <w:jc w:val="both"/>
      </w:pPr>
      <w:r>
        <w:t>The system is deployed as a web application accessible via standard browser interfaces. It requires no specialized hardware beyond the LiDAR equipment and FCP instrument used for data collection in the field.</w:t>
      </w:r>
    </w:p>
    <w:p w:rsidR="00726956" w:rsidRDefault="00726956">
      <w:pPr>
        <w:spacing w:before="60" w:after="60"/>
      </w:pPr>
    </w:p>
    <w:p w:rsidR="00726956" w:rsidRDefault="00000000">
      <w:pPr>
        <w:pStyle w:val="Heading1"/>
      </w:pPr>
      <w:r>
        <w:t>3.  The Data Layer</w:t>
      </w:r>
    </w:p>
    <w:p w:rsidR="00726956" w:rsidRDefault="00000000">
      <w:pPr>
        <w:pStyle w:val="Heading2"/>
      </w:pPr>
      <w:r>
        <w:t>3.1  LiDAR-Derived Spatial Data</w:t>
      </w:r>
    </w:p>
    <w:p w:rsidR="00726956" w:rsidRDefault="00000000">
      <w:pPr>
        <w:spacing w:before="80" w:after="120"/>
        <w:jc w:val="both"/>
      </w:pPr>
      <w:r>
        <w:t>The system's primary geometric input is derived from LiDAR scanning of the observational environment. LiDAR — Light Detection and Ranging — produces three-dimensional point-cloud representations of physical space at centimeter-scale precision. This data serves as the system's spatial ground truth: a physical measurement not subject to the interpretive ambiguity that affects photographic or spectral imaging.</w:t>
      </w:r>
    </w:p>
    <w:p w:rsidR="00726956" w:rsidRDefault="00726956">
      <w:pPr>
        <w:spacing w:before="60" w:after="60"/>
      </w:pPr>
    </w:p>
    <w:p w:rsidR="00726956" w:rsidRDefault="00000000">
      <w:pPr>
        <w:spacing w:before="80" w:after="120"/>
        <w:jc w:val="both"/>
      </w:pPr>
      <w:r>
        <w:t>Within the system, LiDAR data performs a specific epistemic function: it constrains. It defines the geometric boundary conditions within which all other reasoning must operate. When the AI reasoning pipeline produces a spatial interpretation, that interpretation must be consistent with the LiDAR-derived geometry of the environment. LiDAR therefore operates not merely as an input but as a validation constraint — a check against which AI-generated spatial reasoning is tested.</w:t>
      </w:r>
    </w:p>
    <w:p w:rsidR="00726956" w:rsidRDefault="00726956">
      <w:pPr>
        <w:spacing w:before="60" w:after="60"/>
      </w:pPr>
    </w:p>
    <w:p w:rsidR="00726956" w:rsidRDefault="00000000">
      <w:pPr>
        <w:spacing w:before="80" w:after="120"/>
        <w:jc w:val="both"/>
      </w:pPr>
      <w:r>
        <w:t>In the archaeological context, LiDAR is particularly well-suited to detecting landscape-level features associated with DSSM symbolic stabilization: repeated spatial layouts, axial persistence along settlement corridors, and the geometric signatures of mnemonic architecture that surface-level survey may miss. The system does not require LiDAR data from any particular instrument. It requires that data meet a specified resolution and coverage threshold sufficient to characterize the physical features relevant to the analysis. How that threshold is met is left to the operator.</w:t>
      </w:r>
    </w:p>
    <w:p w:rsidR="00726956" w:rsidRDefault="00726956">
      <w:pPr>
        <w:spacing w:before="60" w:after="60"/>
      </w:pPr>
    </w:p>
    <w:p w:rsidR="00726956" w:rsidRDefault="00000000">
      <w:pPr>
        <w:pStyle w:val="Heading2"/>
      </w:pPr>
      <w:r>
        <w:t>3.2  NASA Satellite and Geophysical Datasets</w:t>
      </w:r>
    </w:p>
    <w:p w:rsidR="00726956" w:rsidRDefault="00000000">
      <w:pPr>
        <w:spacing w:before="80" w:after="120"/>
        <w:jc w:val="both"/>
      </w:pPr>
      <w:r>
        <w:t>The second data stream is drawn from publicly available archives maintained by NASA: satellite-derived observation records, atmospheric modeling outputs, and derived geophysical datasets. These provide access to physical ground-truth information at planetary scale, with temporal baselines extending across decades.</w:t>
      </w:r>
    </w:p>
    <w:p w:rsidR="00726956" w:rsidRDefault="00726956">
      <w:pPr>
        <w:spacing w:before="60" w:after="60"/>
      </w:pPr>
    </w:p>
    <w:p w:rsidR="00726956" w:rsidRDefault="00000000">
      <w:pPr>
        <w:spacing w:before="80" w:after="120"/>
        <w:jc w:val="both"/>
      </w:pPr>
      <w:r>
        <w:t xml:space="preserve">The function of NASA data within the system is contextual and comparative. Where LiDAR tells the system what the local environment looks like in precise geometric detail, NASA data tells the system what is normal at this </w:t>
      </w:r>
      <w:r>
        <w:lastRenderedPageBreak/>
        <w:t>location, what has changed over time, and what the broader physical context of the local observation is. Together they provide a nested spatial frame: local geometry situated within planetary physical context.</w:t>
      </w:r>
    </w:p>
    <w:p w:rsidR="00726956" w:rsidRDefault="00726956">
      <w:pPr>
        <w:spacing w:before="60" w:after="60"/>
      </w:pPr>
    </w:p>
    <w:p w:rsidR="00726956" w:rsidRDefault="00000000">
      <w:pPr>
        <w:spacing w:before="80" w:after="120"/>
        <w:jc w:val="both"/>
      </w:pPr>
      <w:r>
        <w:t>For archaeological analysis, NASA datasets contribute temporal depth that neither LiDAR nor direct field observation can provide. Satellite-derived evidence of hydrological change, vegetation patterns, and geomorphological processes over decades provides the environmental frame within which site-specific symbolic stabilization evidence must be interpreted. A local pattern that is inconsistent with the planetary-scale physical record is flagged for additional scrutiny. A pattern consistent with that record receives proportionally higher evidential weight.</w:t>
      </w:r>
    </w:p>
    <w:p w:rsidR="00726956" w:rsidRDefault="00726956">
      <w:pPr>
        <w:spacing w:before="60" w:after="60"/>
      </w:pPr>
    </w:p>
    <w:p w:rsidR="00726956" w:rsidRDefault="00000000">
      <w:pPr>
        <w:pStyle w:val="Heading2"/>
      </w:pPr>
      <w:r>
        <w:t>3.3  The Field Companion Protocol</w:t>
      </w:r>
    </w:p>
    <w:p w:rsidR="00726956" w:rsidRDefault="00000000">
      <w:pPr>
        <w:spacing w:before="80" w:after="120"/>
        <w:jc w:val="both"/>
      </w:pPr>
      <w:r>
        <w:t>The third data stream is produced by a human operator using the Field Companion Protocol (FCP) — a structured scoring instrument deployed physically in the observational environment, grounded in the DSSM observable taxonomy.</w:t>
      </w:r>
    </w:p>
    <w:p w:rsidR="00726956" w:rsidRDefault="00726956">
      <w:pPr>
        <w:spacing w:before="60" w:after="60"/>
      </w:pPr>
    </w:p>
    <w:p w:rsidR="00726956" w:rsidRDefault="00000000">
      <w:pPr>
        <w:spacing w:before="80" w:after="120"/>
        <w:jc w:val="both"/>
      </w:pPr>
      <w:r>
        <w:t>The FCP is the system's most distinctive component and, in a significant sense, its most important one. Unlike LiDAR and NASA data, which are produced by automated physical instruments, the FCP is a human instrument: a disciplined protocol requiring a trained observer to engage directly with the field environment and encode their observations into a standardized six-dimension scoring format derived from DSSM theory.</w:t>
      </w:r>
    </w:p>
    <w:p w:rsidR="00726956" w:rsidRDefault="00726956">
      <w:pPr>
        <w:spacing w:before="60" w:after="60"/>
      </w:pPr>
    </w:p>
    <w:p w:rsidR="00726956" w:rsidRDefault="00000000">
      <w:pPr>
        <w:spacing w:before="200" w:after="80"/>
      </w:pPr>
      <w:r>
        <w:rPr>
          <w:b/>
          <w:bCs/>
          <w:i/>
          <w:iCs/>
          <w:color w:val="2E4A7A"/>
        </w:rPr>
        <w:t>3.3.1  The Six DSSM Observables</w:t>
      </w:r>
    </w:p>
    <w:p w:rsidR="00726956" w:rsidRDefault="00000000">
      <w:pPr>
        <w:spacing w:before="80" w:after="120"/>
        <w:jc w:val="both"/>
      </w:pPr>
      <w:r>
        <w:t>The FCP scores six distinct DSSM observables, each rated on a 0–2 scale. Each observable has a defined field translation — a concrete archaeological expression — and a defined detection method that specifies what the observer must look for and how to record it. The six dimensions are:</w:t>
      </w:r>
    </w:p>
    <w:p w:rsidR="00726956" w:rsidRDefault="00726956">
      <w:pPr>
        <w:spacing w:before="60" w:after="60"/>
      </w:pP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560"/>
        <w:gridCol w:w="2400"/>
        <w:gridCol w:w="2000"/>
      </w:tblGrid>
      <w:tr w:rsidR="00726956">
        <w:trPr>
          <w:tblHeader/>
        </w:trPr>
        <w:tc>
          <w:tcPr>
            <w:tcW w:w="24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DSSM Observable</w:t>
            </w:r>
          </w:p>
        </w:tc>
        <w:tc>
          <w:tcPr>
            <w:tcW w:w="256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Field Translation</w:t>
            </w:r>
          </w:p>
        </w:tc>
        <w:tc>
          <w:tcPr>
            <w:tcW w:w="24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Detection Method</w:t>
            </w:r>
          </w:p>
        </w:tc>
        <w:tc>
          <w:tcPr>
            <w:tcW w:w="20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Score (0–2)</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Mnemonic Architectures</w:t>
            </w:r>
          </w:p>
        </w:tc>
        <w:tc>
          <w:tcPr>
            <w:tcW w:w="25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Repeated spatial layouts; standardized tool morphologies; persistent feature reuse</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Map recurring spatial features; record tool morphometrics; note repeated feature types across layers</w:t>
            </w:r>
          </w:p>
        </w:tc>
        <w:tc>
          <w:tcPr>
            <w:tcW w:w="20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0 = None  1 = Partial  2 = Full</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t>Symbolic Stabilization</w:t>
            </w:r>
          </w:p>
        </w:tc>
        <w:tc>
          <w:tcPr>
            <w:tcW w:w="25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Decreased artifact variability over time despite technological change</w:t>
            </w:r>
          </w:p>
        </w:tc>
        <w:tc>
          <w:tcPr>
            <w:tcW w:w="24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Track artifact typologies; measure variation using coefficient of variation or count of forms</w:t>
            </w:r>
          </w:p>
        </w:tc>
        <w:tc>
          <w:tcPr>
            <w:tcW w:w="20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0 = None  1 = Partial  2 = Full</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Externalized Cognition</w:t>
            </w:r>
          </w:p>
        </w:tc>
        <w:tc>
          <w:tcPr>
            <w:tcW w:w="25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Durable marking systems; standardized notches; counting devices; calendrical artifacts</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Record tally marks, notched bones, inscriptions; check for standardization and portability</w:t>
            </w:r>
          </w:p>
        </w:tc>
        <w:tc>
          <w:tcPr>
            <w:tcW w:w="20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0 = None  1 = Partial  2 = Full</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t>Symbolic Regulation</w:t>
            </w:r>
          </w:p>
        </w:tc>
        <w:tc>
          <w:tcPr>
            <w:tcW w:w="25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Constraints on production or deposition overriding function</w:t>
            </w:r>
          </w:p>
        </w:tc>
        <w:tc>
          <w:tcPr>
            <w:tcW w:w="24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Identify artifacts or structures prioritizing form over utility; document rule-governed deposition</w:t>
            </w:r>
          </w:p>
        </w:tc>
        <w:tc>
          <w:tcPr>
            <w:tcW w:w="20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0 = None  1 = Partial  2 = Full</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Distributed Symbolic Authority</w:t>
            </w:r>
          </w:p>
        </w:tc>
        <w:tc>
          <w:tcPr>
            <w:tcW w:w="25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Recurrent symbolic practices across sites</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 xml:space="preserve">Map repeated ritual/domestic patterns; note redundancy in </w:t>
            </w:r>
            <w:r>
              <w:rPr>
                <w:sz w:val="20"/>
                <w:szCs w:val="20"/>
              </w:rPr>
              <w:lastRenderedPageBreak/>
              <w:t>placement and orientation</w:t>
            </w:r>
          </w:p>
        </w:tc>
        <w:tc>
          <w:tcPr>
            <w:tcW w:w="20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lastRenderedPageBreak/>
              <w:t>0 = None  1 = Partial  2 = Full</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t>Portable Symbolic Anchors</w:t>
            </w:r>
          </w:p>
        </w:tc>
        <w:tc>
          <w:tcPr>
            <w:tcW w:w="25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Objects functioning as symbols independent of structures</w:t>
            </w:r>
          </w:p>
        </w:tc>
        <w:tc>
          <w:tcPr>
            <w:tcW w:w="24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Trace standardized portable objects across sites and periods; record circulation patterns</w:t>
            </w:r>
          </w:p>
        </w:tc>
        <w:tc>
          <w:tcPr>
            <w:tcW w:w="20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0 = None  1 = Partial  2 = Full</w:t>
            </w:r>
          </w:p>
        </w:tc>
      </w:tr>
    </w:tbl>
    <w:p w:rsidR="00726956" w:rsidRDefault="00000000">
      <w:pPr>
        <w:spacing w:before="60" w:after="200"/>
        <w:jc w:val="center"/>
      </w:pPr>
      <w:r>
        <w:rPr>
          <w:i/>
          <w:iCs/>
          <w:color w:val="555555"/>
          <w:sz w:val="18"/>
          <w:szCs w:val="18"/>
        </w:rPr>
        <w:t>Table 1. The six FCP scoring dimensions: DSSM observable, field translation, detection method, and scoring scale.</w:t>
      </w:r>
    </w:p>
    <w:p w:rsidR="00726956" w:rsidRDefault="00000000">
      <w:pPr>
        <w:spacing w:before="80" w:after="120"/>
        <w:jc w:val="both"/>
      </w:pPr>
      <w:r>
        <w:t>The composite FCP score for a site or context is the sum across all six dimensions, yielding a maximum possible score of 12. This total is interpretable against known DSSM reference cases: Blombos Cave, for example, scores 12/12 — the first fully saturated symbolic system in the archaeological record. Sites scoring below 6 are typically in early-stage symbolic expression; sites scoring 8 or above exhibit strong stabilization indicators.</w:t>
      </w:r>
    </w:p>
    <w:p w:rsidR="00726956" w:rsidRDefault="00726956">
      <w:pPr>
        <w:spacing w:before="60" w:after="60"/>
      </w:pPr>
    </w:p>
    <w:p w:rsidR="00726956" w:rsidRDefault="00000000">
      <w:pPr>
        <w:spacing w:before="200" w:after="80"/>
      </w:pPr>
      <w:r>
        <w:rPr>
          <w:b/>
          <w:bCs/>
          <w:i/>
          <w:iCs/>
          <w:color w:val="2E4A7A"/>
        </w:rPr>
        <w:t>3.3.2  Why a Human Instrument</w:t>
      </w:r>
    </w:p>
    <w:p w:rsidR="00726956" w:rsidRDefault="00000000">
      <w:pPr>
        <w:spacing w:before="80" w:after="120"/>
        <w:jc w:val="both"/>
      </w:pPr>
      <w:r>
        <w:t>The tendency in data-driven systems is to treat human input as noise to be minimized — inconsistent, subjective, difficult to standardize. This stance is appropriate for some problems and entirely inappropriate for others. In complex archaeological field environments, the relevant signals include conditions that trained human perception can detect but that current sensing technology cannot reliably measure: the qualitative texture of depositional regularity, the contextual significance of object placement, the presence of rule-governed constraint in artifact production that is legible to expert eyes but not reducible to simple morphometric measurement.</w:t>
      </w:r>
    </w:p>
    <w:p w:rsidR="00726956" w:rsidRDefault="00726956">
      <w:pPr>
        <w:spacing w:before="60" w:after="60"/>
      </w:pPr>
    </w:p>
    <w:p w:rsidR="00726956" w:rsidRDefault="00000000">
      <w:pPr>
        <w:spacing w:before="80" w:after="120"/>
        <w:jc w:val="both"/>
      </w:pPr>
      <w:r>
        <w:t>The FCP is designed to make that signal formally legible to the AI pipeline while preserving its evidential value. The observer is not providing a free-form annotation. They are completing a structured protocol with defined detection rules, specific observables, and a consistent scoring scale. The output is directly digestible by the reasoning pipeline without complex preprocessing. And it anchors the analysis in the direct experience of a human witness — preserving the irreducibly personal epistemic contribution of expert field observation rather than eliminating it.</w:t>
      </w:r>
    </w:p>
    <w:p w:rsidR="00726956" w:rsidRDefault="00726956">
      <w:pPr>
        <w:spacing w:before="60" w:after="60"/>
      </w:pPr>
    </w:p>
    <w:p w:rsidR="00726956" w:rsidRDefault="00000000">
      <w:pPr>
        <w:spacing w:before="80" w:after="120"/>
        <w:jc w:val="both"/>
      </w:pPr>
      <w:r>
        <w:t>The FCP score is treated by the pipeline with the same evidential seriousness as the sensor-derived streams. It is not a soft annotation. It is a formal data input with defined semantics, and the pipeline reasons over it accordingly.</w:t>
      </w:r>
    </w:p>
    <w:p w:rsidR="00726956" w:rsidRDefault="00726956">
      <w:pPr>
        <w:spacing w:before="60" w:after="60"/>
      </w:pPr>
    </w:p>
    <w:p w:rsidR="00726956" w:rsidRDefault="00000000">
      <w:pPr>
        <w:pStyle w:val="Heading1"/>
      </w:pPr>
      <w:r>
        <w:t>4.  The AI Reasoning Pipeline</w:t>
      </w:r>
    </w:p>
    <w:p w:rsidR="00726956" w:rsidRDefault="00000000">
      <w:pPr>
        <w:pStyle w:val="Heading2"/>
      </w:pPr>
      <w:r>
        <w:t>4.1  Design Principles</w:t>
      </w:r>
    </w:p>
    <w:p w:rsidR="00726956" w:rsidRDefault="00000000">
      <w:pPr>
        <w:spacing w:before="80" w:after="120"/>
        <w:jc w:val="both"/>
      </w:pPr>
      <w:r>
        <w:t>The AI reasoning layer is built on Anthropic's Claude large language model, accessed via API. The choice reflects specific requirements for archaeological symbolic analysis: the ability to reason over multi-modal and multi-source inputs, to maintain complex contextual coherence across a long reasoning chain, to apply domain knowledge about symbolic stabilization patterns to empirical field data, and to produce outputs that are calibrated, auditable, and appropriately hedged about uncertainty.</w:t>
      </w:r>
    </w:p>
    <w:p w:rsidR="00726956" w:rsidRDefault="00726956">
      <w:pPr>
        <w:spacing w:before="60" w:after="60"/>
      </w:pPr>
    </w:p>
    <w:p w:rsidR="00726956" w:rsidRDefault="00000000">
      <w:pPr>
        <w:spacing w:before="80" w:after="120"/>
        <w:jc w:val="both"/>
      </w:pPr>
      <w:r>
        <w:t>The pipeline is not a single inference call. It is a structured sequence of seven distinct reasoning stages, each performing a specific cognitive operation on the inputs it receives and passing its outputs to the next stage. This staged design reflects a core architectural commitment: reliable analytical conclusions about complex archaeological phenomena cannot be produced by any single act of inference, however capable the underlying model. Reliability requires iteration, challenge, and synthesis across multiple distinct reasoning perspectives.</w:t>
      </w:r>
    </w:p>
    <w:p w:rsidR="00726956" w:rsidRDefault="00726956">
      <w:pPr>
        <w:spacing w:before="60" w:after="60"/>
      </w:pPr>
    </w:p>
    <w:p w:rsidR="00726956" w:rsidRDefault="00000000">
      <w:pPr>
        <w:spacing w:before="80" w:after="120"/>
        <w:jc w:val="both"/>
      </w:pPr>
      <w:r>
        <w:t>Each stage has a defined function, a defined input, and a defined output format. This specification is what makes the pipeline auditable: at any point, an operator can inspect the output of any stage and assess whether it is performing its function correctly. The system is not a black box with a conclusion at the end. It is a transparent reasoning chain in which each step is visible and assessable.</w:t>
      </w:r>
    </w:p>
    <w:p w:rsidR="00726956" w:rsidRDefault="00726956">
      <w:pPr>
        <w:spacing w:before="60" w:after="60"/>
      </w:pPr>
    </w:p>
    <w:p w:rsidR="00726956" w:rsidRDefault="00000000">
      <w:pPr>
        <w:pStyle w:val="Heading2"/>
      </w:pPr>
      <w:r>
        <w:t>4.2  Pipeline Stages</w:t>
      </w: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1800"/>
        <w:gridCol w:w="2200"/>
        <w:gridCol w:w="2260"/>
        <w:gridCol w:w="2600"/>
      </w:tblGrid>
      <w:tr w:rsidR="00726956">
        <w:trPr>
          <w:tblHeader/>
        </w:trPr>
        <w:tc>
          <w:tcPr>
            <w:tcW w:w="5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w:t>
            </w:r>
          </w:p>
        </w:tc>
        <w:tc>
          <w:tcPr>
            <w:tcW w:w="18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Stage</w:t>
            </w:r>
          </w:p>
        </w:tc>
        <w:tc>
          <w:tcPr>
            <w:tcW w:w="22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Function</w:t>
            </w:r>
          </w:p>
        </w:tc>
        <w:tc>
          <w:tcPr>
            <w:tcW w:w="226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Input</w:t>
            </w:r>
          </w:p>
        </w:tc>
        <w:tc>
          <w:tcPr>
            <w:tcW w:w="26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Output</w:t>
            </w:r>
          </w:p>
        </w:tc>
      </w:tr>
      <w:tr w:rsidR="00726956">
        <w:tc>
          <w:tcPr>
            <w:tcW w:w="5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1</w:t>
            </w:r>
          </w:p>
        </w:tc>
        <w:tc>
          <w:tcPr>
            <w:tcW w:w="18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i/>
                <w:iCs/>
                <w:sz w:val="20"/>
                <w:szCs w:val="20"/>
              </w:rPr>
              <w:t>Contextualization</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Integrate all three data streams into a unified observational representation</w:t>
            </w:r>
          </w:p>
        </w:tc>
        <w:tc>
          <w:tcPr>
            <w:tcW w:w="22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LiDAR summary, NASA extracts, FCP score</w:t>
            </w:r>
          </w:p>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Working picture of the site/environment</w:t>
            </w:r>
          </w:p>
        </w:tc>
      </w:tr>
      <w:tr w:rsidR="00726956">
        <w:tc>
          <w:tcPr>
            <w:tcW w:w="5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t>2</w:t>
            </w:r>
          </w:p>
        </w:tc>
        <w:tc>
          <w:tcPr>
            <w:tcW w:w="18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i/>
                <w:iCs/>
                <w:sz w:val="20"/>
                <w:szCs w:val="20"/>
              </w:rPr>
              <w:t>Analysis</w:t>
            </w:r>
          </w:p>
        </w:tc>
        <w:tc>
          <w:tcPr>
            <w:tcW w:w="22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Apply DSSM domain knowledge; identify patterns, anomalies, and structures of interpretive significance</w:t>
            </w:r>
          </w:p>
        </w:tc>
        <w:tc>
          <w:tcPr>
            <w:tcW w:w="22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Contextualized representation</w:t>
            </w:r>
          </w:p>
        </w:tc>
        <w:tc>
          <w:tcPr>
            <w:tcW w:w="26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Primary pattern analysis and hypotheses</w:t>
            </w:r>
          </w:p>
        </w:tc>
      </w:tr>
      <w:tr w:rsidR="00726956">
        <w:tc>
          <w:tcPr>
            <w:tcW w:w="5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3</w:t>
            </w:r>
          </w:p>
        </w:tc>
        <w:tc>
          <w:tcPr>
            <w:tcW w:w="18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i/>
                <w:iCs/>
                <w:sz w:val="20"/>
                <w:szCs w:val="20"/>
              </w:rPr>
              <w:t>Adversarial Challenge</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Systematically challenge the analysis: logical gaps, evidential inconsistencies, alternative interpretations</w:t>
            </w:r>
          </w:p>
        </w:tc>
        <w:tc>
          <w:tcPr>
            <w:tcW w:w="22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Stage 2 analysis</w:t>
            </w:r>
          </w:p>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Structured critique — not a revision, a challenge</w:t>
            </w:r>
          </w:p>
        </w:tc>
      </w:tr>
      <w:tr w:rsidR="00726956">
        <w:tc>
          <w:tcPr>
            <w:tcW w:w="5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t>4</w:t>
            </w:r>
          </w:p>
        </w:tc>
        <w:tc>
          <w:tcPr>
            <w:tcW w:w="18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i/>
                <w:iCs/>
                <w:sz w:val="20"/>
                <w:szCs w:val="20"/>
              </w:rPr>
              <w:t>Synthesis</w:t>
            </w:r>
          </w:p>
        </w:tc>
        <w:tc>
          <w:tcPr>
            <w:tcW w:w="22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Weigh analysis against challenge; produce revised, more robust analytical judgment</w:t>
            </w:r>
          </w:p>
        </w:tc>
        <w:tc>
          <w:tcPr>
            <w:tcW w:w="22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Analysis + adversarial critique</w:t>
            </w:r>
          </w:p>
        </w:tc>
        <w:tc>
          <w:tcPr>
            <w:tcW w:w="26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Primary analytical conclusion</w:t>
            </w:r>
          </w:p>
        </w:tc>
      </w:tr>
      <w:tr w:rsidR="00726956">
        <w:tc>
          <w:tcPr>
            <w:tcW w:w="5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5</w:t>
            </w:r>
          </w:p>
        </w:tc>
        <w:tc>
          <w:tcPr>
            <w:tcW w:w="18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i/>
                <w:iCs/>
                <w:sz w:val="20"/>
                <w:szCs w:val="20"/>
              </w:rPr>
              <w:t>Quality Assessment</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Evaluate conclusion against epistemic criteria: data consistency, calibration, precision, evidential boundary</w:t>
            </w:r>
          </w:p>
        </w:tc>
        <w:tc>
          <w:tcPr>
            <w:tcW w:w="22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Synthesized conclusion</w:t>
            </w:r>
          </w:p>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Reliability assessment — not a revision</w:t>
            </w:r>
          </w:p>
        </w:tc>
      </w:tr>
      <w:tr w:rsidR="00726956">
        <w:tc>
          <w:tcPr>
            <w:tcW w:w="5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t>6</w:t>
            </w:r>
          </w:p>
        </w:tc>
        <w:tc>
          <w:tcPr>
            <w:tcW w:w="18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i/>
                <w:iCs/>
                <w:sz w:val="20"/>
                <w:szCs w:val="20"/>
              </w:rPr>
              <w:t>Gate Decision</w:t>
            </w:r>
          </w:p>
        </w:tc>
        <w:tc>
          <w:tcPr>
            <w:tcW w:w="22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Binary: does the analysis meet output standard? Proceed or return with specific revision instructions</w:t>
            </w:r>
          </w:p>
        </w:tc>
        <w:tc>
          <w:tcPr>
            <w:tcW w:w="22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Quality assessment</w:t>
            </w:r>
          </w:p>
        </w:tc>
        <w:tc>
          <w:tcPr>
            <w:tcW w:w="26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Proceed to output, or loop to earlier stage</w:t>
            </w:r>
          </w:p>
        </w:tc>
      </w:tr>
      <w:tr w:rsidR="00726956">
        <w:tc>
          <w:tcPr>
            <w:tcW w:w="5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7</w:t>
            </w:r>
          </w:p>
        </w:tc>
        <w:tc>
          <w:tcPr>
            <w:tcW w:w="18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i/>
                <w:iCs/>
                <w:sz w:val="20"/>
                <w:szCs w:val="20"/>
              </w:rPr>
              <w:t>Final Synthesis</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Produce unified structured analytical deliverable; may aggregate parallel AI reasoning sources</w:t>
            </w:r>
          </w:p>
        </w:tc>
        <w:tc>
          <w:tcPr>
            <w:tcW w:w="22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All prior stages</w:t>
            </w:r>
          </w:p>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Operator-facing output report</w:t>
            </w:r>
          </w:p>
        </w:tc>
      </w:tr>
    </w:tbl>
    <w:p w:rsidR="00726956" w:rsidRDefault="00000000">
      <w:pPr>
        <w:spacing w:before="60" w:after="200"/>
        <w:jc w:val="center"/>
      </w:pPr>
      <w:r>
        <w:rPr>
          <w:i/>
          <w:iCs/>
          <w:color w:val="555555"/>
          <w:sz w:val="18"/>
          <w:szCs w:val="18"/>
        </w:rPr>
        <w:t>Table 2. The seven-stage AI reasoning pipeline: function, input, and output at each stage.</w:t>
      </w:r>
    </w:p>
    <w:p w:rsidR="00726956" w:rsidRDefault="00000000">
      <w:pPr>
        <w:spacing w:before="200" w:after="80"/>
      </w:pPr>
      <w:r>
        <w:rPr>
          <w:b/>
          <w:bCs/>
          <w:i/>
          <w:iCs/>
          <w:color w:val="2E4A7A"/>
        </w:rPr>
        <w:t>4.2.1  Phase One — Contextualization</w:t>
      </w:r>
    </w:p>
    <w:p w:rsidR="00726956" w:rsidRDefault="00000000">
      <w:pPr>
        <w:spacing w:before="80" w:after="120"/>
        <w:jc w:val="both"/>
      </w:pPr>
      <w:r>
        <w:t xml:space="preserve">The first stage receives the raw inputs — the LiDAR summary, the NASA dataset extracts, and the FCP score across its six dimensions — and constructs a unified initial representation of the observational context. Its function is integrative, not analytical. It does not draw conclusions; it establishes a coherent shared description </w:t>
      </w:r>
      <w:r>
        <w:lastRenderedPageBreak/>
        <w:t>of the situation that all subsequent stages will reason over. The output is the system's working picture of the site and its observational environment.</w:t>
      </w:r>
    </w:p>
    <w:p w:rsidR="00726956" w:rsidRDefault="00726956">
      <w:pPr>
        <w:spacing w:before="60" w:after="60"/>
      </w:pPr>
    </w:p>
    <w:p w:rsidR="00726956" w:rsidRDefault="00000000">
      <w:pPr>
        <w:spacing w:before="200" w:after="80"/>
      </w:pPr>
      <w:r>
        <w:rPr>
          <w:b/>
          <w:bCs/>
          <w:i/>
          <w:iCs/>
          <w:color w:val="2E4A7A"/>
        </w:rPr>
        <w:t>4.2.2  Phase Two — Analysis and Challenge</w:t>
      </w:r>
    </w:p>
    <w:p w:rsidR="00726956" w:rsidRDefault="00000000">
      <w:pPr>
        <w:spacing w:before="80" w:after="120"/>
        <w:jc w:val="both"/>
      </w:pPr>
      <w:r>
        <w:t>The second stage applies DSSM domain knowledge to the contextualized inputs, identifying patterns, anomalies, and structures of interpretive significance. This is the system's primary analytical stage — where pattern recognition and hypothesis formation occur. The stage draws on the full DSSM theoretical framework to assess what the combined evidence suggests about the site's symbolic stabilization status, stage classification, and observable characteristics.</w:t>
      </w:r>
    </w:p>
    <w:p w:rsidR="00726956" w:rsidRDefault="00726956">
      <w:pPr>
        <w:spacing w:before="60" w:after="60"/>
      </w:pPr>
    </w:p>
    <w:p w:rsidR="00726956" w:rsidRDefault="00000000">
      <w:pPr>
        <w:spacing w:before="80" w:after="120"/>
        <w:jc w:val="both"/>
      </w:pPr>
      <w:r>
        <w:t>The third stage performs an adversarial function. It receives the second stage's analysis and systematically challenges it — identifying logical gaps, evidential inconsistencies, alternative explanations that the initial framing made difficult to see, and over-confident inferences. This stage does not produce a revised conclusion. It produces a critique. Its function is to ensure that the system's eventual conclusions have survived serious challenge before being adopted. This is the stage that distinguishes the pipeline from a conventional chain-of-thought prompt: it introduces genuine epistemic friction rather than rhetorical elaboration.</w:t>
      </w:r>
    </w:p>
    <w:p w:rsidR="00726956" w:rsidRDefault="00726956">
      <w:pPr>
        <w:spacing w:before="60" w:after="60"/>
      </w:pPr>
    </w:p>
    <w:p w:rsidR="00726956" w:rsidRDefault="00000000">
      <w:pPr>
        <w:spacing w:before="80" w:after="120"/>
        <w:jc w:val="both"/>
      </w:pPr>
      <w:r>
        <w:t>The fourth stage synthesizes the analysis and the critique, weighing the force of each challenge against the evidence supporting the original interpretation and producing a revised, more robust analytical judgment. The output of this stage is the system's primary analytical conclusion — the best current interpretation of the site's observational situation given all available evidence and the challenges that evidence has survived.</w:t>
      </w:r>
    </w:p>
    <w:p w:rsidR="00726956" w:rsidRDefault="00726956">
      <w:pPr>
        <w:spacing w:before="60" w:after="60"/>
      </w:pPr>
    </w:p>
    <w:p w:rsidR="00726956" w:rsidRDefault="00000000">
      <w:pPr>
        <w:spacing w:before="200" w:after="80"/>
      </w:pPr>
      <w:r>
        <w:rPr>
          <w:b/>
          <w:bCs/>
          <w:i/>
          <w:iCs/>
          <w:color w:val="2E4A7A"/>
        </w:rPr>
        <w:t>4.2.3  Phase Three — Validation and Output</w:t>
      </w:r>
    </w:p>
    <w:p w:rsidR="00726956" w:rsidRDefault="00000000">
      <w:pPr>
        <w:spacing w:before="80" w:after="120"/>
        <w:jc w:val="both"/>
      </w:pPr>
      <w:r>
        <w:t>The fifth stage conducts a quality assessment of the synthesized conclusion. It evaluates the conclusion against a set of epistemic criteria: Is it consistent with all three data streams? Are its uncertainty claims appropriately calibrated? Are its terms precisely defined? Does it exceed what the evidence supports? The output is not a revision of the conclusion but an assessment of its reliability.</w:t>
      </w:r>
    </w:p>
    <w:p w:rsidR="00726956" w:rsidRDefault="00726956">
      <w:pPr>
        <w:spacing w:before="60" w:after="60"/>
      </w:pPr>
    </w:p>
    <w:p w:rsidR="00726956" w:rsidRDefault="00000000">
      <w:pPr>
        <w:spacing w:before="80" w:after="120"/>
        <w:jc w:val="both"/>
      </w:pPr>
      <w:r>
        <w:t>The sixth stage makes a binary judgment: does the analysis meet the system's output standard, or does it require revision? If the analysis does not meet the standard, the pipeline returns to an earlier stage with specific instructions for improvement. If it does, the pipeline proceeds. This gate is the structural equivalent of the FCP's requirement for evidential sufficiency before scoring — a threshold below which the system will not produce a conclusion.</w:t>
      </w:r>
    </w:p>
    <w:p w:rsidR="00726956" w:rsidRDefault="00726956">
      <w:pPr>
        <w:spacing w:before="60" w:after="60"/>
      </w:pPr>
    </w:p>
    <w:p w:rsidR="00726956" w:rsidRDefault="00000000">
      <w:pPr>
        <w:spacing w:before="80" w:after="120"/>
        <w:jc w:val="both"/>
      </w:pPr>
      <w:r>
        <w:t>The seventh and final stage produces the system's output: a unified, fully integrated analytical deliverable drawing together all prior stages into a coherent structured report. This stage may also consult additional independent AI reasoning sources in parallel, aggregating their perspectives into the final synthesis. The output of this stage is what the operator receives.</w:t>
      </w:r>
    </w:p>
    <w:p w:rsidR="00726956" w:rsidRDefault="00726956">
      <w:pPr>
        <w:spacing w:before="60" w:after="60"/>
      </w:pPr>
    </w:p>
    <w:p w:rsidR="00726956" w:rsidRDefault="00000000">
      <w:pPr>
        <w:pStyle w:val="Heading2"/>
      </w:pPr>
      <w:r>
        <w:t>4.3  Auditability</w:t>
      </w:r>
    </w:p>
    <w:p w:rsidR="00726956" w:rsidRDefault="00000000">
      <w:pPr>
        <w:spacing w:before="80" w:after="120"/>
        <w:jc w:val="both"/>
      </w:pPr>
      <w:r>
        <w:t>Every stage of the pipeline produces a logged output. The operator can inspect the full reasoning chain that produced the final deliverable — seeing not only the conclusion but the intermediate analytical steps, the challenges raised by the adversarial stage, the judgments made about those challenges, and the quality assessment that preceded the final output. This is a deliberate design choice. A system that produces archaeological conclusions without exposing its reasoning is not useful for high-stakes field analysis, where the operator needs to assess not only what the system concluded but whether to trust it and why.</w:t>
      </w:r>
    </w:p>
    <w:p w:rsidR="00726956" w:rsidRDefault="00726956">
      <w:pPr>
        <w:spacing w:before="60" w:after="60"/>
      </w:pPr>
    </w:p>
    <w:p w:rsidR="00726956" w:rsidRDefault="00000000">
      <w:pPr>
        <w:pStyle w:val="Heading1"/>
      </w:pPr>
      <w:r>
        <w:lastRenderedPageBreak/>
        <w:t>5.  Integration Logic</w:t>
      </w:r>
    </w:p>
    <w:p w:rsidR="00726956" w:rsidRDefault="00000000">
      <w:pPr>
        <w:spacing w:before="80" w:after="120"/>
        <w:jc w:val="both"/>
      </w:pPr>
      <w:r>
        <w:t>The three data streams and the AI reasoning pipeline are integrated according to a defined logic governing how each stream contributes to the pipeline's reasoning.</w:t>
      </w:r>
    </w:p>
    <w:p w:rsidR="00726956" w:rsidRDefault="00726956">
      <w:pPr>
        <w:spacing w:before="60" w:after="60"/>
      </w:pP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000"/>
        <w:gridCol w:w="2760"/>
        <w:gridCol w:w="2800"/>
      </w:tblGrid>
      <w:tr w:rsidR="00726956">
        <w:trPr>
          <w:tblHeader/>
        </w:trPr>
        <w:tc>
          <w:tcPr>
            <w:tcW w:w="18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Stream</w:t>
            </w:r>
          </w:p>
        </w:tc>
        <w:tc>
          <w:tcPr>
            <w:tcW w:w="20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Source</w:t>
            </w:r>
          </w:p>
        </w:tc>
        <w:tc>
          <w:tcPr>
            <w:tcW w:w="276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Epistemic Function</w:t>
            </w:r>
          </w:p>
        </w:tc>
        <w:tc>
          <w:tcPr>
            <w:tcW w:w="28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What it Cannot Provide</w:t>
            </w:r>
          </w:p>
        </w:tc>
      </w:tr>
      <w:tr w:rsidR="00726956">
        <w:tc>
          <w:tcPr>
            <w:tcW w:w="18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LiDAR</w:t>
            </w:r>
          </w:p>
        </w:tc>
        <w:tc>
          <w:tcPr>
            <w:tcW w:w="20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Ground / airborne sensor</w:t>
            </w:r>
          </w:p>
        </w:tc>
        <w:tc>
          <w:tcPr>
            <w:tcW w:w="27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Constrains — defines geometric boundary conditions all other reasoning must satisfy</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Contextual physical history; human observational signal</w:t>
            </w:r>
          </w:p>
        </w:tc>
      </w:tr>
      <w:tr w:rsidR="00726956">
        <w:tc>
          <w:tcPr>
            <w:tcW w:w="18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t>NASA Datasets</w:t>
            </w:r>
          </w:p>
        </w:tc>
        <w:tc>
          <w:tcPr>
            <w:tcW w:w="20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Satellite archives</w:t>
            </w:r>
          </w:p>
        </w:tc>
        <w:tc>
          <w:tcPr>
            <w:tcW w:w="27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Contextualizes — provides planetary baseline against which local observations are assessed</w:t>
            </w:r>
          </w:p>
        </w:tc>
        <w:tc>
          <w:tcPr>
            <w:tcW w:w="28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Local geometric precision; direct field signal</w:t>
            </w:r>
          </w:p>
        </w:tc>
      </w:tr>
      <w:tr w:rsidR="00726956">
        <w:tc>
          <w:tcPr>
            <w:tcW w:w="18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Field Companion Protocol</w:t>
            </w:r>
          </w:p>
        </w:tc>
        <w:tc>
          <w:tcPr>
            <w:tcW w:w="20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Trained human observer</w:t>
            </w:r>
          </w:p>
        </w:tc>
        <w:tc>
          <w:tcPr>
            <w:tcW w:w="27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Grounds — anchors analysis in the direct observational reality of the field environment</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Remote or retrospective coverage; automated replication</w:t>
            </w:r>
          </w:p>
        </w:tc>
      </w:tr>
    </w:tbl>
    <w:p w:rsidR="00726956" w:rsidRDefault="00000000">
      <w:pPr>
        <w:spacing w:before="60" w:after="200"/>
        <w:jc w:val="center"/>
      </w:pPr>
      <w:r>
        <w:rPr>
          <w:i/>
          <w:iCs/>
          <w:color w:val="555555"/>
          <w:sz w:val="18"/>
          <w:szCs w:val="18"/>
        </w:rPr>
        <w:t>Table 3. The three data streams: epistemic function and what each stream cannot provide.</w:t>
      </w:r>
    </w:p>
    <w:p w:rsidR="00726956" w:rsidRDefault="00726956">
      <w:pPr>
        <w:spacing w:before="60" w:after="60"/>
      </w:pPr>
    </w:p>
    <w:p w:rsidR="00726956" w:rsidRDefault="00000000">
      <w:pPr>
        <w:spacing w:before="80" w:after="120"/>
        <w:jc w:val="both"/>
      </w:pPr>
      <w:r>
        <w:t>These three roles — constraining, contextualizing, grounding — are genuinely complementary and genuinely non-substitutable. No two of them can replace the third.</w:t>
      </w:r>
    </w:p>
    <w:p w:rsidR="00726956" w:rsidRDefault="00726956">
      <w:pPr>
        <w:spacing w:before="60" w:after="60"/>
      </w:pPr>
    </w:p>
    <w:p w:rsidR="00726956" w:rsidRDefault="00000000">
      <w:pPr>
        <w:spacing w:before="80" w:after="120"/>
        <w:jc w:val="both"/>
      </w:pPr>
      <w:r>
        <w:t>A system without LiDAR has no reliable geometric constraint: its spatial reasoning operates without a physical reality check and cannot detect the landscape-level architectural signatures that LiDAR makes visible. A system without NASA data has no temporal or planetary context: it cannot assess whether observed conditions are anomalous relative to the historical physical record, or place local findings within the geomorphological frame that shapes site formation. A system without the FCP has no direct human field signal: it can reason over sensor data but cannot incorporate the qualitative observational content that trained expert perception provides and that no current automated sensing technology can reliably replace.</w:t>
      </w:r>
    </w:p>
    <w:p w:rsidR="00726956" w:rsidRDefault="00726956">
      <w:pPr>
        <w:spacing w:before="60" w:after="60"/>
      </w:pPr>
    </w:p>
    <w:p w:rsidR="00726956" w:rsidRDefault="00000000">
      <w:pPr>
        <w:spacing w:before="80" w:after="120"/>
        <w:jc w:val="both"/>
      </w:pPr>
      <w:r>
        <w:t>The system's reliability depends on all three being present and of sufficient quality. Where any stream is absent or of insufficient quality, the system makes this explicit and adjusts its output confidence accordingly rather than proceeding as if the missing stream were negligible.</w:t>
      </w:r>
    </w:p>
    <w:p w:rsidR="00726956" w:rsidRDefault="00726956">
      <w:pPr>
        <w:spacing w:before="60" w:after="60"/>
      </w:pPr>
    </w:p>
    <w:p w:rsidR="00726956" w:rsidRDefault="00000000">
      <w:pPr>
        <w:pStyle w:val="Heading1"/>
      </w:pPr>
      <w:r>
        <w:t>6.  Output Characteristics</w:t>
      </w:r>
    </w:p>
    <w:p w:rsidR="00726956" w:rsidRDefault="00000000">
      <w:pPr>
        <w:spacing w:before="80" w:after="120"/>
        <w:jc w:val="both"/>
      </w:pPr>
      <w:r>
        <w:t>The system's outputs are designed with properties that distinguish them from conventional analytical tools and that are specifically calibrated to the requirements of high-stakes archaeological field analysis.</w:t>
      </w:r>
    </w:p>
    <w:p w:rsidR="00726956" w:rsidRDefault="00726956">
      <w:pPr>
        <w:spacing w:before="60" w:after="60"/>
      </w:pP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360"/>
        <w:gridCol w:w="3600"/>
      </w:tblGrid>
      <w:tr w:rsidR="00726956">
        <w:trPr>
          <w:tblHeader/>
        </w:trPr>
        <w:tc>
          <w:tcPr>
            <w:tcW w:w="24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Output Property</w:t>
            </w:r>
          </w:p>
        </w:tc>
        <w:tc>
          <w:tcPr>
            <w:tcW w:w="336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Definition</w:t>
            </w:r>
          </w:p>
        </w:tc>
        <w:tc>
          <w:tcPr>
            <w:tcW w:w="3600" w:type="dxa"/>
            <w:tcBorders>
              <w:top w:val="single" w:sz="1" w:space="0" w:color="AABBCC"/>
              <w:left w:val="single" w:sz="1" w:space="0" w:color="AABBCC"/>
              <w:bottom w:val="single" w:sz="1" w:space="0" w:color="AABBCC"/>
              <w:right w:val="single" w:sz="1" w:space="0" w:color="AABBCC"/>
            </w:tcBorders>
            <w:shd w:val="clear" w:color="auto" w:fill="1A2A4A"/>
            <w:tcMar>
              <w:top w:w="100" w:type="dxa"/>
              <w:left w:w="130" w:type="dxa"/>
              <w:bottom w:w="100" w:type="dxa"/>
              <w:right w:w="130" w:type="dxa"/>
            </w:tcMar>
            <w:vAlign w:val="center"/>
          </w:tcPr>
          <w:p w:rsidR="00726956" w:rsidRDefault="00000000">
            <w:r>
              <w:rPr>
                <w:b/>
                <w:bCs/>
                <w:color w:val="FFFFFF"/>
                <w:sz w:val="20"/>
                <w:szCs w:val="20"/>
              </w:rPr>
              <w:t>Design Rationale</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Calibrated uncertainty</w:t>
            </w:r>
          </w:p>
        </w:tc>
        <w:tc>
          <w:tcPr>
            <w:tcW w:w="33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Every conclusion includes explicit confidence level, evidential basis, and revision conditions</w:t>
            </w:r>
          </w:p>
        </w:tc>
        <w:tc>
          <w:tcPr>
            <w:tcW w:w="36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High-stakes field analysis requires the operator to know not only what the system concluded but how much to trust it</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lastRenderedPageBreak/>
              <w:t>Source attribution</w:t>
            </w:r>
          </w:p>
        </w:tc>
        <w:tc>
          <w:tcPr>
            <w:tcW w:w="33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Every conclusion traceable to the data stream(s) that primarily support it</w:t>
            </w:r>
          </w:p>
        </w:tc>
        <w:tc>
          <w:tcPr>
            <w:tcW w:w="36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Identifies where additional data collection would most improve the analysis; enables targeted follow-up</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Structured format</w:t>
            </w:r>
          </w:p>
        </w:tc>
        <w:tc>
          <w:tcPr>
            <w:tcW w:w="33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Output follows a defined structure allowing systematic comparison across analyses</w:t>
            </w:r>
          </w:p>
        </w:tc>
        <w:tc>
          <w:tcPr>
            <w:tcW w:w="36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Enables integration into downstream workflows; supports operator review against defined standards</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b/>
                <w:bCs/>
                <w:sz w:val="20"/>
                <w:szCs w:val="20"/>
              </w:rPr>
              <w:t>Auditable reasoning chain</w:t>
            </w:r>
          </w:p>
        </w:tc>
        <w:tc>
          <w:tcPr>
            <w:tcW w:w="336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Every pipeline stage produces a logged output inspectable by the operator</w:t>
            </w:r>
          </w:p>
        </w:tc>
        <w:tc>
          <w:tcPr>
            <w:tcW w:w="3600" w:type="dxa"/>
            <w:tcBorders>
              <w:top w:val="single" w:sz="1" w:space="0" w:color="AABBCC"/>
              <w:left w:val="single" w:sz="1" w:space="0" w:color="AABBCC"/>
              <w:bottom w:val="single" w:sz="1" w:space="0" w:color="AABBCC"/>
              <w:right w:val="single" w:sz="1" w:space="0" w:color="AABBCC"/>
            </w:tcBorders>
            <w:shd w:val="clear" w:color="auto" w:fill="F0F4FA"/>
            <w:tcMar>
              <w:top w:w="80" w:type="dxa"/>
              <w:left w:w="130" w:type="dxa"/>
              <w:bottom w:w="80" w:type="dxa"/>
              <w:right w:w="130" w:type="dxa"/>
            </w:tcMar>
            <w:vAlign w:val="center"/>
          </w:tcPr>
          <w:p w:rsidR="00726956" w:rsidRDefault="00000000">
            <w:r>
              <w:rPr>
                <w:sz w:val="20"/>
                <w:szCs w:val="20"/>
              </w:rPr>
              <w:t>A system that produces conclusions without exposing reasoning is not usable for high-stakes analysis</w:t>
            </w:r>
          </w:p>
        </w:tc>
      </w:tr>
      <w:tr w:rsidR="00726956">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b/>
                <w:bCs/>
                <w:sz w:val="20"/>
                <w:szCs w:val="20"/>
              </w:rPr>
              <w:t>Explicit data sufficiency threshold</w:t>
            </w:r>
          </w:p>
        </w:tc>
        <w:tc>
          <w:tcPr>
            <w:tcW w:w="336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Where data is insufficient for a conclusion at required confidence, the system says so and specifies what is needed</w:t>
            </w:r>
          </w:p>
        </w:tc>
        <w:tc>
          <w:tcPr>
            <w:tcW w:w="3600" w:type="dxa"/>
            <w:tcBorders>
              <w:top w:val="single" w:sz="1" w:space="0" w:color="AABBCC"/>
              <w:left w:val="single" w:sz="1" w:space="0" w:color="AABBCC"/>
              <w:bottom w:val="single" w:sz="1" w:space="0" w:color="AABBCC"/>
              <w:right w:val="single" w:sz="1" w:space="0" w:color="AABBCC"/>
            </w:tcBorders>
            <w:shd w:val="clear" w:color="auto" w:fill="FFFFFF"/>
            <w:tcMar>
              <w:top w:w="80" w:type="dxa"/>
              <w:left w:w="130" w:type="dxa"/>
              <w:bottom w:w="80" w:type="dxa"/>
              <w:right w:w="130" w:type="dxa"/>
            </w:tcMar>
            <w:vAlign w:val="center"/>
          </w:tcPr>
          <w:p w:rsidR="00726956" w:rsidRDefault="00000000">
            <w:r>
              <w:rPr>
                <w:sz w:val="20"/>
                <w:szCs w:val="20"/>
              </w:rPr>
              <w:t>Produces calibrated uncertainty rather than spuriously confident outputs when evidence is thin</w:t>
            </w:r>
          </w:p>
        </w:tc>
      </w:tr>
    </w:tbl>
    <w:p w:rsidR="00726956" w:rsidRDefault="00000000">
      <w:pPr>
        <w:spacing w:before="60" w:after="200"/>
        <w:jc w:val="center"/>
      </w:pPr>
      <w:r>
        <w:rPr>
          <w:i/>
          <w:iCs/>
          <w:color w:val="555555"/>
          <w:sz w:val="18"/>
          <w:szCs w:val="18"/>
        </w:rPr>
        <w:t>Table 4. Output properties, definitions, and design rationale.</w:t>
      </w:r>
    </w:p>
    <w:p w:rsidR="00726956" w:rsidRDefault="00726956">
      <w:pPr>
        <w:spacing w:before="60" w:after="60"/>
      </w:pPr>
    </w:p>
    <w:p w:rsidR="00726956" w:rsidRDefault="00000000">
      <w:pPr>
        <w:pStyle w:val="Heading1"/>
      </w:pPr>
      <w:r>
        <w:t>7.  Discussion</w:t>
      </w:r>
    </w:p>
    <w:p w:rsidR="00726956" w:rsidRDefault="00000000">
      <w:pPr>
        <w:pStyle w:val="Heading2"/>
      </w:pPr>
      <w:r>
        <w:t>7.1  Why a Sequential Pipeline Rather Than a Single Inference</w:t>
      </w:r>
    </w:p>
    <w:p w:rsidR="00726956" w:rsidRDefault="00000000">
      <w:pPr>
        <w:spacing w:before="80" w:after="120"/>
        <w:jc w:val="both"/>
      </w:pPr>
      <w:r>
        <w:t>The most common alternative to a staged pipeline is a single large inference call in which all inputs are provided simultaneously and a conclusion is requested directly. This approach is simpler to implement and often produces adequate results on simple analytical tasks. For the class of problems the Eye of Horus addresses, it is insufficient.</w:t>
      </w:r>
    </w:p>
    <w:p w:rsidR="00726956" w:rsidRDefault="00726956">
      <w:pPr>
        <w:spacing w:before="60" w:after="60"/>
      </w:pPr>
    </w:p>
    <w:p w:rsidR="00726956" w:rsidRDefault="00000000">
      <w:pPr>
        <w:spacing w:before="80" w:after="120"/>
        <w:jc w:val="both"/>
      </w:pPr>
      <w:r>
        <w:t>The reason is structural: single-inference systems have no internal mechanism for challenging their own outputs. A model that produces an analysis in a single pass has no opportunity to notice that its initial interpretation was inconsistent with a data stream it weighted lightly, or to surface an alternative hypothesis that the initial framing made difficult to see. Sequential pipelines with adversarial stages solve this by building challenge into the architecture. The system cannot reach its final stage without having passed through a stage whose explicit function is to find problems with the current analysis. This is not a performance optimization; it is an epistemic requirement for the class of interpretive problems the system addresses.</w:t>
      </w:r>
    </w:p>
    <w:p w:rsidR="00726956" w:rsidRDefault="00726956">
      <w:pPr>
        <w:spacing w:before="60" w:after="60"/>
      </w:pPr>
    </w:p>
    <w:p w:rsidR="00726956" w:rsidRDefault="00000000">
      <w:pPr>
        <w:pStyle w:val="Heading2"/>
      </w:pPr>
      <w:r>
        <w:t>7.2  The FCP as the System's Epistemic Anchor</w:t>
      </w:r>
    </w:p>
    <w:p w:rsidR="00726956" w:rsidRDefault="00000000">
      <w:pPr>
        <w:spacing w:before="80" w:after="120"/>
        <w:jc w:val="both"/>
      </w:pPr>
      <w:r>
        <w:t>The FCP is the component of the system that is most easily underestimated. Its six scoring dimensions are simple in structure — each scored 0, 1, or 2 against a defined detection rule — and the protocol itself is brief. It does not look like the most technically sophisticated element of the system. It is, however, the most epistemically critical.</w:t>
      </w:r>
    </w:p>
    <w:p w:rsidR="00726956" w:rsidRDefault="00726956">
      <w:pPr>
        <w:spacing w:before="60" w:after="60"/>
      </w:pPr>
    </w:p>
    <w:p w:rsidR="00726956" w:rsidRDefault="00000000">
      <w:pPr>
        <w:spacing w:before="80" w:after="120"/>
        <w:jc w:val="both"/>
      </w:pPr>
      <w:r>
        <w:t>LiDAR and NASA data are powerful but domain-agnostic: they provide geometric and contextual information that is relevant to many fields of inquiry. The FCP is what makes the system specifically a DSSM-grounded observational instrument. Its six dimensions directly operationalize the theoretical constructs of the DSSM framework — mnemonic architectures, symbolic stabilization, externalized cognition, symbolic regulation, distributed symbolic authority, portable symbolic anchors — in a form that can be scored consistently in the field and reasoned over systematically by the AI pipeline.</w:t>
      </w:r>
    </w:p>
    <w:p w:rsidR="00726956" w:rsidRDefault="00726956">
      <w:pPr>
        <w:spacing w:before="60" w:after="60"/>
      </w:pPr>
    </w:p>
    <w:p w:rsidR="00726956" w:rsidRDefault="00000000">
      <w:pPr>
        <w:spacing w:before="80" w:after="120"/>
        <w:jc w:val="both"/>
      </w:pPr>
      <w:r>
        <w:lastRenderedPageBreak/>
        <w:t>The FCP score is also the only component of the system that carries what can be called evidential immediacy: it reflects the judgment of a trained observer who was physically present in the field environment at the time of analysis. LiDAR data can be collected retrospectively. NASA data is inherently retrospective. The FCP requires a present, trained human witness. This is not a limitation; it is a deliberate design constraint that preserves the irreducibly human element of expert archaeological interpretation while making that element formally legible to an automated reasoning system.</w:t>
      </w:r>
    </w:p>
    <w:p w:rsidR="00726956" w:rsidRDefault="00726956">
      <w:pPr>
        <w:spacing w:before="60" w:after="60"/>
      </w:pPr>
    </w:p>
    <w:p w:rsidR="00726956" w:rsidRDefault="00000000">
      <w:pPr>
        <w:pStyle w:val="Heading2"/>
      </w:pPr>
      <w:r>
        <w:t>7.3  Scope and Limitations</w:t>
      </w:r>
    </w:p>
    <w:p w:rsidR="00726956" w:rsidRDefault="00000000">
      <w:pPr>
        <w:spacing w:before="80" w:after="120"/>
        <w:jc w:val="both"/>
      </w:pPr>
      <w:r>
        <w:t>The system is designed for a specific class of problems: complex archaeological field observational analysis requiring multi-modal data fusion and structured reasoning. It is not a general-purpose archaeological analysis tool. It does not substitute for stratigraphic excavation, geoarchaeological sampling, radiometric dating, or the full range of methods that constitute archaeological practice. What it provides is a structured reasoning environment in which the outputs of field observation — encoded via the FCP — can be systematically integrated with remote sensing data and subjected to a rigorous multi-stage interpretive process.</w:t>
      </w:r>
    </w:p>
    <w:p w:rsidR="00726956" w:rsidRDefault="00726956">
      <w:pPr>
        <w:spacing w:before="60" w:after="60"/>
      </w:pPr>
    </w:p>
    <w:p w:rsidR="00726956" w:rsidRDefault="00000000">
      <w:pPr>
        <w:spacing w:before="80" w:after="120"/>
        <w:jc w:val="both"/>
      </w:pPr>
      <w:r>
        <w:t>The system's outputs are analytical conclusions, not ground truth. They are calibrated assessments of what the available evidence most plausibly supports, with explicit statements about confidence and the conditions under which revision would be required. The operator remains responsible for the final interpretive judgment. The system's role is to ensure that judgment is informed by all available evidence, processed through a transparent reasoning chain, and presented with appropriate epistemic humility.</w:t>
      </w:r>
    </w:p>
    <w:p w:rsidR="00726956" w:rsidRDefault="00726956">
      <w:pPr>
        <w:spacing w:before="60" w:after="60"/>
      </w:pPr>
    </w:p>
    <w:p w:rsidR="00B961ED" w:rsidRDefault="00B961ED">
      <w:pPr>
        <w:pStyle w:val="Heading1"/>
      </w:pPr>
    </w:p>
    <w:p w:rsidR="00B961ED" w:rsidRDefault="00B961ED">
      <w:pPr>
        <w:pStyle w:val="Heading1"/>
      </w:pPr>
    </w:p>
    <w:p w:rsidR="00B961ED" w:rsidRDefault="00B961ED">
      <w:pPr>
        <w:pStyle w:val="Heading1"/>
      </w:pPr>
    </w:p>
    <w:p w:rsidR="00B961ED" w:rsidRDefault="00B961ED">
      <w:pPr>
        <w:pStyle w:val="Heading1"/>
      </w:pPr>
    </w:p>
    <w:p w:rsidR="00B961ED" w:rsidRDefault="00B961ED">
      <w:pPr>
        <w:pStyle w:val="Heading1"/>
      </w:pPr>
    </w:p>
    <w:p w:rsidR="00B961ED" w:rsidRDefault="00B961ED">
      <w:pPr>
        <w:pStyle w:val="Heading1"/>
      </w:pPr>
    </w:p>
    <w:p w:rsidR="00B961ED" w:rsidRDefault="00B961ED">
      <w:pPr>
        <w:pStyle w:val="Heading1"/>
      </w:pPr>
    </w:p>
    <w:p w:rsidR="00B961ED" w:rsidRDefault="00B961ED">
      <w:pPr>
        <w:pStyle w:val="Heading1"/>
      </w:pPr>
    </w:p>
    <w:p w:rsidR="00B961ED" w:rsidRDefault="00B961ED">
      <w:pPr>
        <w:pStyle w:val="Heading1"/>
      </w:pPr>
    </w:p>
    <w:p w:rsidR="00B961ED" w:rsidRDefault="00B961ED">
      <w:pPr>
        <w:pStyle w:val="Heading1"/>
      </w:pPr>
    </w:p>
    <w:p w:rsidR="00726956" w:rsidRDefault="00000000">
      <w:pPr>
        <w:pStyle w:val="Heading1"/>
      </w:pPr>
      <w:r>
        <w:lastRenderedPageBreak/>
        <w:t>8.  Conclusion</w:t>
      </w:r>
    </w:p>
    <w:p w:rsidR="00726956" w:rsidRDefault="00000000">
      <w:pPr>
        <w:spacing w:before="80" w:after="120"/>
        <w:jc w:val="both"/>
      </w:pPr>
      <w:r>
        <w:t>The Eye of Horus system represents a coherent response to a genuinely difficult class of analytical problems in archaeological field analysis: problems requiring multi-modal data fusion, cross-scale reasoning, and a reliable pathway from raw observational inputs to defensible analytical conclusions. Its design is organized around three commitments — data diversity, structured reasoning, and human grounding — that jointly produce a system more reliable than any of its components would be in isolation.</w:t>
      </w:r>
    </w:p>
    <w:p w:rsidR="00726956" w:rsidRDefault="00726956">
      <w:pPr>
        <w:spacing w:before="60" w:after="60"/>
      </w:pPr>
    </w:p>
    <w:p w:rsidR="00726956" w:rsidRDefault="00000000">
      <w:pPr>
        <w:spacing w:before="80" w:after="120"/>
        <w:jc w:val="both"/>
      </w:pPr>
      <w:r>
        <w:t>The system's architectural contribution lies not in any single technology it employs but in the integration logic that governs how those technologies relate to one another. LiDAR, satellite data, large language models, and field observation protocols are each mature in their own domains. What the Eye of Horus contributes is a principled account of how they should be combined for DSSM-grounded archaeological analysis: what role each plays, how they constrain and inform each other, and what structural properties the AI reasoning layer must have to serve as the integrating medium among them.</w:t>
      </w:r>
    </w:p>
    <w:p w:rsidR="00726956" w:rsidRDefault="00726956">
      <w:pPr>
        <w:spacing w:before="60" w:after="60"/>
      </w:pPr>
    </w:p>
    <w:p w:rsidR="00726956" w:rsidRDefault="00000000">
      <w:pPr>
        <w:spacing w:before="80" w:after="120"/>
        <w:jc w:val="both"/>
      </w:pPr>
      <w:r>
        <w:t>Central to this integration is the Field Companion Protocol — an instrument that translates DSSM theoretical observables into a field-operable scoring format, makes expert human judgment formally legible to an automated reasoning pipeline, and preserves the evidential immediacy of direct field observation that remote sensing alone cannot provide. The FCP is what makes the Eye of Horus specifically a DSSM observational instrument rather than a generic multi-modal data fusion platform.</w:t>
      </w:r>
    </w:p>
    <w:p w:rsidR="00726956" w:rsidRDefault="00726956">
      <w:pPr>
        <w:spacing w:before="60" w:after="60"/>
      </w:pPr>
    </w:p>
    <w:p w:rsidR="00726956" w:rsidRDefault="00000000">
      <w:pPr>
        <w:spacing w:before="80" w:after="120"/>
        <w:jc w:val="both"/>
      </w:pPr>
      <w:r>
        <w:t>The result is a system that can be operated by a trained observer in a field environment and can produce, from that operation, an analytical output that reflects the joint evidential force of three independent physical data streams, processed through a seven-stage structured reasoning architecture, in a form that is auditable, calibrated, and actionable.</w:t>
      </w:r>
    </w:p>
    <w:p w:rsidR="00726956" w:rsidRDefault="00726956">
      <w:pPr>
        <w:spacing w:before="60" w:after="60"/>
      </w:pPr>
    </w:p>
    <w:p w:rsidR="00726956" w:rsidRDefault="00726956">
      <w:pPr>
        <w:pBdr>
          <w:bottom w:val="single" w:sz="4" w:space="1" w:color="C9A84C"/>
        </w:pBdr>
        <w:spacing w:before="120" w:after="120"/>
      </w:pPr>
    </w:p>
    <w:p w:rsidR="00726956" w:rsidRDefault="00726956">
      <w:pPr>
        <w:spacing w:before="60" w:after="60"/>
      </w:pPr>
    </w:p>
    <w:p w:rsidR="00726956" w:rsidRDefault="00000000">
      <w:pPr>
        <w:spacing w:before="60" w:after="60"/>
      </w:pPr>
      <w:r>
        <w:rPr>
          <w:b/>
          <w:bCs/>
          <w:color w:val="1A2A4A"/>
          <w:sz w:val="20"/>
          <w:szCs w:val="20"/>
        </w:rPr>
        <w:t xml:space="preserve">Keywords: </w:t>
      </w:r>
      <w:r>
        <w:rPr>
          <w:i/>
          <w:iCs/>
          <w:color w:val="555555"/>
          <w:sz w:val="20"/>
          <w:szCs w:val="20"/>
        </w:rPr>
        <w:t>Eye of Horus, Deep Symbolic Systems Model, DSSM, Archaeological Observational Intelligence, Multi-Modal Data Fusion, Field Companion Protocol, LiDAR Integration, Remote Sensing, AI Agent Pipeline, Structured Reasoning, Calibrated Uncertainty, Symbolic Stabilization, Human-AI Collaboration</w:t>
      </w:r>
    </w:p>
    <w:p w:rsidR="00726956" w:rsidRDefault="00726956">
      <w:pPr>
        <w:spacing w:before="60" w:after="60"/>
      </w:pPr>
    </w:p>
    <w:p w:rsidR="00726956" w:rsidRDefault="00726956">
      <w:pPr>
        <w:pBdr>
          <w:bottom w:val="single" w:sz="4" w:space="1" w:color="C9A84C"/>
        </w:pBdr>
        <w:spacing w:before="120" w:after="120"/>
      </w:pPr>
    </w:p>
    <w:p w:rsidR="00726956" w:rsidRDefault="00726956">
      <w:pPr>
        <w:spacing w:before="60" w:after="60"/>
      </w:pPr>
    </w:p>
    <w:p w:rsidR="00726956" w:rsidRDefault="00000000">
      <w:pPr>
        <w:spacing w:before="60" w:after="40"/>
      </w:pPr>
      <w:r>
        <w:rPr>
          <w:b/>
          <w:bCs/>
          <w:color w:val="1A2A4A"/>
        </w:rPr>
        <w:t>Author Note</w:t>
      </w:r>
    </w:p>
    <w:p w:rsidR="00726956" w:rsidRDefault="00000000">
      <w:pPr>
        <w:spacing w:before="80" w:after="120"/>
        <w:jc w:val="both"/>
      </w:pPr>
      <w:r>
        <w:t>Anthony Vondoom is an independent researcher in cognitive archaeology. AI-assisted drafting and analytical synthesis in this paper was conducted with Claude Sonnet 4.6 (Anthropic), disclosed transparently per the author's standing editorial policy. The DSSM Field Companion (Paper S20) is cited as the source document for the FCP scoring framework described herein.</w:t>
      </w:r>
    </w:p>
    <w:p w:rsidR="00726956" w:rsidRDefault="00726956">
      <w:pPr>
        <w:spacing w:before="60" w:after="60"/>
      </w:pPr>
    </w:p>
    <w:p w:rsidR="00B961ED" w:rsidRDefault="00B961ED">
      <w:pPr>
        <w:pStyle w:val="Heading1"/>
      </w:pPr>
    </w:p>
    <w:p w:rsidR="00B961ED" w:rsidRDefault="00B961ED">
      <w:pPr>
        <w:pStyle w:val="Heading1"/>
      </w:pPr>
    </w:p>
    <w:p w:rsidR="00B961ED" w:rsidRDefault="00B961ED">
      <w:pPr>
        <w:pStyle w:val="Heading1"/>
      </w:pPr>
    </w:p>
    <w:p w:rsidR="00726956" w:rsidRDefault="00000000">
      <w:pPr>
        <w:pStyle w:val="Heading1"/>
      </w:pPr>
      <w:r>
        <w:lastRenderedPageBreak/>
        <w:t>References</w:t>
      </w:r>
    </w:p>
    <w:p w:rsidR="00726956" w:rsidRDefault="00000000" w:rsidP="00B961ED">
      <w:pPr>
        <w:pStyle w:val="ListParagraph"/>
        <w:numPr>
          <w:ilvl w:val="0"/>
          <w:numId w:val="3"/>
        </w:numPr>
        <w:spacing w:before="80" w:after="120"/>
      </w:pPr>
      <w:r>
        <w:t xml:space="preserve">Vondoom, A. (2025). </w:t>
      </w:r>
      <w:r w:rsidRPr="00B961ED">
        <w:rPr>
          <w:i/>
          <w:iCs/>
        </w:rPr>
        <w:t>The Deep Symbolic Systems Model (DSSM): A Cognitive–Ritual Framework for Early Monumentality and Cultural Continuity.</w:t>
      </w:r>
      <w:r>
        <w:t xml:space="preserve"> SSRN. https://dx.doi.org/10.2139/ssrn.6003734. OSF: https://doi.org/10.17605/OSF.IO/YW5GM</w:t>
      </w:r>
    </w:p>
    <w:p w:rsidR="00726956" w:rsidRDefault="00000000" w:rsidP="00B961ED">
      <w:pPr>
        <w:pStyle w:val="ListParagraph"/>
        <w:numPr>
          <w:ilvl w:val="0"/>
          <w:numId w:val="3"/>
        </w:numPr>
        <w:spacing w:before="80" w:after="120"/>
      </w:pPr>
      <w:r>
        <w:t xml:space="preserve">Vondoom, A. (2026a). </w:t>
      </w:r>
      <w:r w:rsidRPr="00B961ED">
        <w:rPr>
          <w:i/>
          <w:iCs/>
        </w:rPr>
        <w:t>Cognitive Continuities Across Human and AI DSSMs.</w:t>
      </w:r>
      <w:r>
        <w:t xml:space="preserve"> DSSM Corpus Paper S19. Preprint. OSF/Figshare repositories.</w:t>
      </w:r>
    </w:p>
    <w:p w:rsidR="00726956" w:rsidRDefault="00000000" w:rsidP="00B961ED">
      <w:pPr>
        <w:pStyle w:val="ListParagraph"/>
        <w:numPr>
          <w:ilvl w:val="0"/>
          <w:numId w:val="3"/>
        </w:numPr>
        <w:spacing w:before="80" w:after="120"/>
      </w:pPr>
      <w:r>
        <w:t xml:space="preserve">Vondoom, A. (2026b). </w:t>
      </w:r>
      <w:r w:rsidRPr="00B961ED">
        <w:rPr>
          <w:i/>
          <w:iCs/>
        </w:rPr>
        <w:t>DSSM Field Companion: Operational Field Protocols for Detecting Symbolic Stabilization.</w:t>
      </w:r>
      <w:r>
        <w:t xml:space="preserve"> DSSM Corpus Paper S20. Figshare. https://doi.org/10.6084/m9.figshare.31113958</w:t>
      </w:r>
    </w:p>
    <w:p w:rsidR="00726956" w:rsidRDefault="00000000" w:rsidP="00B961ED">
      <w:pPr>
        <w:pStyle w:val="ListParagraph"/>
        <w:numPr>
          <w:ilvl w:val="0"/>
          <w:numId w:val="3"/>
        </w:numPr>
        <w:spacing w:before="80" w:after="120"/>
      </w:pPr>
      <w:r>
        <w:t xml:space="preserve">Vondoom, A. (2026c). </w:t>
      </w:r>
      <w:r w:rsidRPr="00B961ED">
        <w:rPr>
          <w:i/>
          <w:iCs/>
        </w:rPr>
        <w:t>Civilization Is Rehearsed: The Deep Symbolic Systems Model.</w:t>
      </w:r>
      <w:r>
        <w:t xml:space="preserve"> DSSM Corpus Paper S41. Zenodo. https://doi.org/10.5281/zenodo.19170162</w:t>
      </w:r>
    </w:p>
    <w:p w:rsidR="00726956" w:rsidRDefault="00000000" w:rsidP="00B961ED">
      <w:pPr>
        <w:pStyle w:val="ListParagraph"/>
        <w:numPr>
          <w:ilvl w:val="0"/>
          <w:numId w:val="3"/>
        </w:numPr>
        <w:spacing w:before="80" w:after="100"/>
      </w:pPr>
      <w:r>
        <w:t xml:space="preserve">Assmann, J. (2011). </w:t>
      </w:r>
      <w:r w:rsidRPr="00B961ED">
        <w:rPr>
          <w:i/>
          <w:iCs/>
        </w:rPr>
        <w:t>Cultural Memory and Early Civilization: Writing, Remembrance, and Political Imagination.</w:t>
      </w:r>
      <w:r>
        <w:t xml:space="preserve"> Cambridge University Press. https://doi.org/10.1017/CBO9780511996306</w:t>
      </w:r>
    </w:p>
    <w:p w:rsidR="00726956" w:rsidRDefault="00000000" w:rsidP="00B961ED">
      <w:pPr>
        <w:pStyle w:val="ListParagraph"/>
        <w:numPr>
          <w:ilvl w:val="0"/>
          <w:numId w:val="3"/>
        </w:numPr>
        <w:spacing w:before="80" w:after="100"/>
      </w:pPr>
      <w:r>
        <w:t xml:space="preserve">Bourdieu, P. (1990). </w:t>
      </w:r>
      <w:r w:rsidRPr="00B961ED">
        <w:rPr>
          <w:i/>
          <w:iCs/>
        </w:rPr>
        <w:t>The Logic of Practice.</w:t>
      </w:r>
      <w:r>
        <w:t xml:space="preserve"> Stanford University Press.</w:t>
      </w:r>
    </w:p>
    <w:p w:rsidR="00726956" w:rsidRDefault="00000000" w:rsidP="00B961ED">
      <w:pPr>
        <w:pStyle w:val="ListParagraph"/>
        <w:numPr>
          <w:ilvl w:val="0"/>
          <w:numId w:val="3"/>
        </w:numPr>
        <w:spacing w:before="80" w:after="100"/>
      </w:pPr>
      <w:r>
        <w:t xml:space="preserve">Childe, V. G. (1950). The Urban Revolution. </w:t>
      </w:r>
      <w:r w:rsidRPr="00B961ED">
        <w:rPr>
          <w:i/>
          <w:iCs/>
        </w:rPr>
        <w:t>The Town Planning Review,</w:t>
      </w:r>
      <w:r>
        <w:t xml:space="preserve"> 21(1), 3–17.</w:t>
      </w:r>
    </w:p>
    <w:p w:rsidR="00726956" w:rsidRDefault="00000000" w:rsidP="00B961ED">
      <w:pPr>
        <w:pStyle w:val="ListParagraph"/>
        <w:numPr>
          <w:ilvl w:val="0"/>
          <w:numId w:val="3"/>
        </w:numPr>
        <w:spacing w:before="80" w:after="100"/>
      </w:pPr>
      <w:r>
        <w:t xml:space="preserve">Clark, A. (2008). </w:t>
      </w:r>
      <w:r w:rsidRPr="00B961ED">
        <w:rPr>
          <w:i/>
          <w:iCs/>
        </w:rPr>
        <w:t>Supersizing the Mind: Embodiment, Action, and Cognitive Extension.</w:t>
      </w:r>
      <w:r>
        <w:t xml:space="preserve"> Oxford University Press.</w:t>
      </w:r>
    </w:p>
    <w:p w:rsidR="00726956" w:rsidRDefault="00000000" w:rsidP="00B961ED">
      <w:pPr>
        <w:pStyle w:val="ListParagraph"/>
        <w:numPr>
          <w:ilvl w:val="0"/>
          <w:numId w:val="3"/>
        </w:numPr>
        <w:spacing w:before="80" w:after="100"/>
      </w:pPr>
      <w:r>
        <w:t xml:space="preserve">Coolidge, F. L., &amp; Wynn, T. (2005). Working memory, its executive functions, and the emergence of modern thinking. </w:t>
      </w:r>
      <w:r w:rsidRPr="00B961ED">
        <w:rPr>
          <w:i/>
          <w:iCs/>
        </w:rPr>
        <w:t>Cambridge Archaeological Journal,</w:t>
      </w:r>
      <w:r>
        <w:t xml:space="preserve"> 15(1), 5–26.</w:t>
      </w:r>
    </w:p>
    <w:p w:rsidR="00726956" w:rsidRDefault="00000000" w:rsidP="00B961ED">
      <w:pPr>
        <w:pStyle w:val="ListParagraph"/>
        <w:numPr>
          <w:ilvl w:val="0"/>
          <w:numId w:val="3"/>
        </w:numPr>
        <w:spacing w:before="80" w:after="100"/>
      </w:pPr>
      <w:r>
        <w:t xml:space="preserve">Donald, M. (1991). </w:t>
      </w:r>
      <w:r w:rsidRPr="00B961ED">
        <w:rPr>
          <w:i/>
          <w:iCs/>
        </w:rPr>
        <w:t>Origins of the Modern Mind: Three Stages in the Evolution of Culture and Cognition.</w:t>
      </w:r>
      <w:r>
        <w:t xml:space="preserve"> Harvard University Press.</w:t>
      </w:r>
    </w:p>
    <w:p w:rsidR="00726956" w:rsidRDefault="00000000" w:rsidP="00B961ED">
      <w:pPr>
        <w:pStyle w:val="ListParagraph"/>
        <w:numPr>
          <w:ilvl w:val="0"/>
          <w:numId w:val="3"/>
        </w:numPr>
        <w:spacing w:before="80" w:after="100"/>
      </w:pPr>
      <w:r>
        <w:t xml:space="preserve">Goody, J. (1986). </w:t>
      </w:r>
      <w:r w:rsidRPr="00B961ED">
        <w:rPr>
          <w:i/>
          <w:iCs/>
        </w:rPr>
        <w:t>The Logic of Writing and the Organization of Society.</w:t>
      </w:r>
      <w:r>
        <w:t xml:space="preserve"> Cambridge University Press. https://doi.org/10.1017/CBO9780511621598</w:t>
      </w:r>
    </w:p>
    <w:p w:rsidR="00726956" w:rsidRDefault="00000000" w:rsidP="00B961ED">
      <w:pPr>
        <w:pStyle w:val="ListParagraph"/>
        <w:numPr>
          <w:ilvl w:val="0"/>
          <w:numId w:val="3"/>
        </w:numPr>
        <w:spacing w:before="80" w:after="100"/>
      </w:pPr>
      <w:r>
        <w:t xml:space="preserve">Hutchins, E. (1995). </w:t>
      </w:r>
      <w:r w:rsidRPr="00B961ED">
        <w:rPr>
          <w:i/>
          <w:iCs/>
        </w:rPr>
        <w:t>Cognition in the Wild.</w:t>
      </w:r>
      <w:r>
        <w:t xml:space="preserve"> MIT Press.</w:t>
      </w:r>
    </w:p>
    <w:p w:rsidR="00726956" w:rsidRDefault="00000000" w:rsidP="00B961ED">
      <w:pPr>
        <w:pStyle w:val="ListParagraph"/>
        <w:numPr>
          <w:ilvl w:val="0"/>
          <w:numId w:val="3"/>
        </w:numPr>
        <w:spacing w:before="80" w:after="100"/>
      </w:pPr>
      <w:r>
        <w:t xml:space="preserve">Malafouris, L. (2013). </w:t>
      </w:r>
      <w:r w:rsidRPr="00B961ED">
        <w:rPr>
          <w:i/>
          <w:iCs/>
        </w:rPr>
        <w:t>How Things Shape the Mind: A Theory of Material Engagement.</w:t>
      </w:r>
      <w:r>
        <w:t xml:space="preserve"> MIT Press.</w:t>
      </w:r>
    </w:p>
    <w:p w:rsidR="00726956" w:rsidRDefault="00000000" w:rsidP="00B961ED">
      <w:pPr>
        <w:pStyle w:val="ListParagraph"/>
        <w:numPr>
          <w:ilvl w:val="0"/>
          <w:numId w:val="3"/>
        </w:numPr>
        <w:spacing w:before="80" w:after="100"/>
      </w:pPr>
      <w:r>
        <w:t xml:space="preserve">McBrearty, S., &amp; Brooks, A. S. (2000). The revolution that wasn’t: A new interpretation of the origin of modern human behavior. </w:t>
      </w:r>
      <w:r w:rsidRPr="00B961ED">
        <w:rPr>
          <w:i/>
          <w:iCs/>
        </w:rPr>
        <w:t>Journal of Human Evolution,</w:t>
      </w:r>
      <w:r>
        <w:t xml:space="preserve"> 39(5), 453–563.</w:t>
      </w:r>
    </w:p>
    <w:p w:rsidR="00726956" w:rsidRDefault="00000000" w:rsidP="00B961ED">
      <w:pPr>
        <w:pStyle w:val="ListParagraph"/>
        <w:numPr>
          <w:ilvl w:val="0"/>
          <w:numId w:val="3"/>
        </w:numPr>
        <w:spacing w:before="80" w:after="100"/>
      </w:pPr>
      <w:r>
        <w:t xml:space="preserve">Mithen, S. (1996). </w:t>
      </w:r>
      <w:r w:rsidRPr="00B961ED">
        <w:rPr>
          <w:i/>
          <w:iCs/>
        </w:rPr>
        <w:t>The Prehistory of the Mind: The Cognitive Origins of Art, Religion and Science.</w:t>
      </w:r>
      <w:r>
        <w:t xml:space="preserve"> Thames &amp; Hudson.</w:t>
      </w:r>
    </w:p>
    <w:p w:rsidR="00726956" w:rsidRDefault="00000000" w:rsidP="00B961ED">
      <w:pPr>
        <w:pStyle w:val="ListParagraph"/>
        <w:numPr>
          <w:ilvl w:val="0"/>
          <w:numId w:val="3"/>
        </w:numPr>
        <w:spacing w:before="80" w:after="100"/>
      </w:pPr>
      <w:r>
        <w:t xml:space="preserve">Rappaport, R. A. (1999). </w:t>
      </w:r>
      <w:r w:rsidRPr="00B961ED">
        <w:rPr>
          <w:i/>
          <w:iCs/>
        </w:rPr>
        <w:t>Ritual and Religion in the Making of Humanity.</w:t>
      </w:r>
      <w:r>
        <w:t xml:space="preserve"> Cambridge University Press. https://doi.org/10.1017/CBO9780511814686</w:t>
      </w:r>
    </w:p>
    <w:p w:rsidR="00726956" w:rsidRDefault="00000000" w:rsidP="00B961ED">
      <w:pPr>
        <w:pStyle w:val="ListParagraph"/>
        <w:numPr>
          <w:ilvl w:val="0"/>
          <w:numId w:val="3"/>
        </w:numPr>
        <w:spacing w:before="80" w:after="100"/>
      </w:pPr>
      <w:r>
        <w:t xml:space="preserve">Stout, D., Hecht, E., &amp; Chaminade, T. (2018). Cognitive foundations of tool use. </w:t>
      </w:r>
      <w:r w:rsidRPr="00B961ED">
        <w:rPr>
          <w:i/>
          <w:iCs/>
        </w:rPr>
        <w:t>Current Anthropology,</w:t>
      </w:r>
      <w:r>
        <w:t xml:space="preserve"> 59(2), 205–227.</w:t>
      </w:r>
    </w:p>
    <w:p w:rsidR="00726956" w:rsidRDefault="00000000" w:rsidP="00B961ED">
      <w:pPr>
        <w:pStyle w:val="ListParagraph"/>
        <w:numPr>
          <w:ilvl w:val="0"/>
          <w:numId w:val="3"/>
        </w:numPr>
        <w:spacing w:before="80" w:after="100"/>
      </w:pPr>
      <w:r>
        <w:t xml:space="preserve">Tomasello, M. (1999). </w:t>
      </w:r>
      <w:r w:rsidRPr="00B961ED">
        <w:rPr>
          <w:i/>
          <w:iCs/>
        </w:rPr>
        <w:t>The Cultural Origins of Human Cognition.</w:t>
      </w:r>
      <w:r>
        <w:t xml:space="preserve"> Harvard University Press.</w:t>
      </w:r>
    </w:p>
    <w:p w:rsidR="00726956" w:rsidRDefault="00000000" w:rsidP="00B961ED">
      <w:pPr>
        <w:pStyle w:val="ListParagraph"/>
        <w:numPr>
          <w:ilvl w:val="0"/>
          <w:numId w:val="3"/>
        </w:numPr>
        <w:spacing w:before="80" w:after="100"/>
      </w:pPr>
      <w:r>
        <w:t xml:space="preserve">Trigger, B. G. (2003). </w:t>
      </w:r>
      <w:r w:rsidRPr="00B961ED">
        <w:rPr>
          <w:i/>
          <w:iCs/>
        </w:rPr>
        <w:t>Understanding Early Civilizations: A Comparative Study.</w:t>
      </w:r>
      <w:r>
        <w:t xml:space="preserve"> Cambridge University Press.</w:t>
      </w:r>
    </w:p>
    <w:p w:rsidR="00726956" w:rsidRDefault="00000000" w:rsidP="00B961ED">
      <w:pPr>
        <w:pStyle w:val="ListParagraph"/>
        <w:numPr>
          <w:ilvl w:val="0"/>
          <w:numId w:val="3"/>
        </w:numPr>
        <w:spacing w:before="80" w:after="100"/>
      </w:pPr>
      <w:r>
        <w:t xml:space="preserve">Tylén, K., Fusaroli, R., Rojo, S., et al. (2020). The evolution of early symbolic behavior in </w:t>
      </w:r>
      <w:r w:rsidRPr="00B961ED">
        <w:rPr>
          <w:i/>
          <w:iCs/>
        </w:rPr>
        <w:t>Homo sapiens.</w:t>
      </w:r>
      <w:r>
        <w:t xml:space="preserve"> </w:t>
      </w:r>
      <w:r w:rsidRPr="00B961ED">
        <w:rPr>
          <w:i/>
          <w:iCs/>
        </w:rPr>
        <w:t>PNAS,</w:t>
      </w:r>
      <w:r>
        <w:t xml:space="preserve"> 117(9), 4578–4584.</w:t>
      </w:r>
    </w:p>
    <w:p w:rsidR="00726956" w:rsidRDefault="00726956" w:rsidP="00B961ED">
      <w:pPr>
        <w:pBdr>
          <w:bottom w:val="single" w:sz="4" w:space="1" w:color="C9A84C"/>
        </w:pBdr>
        <w:spacing w:before="120" w:after="120"/>
      </w:pPr>
    </w:p>
    <w:p w:rsidR="00726956" w:rsidRDefault="00726956">
      <w:pPr>
        <w:spacing w:before="60" w:after="60"/>
      </w:pPr>
    </w:p>
    <w:p w:rsidR="00726956" w:rsidRPr="00FC3765" w:rsidRDefault="00000000">
      <w:pPr>
        <w:spacing w:before="40" w:after="40"/>
        <w:rPr>
          <w:lang w:val="it-IT"/>
        </w:rPr>
      </w:pPr>
      <w:r>
        <w:rPr>
          <w:i/>
          <w:iCs/>
          <w:color w:val="555555"/>
          <w:sz w:val="20"/>
          <w:szCs w:val="20"/>
        </w:rPr>
        <w:t>© Anthony Vondoom 2026</w:t>
      </w:r>
      <w:r w:rsidR="00FC3765">
        <w:rPr>
          <w:i/>
          <w:iCs/>
          <w:color w:val="555555"/>
          <w:sz w:val="20"/>
          <w:szCs w:val="20"/>
          <w:lang w:val="it-IT"/>
        </w:rPr>
        <w:t xml:space="preserve"> </w:t>
      </w:r>
      <w:r w:rsidR="00FC3765">
        <w:rPr>
          <w:rFonts w:ascii="Helvetica" w:hAnsi="Helvetica"/>
          <w:b/>
          <w:bCs/>
          <w:sz w:val="20"/>
          <w:szCs w:val="20"/>
          <w:shd w:val="clear" w:color="auto" w:fill="FFFFFF"/>
        </w:rPr>
        <w:t>10.5281/zenodo.19388800</w:t>
      </w:r>
    </w:p>
    <w:sectPr w:rsidR="00726956" w:rsidRPr="00FC3765" w:rsidSect="00B961ED">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5F57"/>
    <w:multiLevelType w:val="hybridMultilevel"/>
    <w:tmpl w:val="CABE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C34283"/>
    <w:multiLevelType w:val="hybridMultilevel"/>
    <w:tmpl w:val="C81673D4"/>
    <w:lvl w:ilvl="0" w:tplc="2892F49E">
      <w:start w:val="1"/>
      <w:numFmt w:val="bullet"/>
      <w:lvlText w:val="•"/>
      <w:lvlJc w:val="left"/>
      <w:pPr>
        <w:ind w:left="720" w:hanging="360"/>
      </w:pPr>
    </w:lvl>
    <w:lvl w:ilvl="1" w:tplc="F0023130">
      <w:numFmt w:val="decimal"/>
      <w:lvlText w:val=""/>
      <w:lvlJc w:val="left"/>
    </w:lvl>
    <w:lvl w:ilvl="2" w:tplc="482C5016">
      <w:numFmt w:val="decimal"/>
      <w:lvlText w:val=""/>
      <w:lvlJc w:val="left"/>
    </w:lvl>
    <w:lvl w:ilvl="3" w:tplc="D80E0FEA">
      <w:numFmt w:val="decimal"/>
      <w:lvlText w:val=""/>
      <w:lvlJc w:val="left"/>
    </w:lvl>
    <w:lvl w:ilvl="4" w:tplc="C896AEA4">
      <w:numFmt w:val="decimal"/>
      <w:lvlText w:val=""/>
      <w:lvlJc w:val="left"/>
    </w:lvl>
    <w:lvl w:ilvl="5" w:tplc="7EDC1B7E">
      <w:numFmt w:val="decimal"/>
      <w:lvlText w:val=""/>
      <w:lvlJc w:val="left"/>
    </w:lvl>
    <w:lvl w:ilvl="6" w:tplc="F9D60FEC">
      <w:numFmt w:val="decimal"/>
      <w:lvlText w:val=""/>
      <w:lvlJc w:val="left"/>
    </w:lvl>
    <w:lvl w:ilvl="7" w:tplc="2D72E868">
      <w:numFmt w:val="decimal"/>
      <w:lvlText w:val=""/>
      <w:lvlJc w:val="left"/>
    </w:lvl>
    <w:lvl w:ilvl="8" w:tplc="97948210">
      <w:numFmt w:val="decimal"/>
      <w:lvlText w:val=""/>
      <w:lvlJc w:val="left"/>
    </w:lvl>
  </w:abstractNum>
  <w:abstractNum w:abstractNumId="2" w15:restartNumberingAfterBreak="0">
    <w:nsid w:val="67AC0BA1"/>
    <w:multiLevelType w:val="hybridMultilevel"/>
    <w:tmpl w:val="AFF86102"/>
    <w:lvl w:ilvl="0" w:tplc="09D81B5E">
      <w:start w:val="1"/>
      <w:numFmt w:val="bullet"/>
      <w:lvlText w:val="●"/>
      <w:lvlJc w:val="left"/>
      <w:pPr>
        <w:ind w:left="720" w:hanging="360"/>
      </w:pPr>
    </w:lvl>
    <w:lvl w:ilvl="1" w:tplc="28EAE034">
      <w:start w:val="1"/>
      <w:numFmt w:val="bullet"/>
      <w:lvlText w:val="○"/>
      <w:lvlJc w:val="left"/>
      <w:pPr>
        <w:ind w:left="1440" w:hanging="360"/>
      </w:pPr>
    </w:lvl>
    <w:lvl w:ilvl="2" w:tplc="C79887C2">
      <w:start w:val="1"/>
      <w:numFmt w:val="bullet"/>
      <w:lvlText w:val="■"/>
      <w:lvlJc w:val="left"/>
      <w:pPr>
        <w:ind w:left="2160" w:hanging="360"/>
      </w:pPr>
    </w:lvl>
    <w:lvl w:ilvl="3" w:tplc="B866A4DA">
      <w:start w:val="1"/>
      <w:numFmt w:val="bullet"/>
      <w:lvlText w:val="●"/>
      <w:lvlJc w:val="left"/>
      <w:pPr>
        <w:ind w:left="2880" w:hanging="360"/>
      </w:pPr>
    </w:lvl>
    <w:lvl w:ilvl="4" w:tplc="D6C24B64">
      <w:start w:val="1"/>
      <w:numFmt w:val="bullet"/>
      <w:lvlText w:val="○"/>
      <w:lvlJc w:val="left"/>
      <w:pPr>
        <w:ind w:left="3600" w:hanging="360"/>
      </w:pPr>
    </w:lvl>
    <w:lvl w:ilvl="5" w:tplc="8FFC1B5E">
      <w:start w:val="1"/>
      <w:numFmt w:val="bullet"/>
      <w:lvlText w:val="■"/>
      <w:lvlJc w:val="left"/>
      <w:pPr>
        <w:ind w:left="4320" w:hanging="360"/>
      </w:pPr>
    </w:lvl>
    <w:lvl w:ilvl="6" w:tplc="63AE85DA">
      <w:start w:val="1"/>
      <w:numFmt w:val="bullet"/>
      <w:lvlText w:val="●"/>
      <w:lvlJc w:val="left"/>
      <w:pPr>
        <w:ind w:left="5040" w:hanging="360"/>
      </w:pPr>
    </w:lvl>
    <w:lvl w:ilvl="7" w:tplc="73308A1E">
      <w:start w:val="1"/>
      <w:numFmt w:val="bullet"/>
      <w:lvlText w:val="●"/>
      <w:lvlJc w:val="left"/>
      <w:pPr>
        <w:ind w:left="5760" w:hanging="360"/>
      </w:pPr>
    </w:lvl>
    <w:lvl w:ilvl="8" w:tplc="0B9A576C">
      <w:start w:val="1"/>
      <w:numFmt w:val="bullet"/>
      <w:lvlText w:val="●"/>
      <w:lvlJc w:val="left"/>
      <w:pPr>
        <w:ind w:left="6480" w:hanging="360"/>
      </w:pPr>
    </w:lvl>
  </w:abstractNum>
  <w:num w:numId="1" w16cid:durableId="734280374">
    <w:abstractNumId w:val="2"/>
    <w:lvlOverride w:ilvl="0">
      <w:startOverride w:val="1"/>
    </w:lvlOverride>
  </w:num>
  <w:num w:numId="2" w16cid:durableId="148522729">
    <w:abstractNumId w:val="1"/>
    <w:lvlOverride w:ilvl="0">
      <w:startOverride w:val="1"/>
    </w:lvlOverride>
  </w:num>
  <w:num w:numId="3" w16cid:durableId="180087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56"/>
    <w:rsid w:val="00726956"/>
    <w:rsid w:val="00B961ED"/>
    <w:rsid w:val="00DF2823"/>
    <w:rsid w:val="00FC3765"/>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24173059"/>
  <w15:docId w15:val="{1144A668-1674-4749-9108-C74D5D25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sz w:val="22"/>
        <w:szCs w:val="22"/>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80"/>
      <w:outlineLvl w:val="0"/>
    </w:pPr>
    <w:rPr>
      <w:b/>
      <w:bCs/>
      <w:color w:val="1A2A4A"/>
      <w:sz w:val="32"/>
      <w:szCs w:val="32"/>
    </w:rPr>
  </w:style>
  <w:style w:type="paragraph" w:styleId="Heading2">
    <w:name w:val="heading 2"/>
    <w:uiPriority w:val="9"/>
    <w:unhideWhenUsed/>
    <w:qFormat/>
    <w:pPr>
      <w:spacing w:before="280" w:after="100"/>
      <w:outlineLvl w:val="1"/>
    </w:pPr>
    <w:rPr>
      <w:b/>
      <w:bCs/>
      <w:color w:val="2E4A7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4684</Words>
  <Characters>26705</Characters>
  <Application>Microsoft Office Word</Application>
  <DocSecurity>0</DocSecurity>
  <Lines>222</Lines>
  <Paragraphs>62</Paragraphs>
  <ScaleCrop>false</ScaleCrop>
  <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4</cp:revision>
  <dcterms:created xsi:type="dcterms:W3CDTF">2026-04-02T09:13:00Z</dcterms:created>
  <dcterms:modified xsi:type="dcterms:W3CDTF">2026-04-02T14:31:00Z</dcterms:modified>
</cp:coreProperties>
</file>