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2D0" w:rsidRDefault="00FB52D0">
      <w:pPr>
        <w:spacing w:before="300"/>
      </w:pPr>
    </w:p>
    <w:p w:rsidR="00FB52D0" w:rsidRDefault="00000000">
      <w:pPr>
        <w:spacing w:after="40"/>
        <w:jc w:val="center"/>
      </w:pPr>
      <w:r>
        <w:rPr>
          <w:b/>
          <w:bCs/>
          <w:color w:val="2E4A7A"/>
          <w:sz w:val="52"/>
          <w:szCs w:val="52"/>
        </w:rPr>
        <w:t>THE COUNCIL</w:t>
      </w:r>
    </w:p>
    <w:p w:rsidR="00FB52D0" w:rsidRDefault="00000000">
      <w:pPr>
        <w:spacing w:after="40"/>
        <w:jc w:val="center"/>
      </w:pPr>
      <w:r>
        <w:rPr>
          <w:b/>
          <w:bCs/>
          <w:color w:val="B8860B"/>
          <w:sz w:val="28"/>
          <w:szCs w:val="28"/>
        </w:rPr>
        <w:t>Ra&amp;#x2019;s Judgment: The 2026 Gulf Confrontation</w:t>
      </w:r>
    </w:p>
    <w:p w:rsidR="00FB52D0" w:rsidRDefault="00000000">
      <w:pPr>
        <w:pBdr>
          <w:bottom w:val="single" w:sz="8" w:space="1" w:color="8B0000"/>
        </w:pBdr>
        <w:spacing w:after="60"/>
        <w:jc w:val="center"/>
      </w:pPr>
      <w:r>
        <w:rPr>
          <w:i/>
          <w:iCs/>
          <w:color w:val="8B0000"/>
          <w:sz w:val="24"/>
          <w:szCs w:val="24"/>
        </w:rPr>
        <w:t>A Financial Stress Test Wearing Military Clothing</w:t>
      </w:r>
    </w:p>
    <w:p w:rsidR="00FB52D0" w:rsidRDefault="00FB52D0">
      <w:pPr>
        <w:spacing w:before="160"/>
      </w:pPr>
    </w:p>
    <w:p w:rsidR="00FB52D0" w:rsidRDefault="00000000">
      <w:pPr>
        <w:spacing w:before="100" w:after="100" w:line="276" w:lineRule="auto"/>
        <w:jc w:val="center"/>
      </w:pPr>
      <w:r>
        <w:rPr>
          <w:b/>
          <w:bCs/>
        </w:rPr>
        <w:t>Anthony Hettige Pushpika Indunil Hemakumara (Anthony Vondoom)</w:t>
      </w:r>
    </w:p>
    <w:p w:rsidR="00FB52D0" w:rsidRDefault="00000000">
      <w:pPr>
        <w:spacing w:before="100" w:after="100" w:line="276" w:lineRule="auto"/>
        <w:jc w:val="center"/>
      </w:pPr>
      <w:r>
        <w:rPr>
          <w:color w:val="555555"/>
          <w:sz w:val="20"/>
          <w:szCs w:val="20"/>
        </w:rPr>
        <w:t>Independent Researcher, Cognitive Archaeology  |  Sirmione, Italy</w:t>
      </w:r>
    </w:p>
    <w:p w:rsidR="00FB52D0" w:rsidRDefault="00000000">
      <w:pPr>
        <w:spacing w:before="100" w:after="100" w:line="276" w:lineRule="auto"/>
        <w:jc w:val="center"/>
      </w:pPr>
      <w:r>
        <w:rPr>
          <w:color w:val="555555"/>
          <w:sz w:val="20"/>
          <w:szCs w:val="20"/>
        </w:rPr>
        <w:t>ORCID: 0009-0003-4953-1427  |  Anthony.vondoom@outlook.com</w:t>
      </w:r>
    </w:p>
    <w:p w:rsidR="00C72061" w:rsidRDefault="00C72061">
      <w:pPr>
        <w:spacing w:before="100" w:after="100" w:line="276" w:lineRule="auto"/>
        <w:jc w:val="center"/>
        <w:rPr>
          <w:color w:val="555555"/>
          <w:sz w:val="20"/>
          <w:szCs w:val="20"/>
          <w:lang w:val="en-US"/>
        </w:rPr>
      </w:pPr>
      <w:r w:rsidRPr="00C72061">
        <w:rPr>
          <w:color w:val="555555"/>
          <w:sz w:val="20"/>
          <w:szCs w:val="20"/>
          <w:lang w:val="en-US"/>
        </w:rPr>
        <w:t xml:space="preserve"> </w:t>
      </w:r>
      <w:proofErr w:type="spellStart"/>
      <w:r>
        <w:rPr>
          <w:color w:val="555555"/>
          <w:sz w:val="20"/>
          <w:szCs w:val="20"/>
          <w:lang w:val="en-US"/>
        </w:rPr>
        <w:t>Zenodo</w:t>
      </w:r>
      <w:proofErr w:type="spellEnd"/>
      <w:r>
        <w:rPr>
          <w:color w:val="555555"/>
          <w:sz w:val="20"/>
          <w:szCs w:val="20"/>
          <w:lang w:val="en-US"/>
        </w:rPr>
        <w:t xml:space="preserve"> publication </w:t>
      </w:r>
      <w:hyperlink r:id="rId7" w:history="1">
        <w:r w:rsidRPr="00CE0685">
          <w:rPr>
            <w:rStyle w:val="Hyperlink"/>
            <w:sz w:val="20"/>
            <w:szCs w:val="20"/>
            <w:lang w:val="en-US"/>
          </w:rPr>
          <w:t>https://doi.org/10.5281/zenodo.19241334</w:t>
        </w:r>
      </w:hyperlink>
      <w:r>
        <w:rPr>
          <w:color w:val="555555"/>
          <w:sz w:val="20"/>
          <w:szCs w:val="20"/>
          <w:lang w:val="en-US"/>
        </w:rPr>
        <w:t xml:space="preserve"> </w:t>
      </w:r>
    </w:p>
    <w:p w:rsidR="00FB52D0" w:rsidRDefault="00000000">
      <w:pPr>
        <w:spacing w:before="100" w:after="100" w:line="276" w:lineRule="auto"/>
        <w:jc w:val="center"/>
      </w:pPr>
      <w:r>
        <w:rPr>
          <w:color w:val="555555"/>
          <w:sz w:val="20"/>
          <w:szCs w:val="20"/>
        </w:rPr>
        <w:t>DSSM Working Paper Series  |  Paper 46  |  March 25, 2026</w:t>
      </w:r>
    </w:p>
    <w:p w:rsidR="00FB52D0" w:rsidRDefault="00FB52D0">
      <w:pPr>
        <w:spacing w:before="80"/>
      </w:pPr>
    </w:p>
    <w:p w:rsidR="00FB52D0" w:rsidRDefault="00000000">
      <w:pPr>
        <w:spacing w:after="40"/>
        <w:ind w:left="720" w:right="720"/>
        <w:jc w:val="center"/>
      </w:pPr>
      <w:r>
        <w:rPr>
          <w:i/>
          <w:iCs/>
          <w:color w:val="777777"/>
          <w:sz w:val="20"/>
          <w:szCs w:val="20"/>
        </w:rPr>
        <w:t>Source: The Council — AI-Powered Intelligence Analysis System. Topic-driven, news-gathering, multi-agent pipeline rendered by Claude. This paper documents the Council&amp;#x2019;s first output entered into the DSSM academic record and integrates it against the NETJERU forward watch.</w:t>
      </w:r>
    </w:p>
    <w:p w:rsidR="00FB52D0" w:rsidRDefault="00FB52D0">
      <w:pPr>
        <w:spacing w:before="80"/>
      </w:pPr>
    </w:p>
    <w:p w:rsidR="00FB52D0" w:rsidRDefault="00000000">
      <w:pPr>
        <w:pBdr>
          <w:top w:val="single" w:sz="4" w:space="1" w:color="8B0000"/>
          <w:bottom w:val="single" w:sz="4" w:space="1" w:color="8B0000"/>
        </w:pBdr>
        <w:spacing w:after="60"/>
        <w:ind w:left="720" w:right="720"/>
        <w:jc w:val="center"/>
      </w:pPr>
      <w:r>
        <w:rPr>
          <w:b/>
          <w:bCs/>
          <w:color w:val="8B0000"/>
          <w:sz w:val="20"/>
          <w:szCs w:val="20"/>
        </w:rPr>
        <w:t>RESTRICTED — Intelligence Assessment. The Council&amp;#x2019;s outputs are actor-specific geopolitical prescriptions. Confidence levels are explicitly bounded. Structural DSSM analysis: moderate-to-high confidence. Timeline and trigger sequencing: inherently uncertain.</w:t>
      </w:r>
    </w:p>
    <w:p w:rsidR="00FB52D0" w:rsidRDefault="00FB52D0">
      <w:pPr>
        <w:spacing w:before="160"/>
      </w:pPr>
    </w:p>
    <w:p w:rsidR="00FB52D0" w:rsidRDefault="00FB52D0">
      <w:pPr>
        <w:pBdr>
          <w:bottom w:val="single" w:sz="8" w:space="1" w:color="B8860B"/>
        </w:pBdr>
        <w:spacing w:before="200" w:after="200"/>
      </w:pPr>
    </w:p>
    <w:p w:rsidR="00FB52D0" w:rsidRDefault="00FB52D0">
      <w:pPr>
        <w:spacing w:before="100"/>
      </w:pPr>
    </w:p>
    <w:p w:rsidR="00FB52D0" w:rsidRDefault="00000000">
      <w:pPr>
        <w:pStyle w:val="Heading1"/>
      </w:pPr>
      <w:r>
        <w:t>Abstract</w:t>
      </w:r>
    </w:p>
    <w:p w:rsidR="00FB52D0" w:rsidRDefault="00000000">
      <w:pPr>
        <w:spacing w:before="100" w:after="100" w:line="276" w:lineRule="auto"/>
        <w:ind w:left="360" w:right="360"/>
        <w:jc w:val="both"/>
      </w:pPr>
      <w:r>
        <w:rPr>
          <w:i/>
          <w:iCs/>
        </w:rPr>
        <w:t>This paper documents the first output of The Council — an AI-powered geopolitical intelligence system — entered into the DSSM academic record. The Council was directed at the 2026 Gulf Confrontation and produced Ra&amp;#x2019;s Judgment: a structured intelligence assessment covering situation analysis, risk register, historical parallel evaluation, actor leverage mapping, and prioritized recommendations. The paper presents the Council&amp;#x2019;s full output, provides DSSM integration against the NETJERU forward watch record, and assesses the methodological relationship between the two systems. The Council&amp;#x2019;s primary finding is that the 2026 Gulf Confrontation is not primarily a military crisis but a financial stress test: the most dangerous outcome is not regional war that kills people but regional war that kills confidence in dollar-denominated energy settlement at a moment when that confidence is already structurally weakened by dedollarization trends. The Suez analogue holds on four structural variables but is directionally inverted: in 1956 the US wielded dollar leverage against Britain; in 2026 the US is exposed to leverage through its debt position and the Strait&amp;#x2019;s role as the physical throat of petrodollar circulation. The Council identifies four leverage holders, nine risks across three confidence tiers, and five prioritized recommendations. DSSM integration finds direct confirmation of NETJERU Cycle 3 structural signals across three of the five recommendations, and identifies the Council&amp;#x2019;s Priority 4 recommendation as a potential trigger for NETJERU&amp;#x2019;s Cycle 1 forward watch signal on replacement monetary architecture.</w:t>
      </w:r>
    </w:p>
    <w:p w:rsidR="00FB52D0" w:rsidRDefault="00FB52D0">
      <w:pPr>
        <w:spacing w:before="120"/>
      </w:pPr>
    </w:p>
    <w:p w:rsidR="00FB52D0" w:rsidRDefault="00000000">
      <w:pPr>
        <w:spacing w:before="80" w:after="80"/>
        <w:ind w:left="360" w:right="360"/>
      </w:pPr>
      <w:r>
        <w:rPr>
          <w:b/>
          <w:bCs/>
          <w:sz w:val="20"/>
          <w:szCs w:val="20"/>
        </w:rPr>
        <w:t xml:space="preserve">Keywords: </w:t>
      </w:r>
      <w:r>
        <w:rPr>
          <w:sz w:val="20"/>
          <w:szCs w:val="20"/>
        </w:rPr>
        <w:t>The Council, DSSM, Gulf confrontation 2026, Hormuz, petrodollar, dollar hegemony, Suez analogue, Iran IRGC, Saudi Arabia oil pricing, US fiscal vulnerability, Bretton Woods, NETJERU integration, intelligence assessment, Paper 46</w:t>
      </w:r>
    </w:p>
    <w:p w:rsidR="00FB52D0" w:rsidRDefault="00FB52D0">
      <w:pPr>
        <w:pBdr>
          <w:bottom w:val="single" w:sz="6" w:space="1" w:color="2E4A7A"/>
        </w:pBdr>
        <w:spacing w:before="200" w:after="200"/>
      </w:pPr>
    </w:p>
    <w:p w:rsidR="00FB52D0" w:rsidRDefault="00FB52D0">
      <w:pPr>
        <w:spacing w:before="100"/>
      </w:pPr>
    </w:p>
    <w:p w:rsidR="00FB52D0" w:rsidRDefault="00000000">
      <w:pPr>
        <w:pStyle w:val="Heading1"/>
      </w:pPr>
      <w:r>
        <w:t>Table of Contents</w:t>
      </w:r>
    </w:p>
    <w:p w:rsidR="00FB52D0" w:rsidRDefault="00000000">
      <w:pPr>
        <w:spacing w:before="60" w:after="60"/>
      </w:pPr>
      <w:r>
        <w:rPr>
          <w:color w:val="2E4A7A"/>
          <w:sz w:val="20"/>
          <w:szCs w:val="20"/>
        </w:rPr>
        <w:t>1.  Provenance: The Council and Its Relationship to NETJERU</w:t>
      </w:r>
    </w:p>
    <w:p w:rsidR="00FB52D0" w:rsidRDefault="00000000">
      <w:pPr>
        <w:spacing w:before="60" w:after="60"/>
      </w:pPr>
      <w:r>
        <w:rPr>
          <w:color w:val="2E4A7A"/>
          <w:sz w:val="20"/>
          <w:szCs w:val="20"/>
        </w:rPr>
        <w:t>2.  Situation Assessment: A Financial Stress Test Wearing Military Clothing</w:t>
      </w:r>
    </w:p>
    <w:p w:rsidR="00FB52D0" w:rsidRDefault="00000000">
      <w:pPr>
        <w:spacing w:before="60" w:after="60"/>
      </w:pPr>
      <w:r>
        <w:rPr>
          <w:color w:val="2E4A7A"/>
          <w:sz w:val="20"/>
          <w:szCs w:val="20"/>
        </w:rPr>
        <w:t>3.  Risk Register: Nine Risks Across Three Confidence Tiers</w:t>
      </w:r>
    </w:p>
    <w:p w:rsidR="00FB52D0" w:rsidRDefault="00000000">
      <w:pPr>
        <w:spacing w:before="60" w:after="60"/>
      </w:pPr>
      <w:r>
        <w:rPr>
          <w:color w:val="2E4A7A"/>
          <w:sz w:val="20"/>
          <w:szCs w:val="20"/>
        </w:rPr>
        <w:t>4.  Historical Parallel: The Suez Analogue — Correct Frame, Inverted Direction</w:t>
      </w:r>
    </w:p>
    <w:p w:rsidR="00FB52D0" w:rsidRDefault="00000000">
      <w:pPr>
        <w:spacing w:before="60" w:after="60"/>
      </w:pPr>
      <w:r>
        <w:rPr>
          <w:color w:val="2E4A7A"/>
          <w:sz w:val="20"/>
          <w:szCs w:val="20"/>
        </w:rPr>
        <w:t>5.  Leverage Holders: Four Actors, Four Different Calculations</w:t>
      </w:r>
    </w:p>
    <w:p w:rsidR="00FB52D0" w:rsidRDefault="00000000">
      <w:pPr>
        <w:spacing w:before="60" w:after="60"/>
      </w:pPr>
      <w:r>
        <w:rPr>
          <w:color w:val="2E4A7A"/>
          <w:sz w:val="20"/>
          <w:szCs w:val="20"/>
        </w:rPr>
        <w:t>6.  Priority Recommendations: Five Interventions</w:t>
      </w:r>
    </w:p>
    <w:p w:rsidR="00FB52D0" w:rsidRDefault="00000000">
      <w:pPr>
        <w:spacing w:before="60" w:after="60"/>
      </w:pPr>
      <w:r>
        <w:rPr>
          <w:color w:val="2E4A7A"/>
          <w:sz w:val="20"/>
          <w:szCs w:val="20"/>
        </w:rPr>
        <w:t>7.  Confidence and Structural Caveats</w:t>
      </w:r>
    </w:p>
    <w:p w:rsidR="00FB52D0" w:rsidRDefault="00000000">
      <w:pPr>
        <w:spacing w:before="60" w:after="60"/>
      </w:pPr>
      <w:r>
        <w:rPr>
          <w:color w:val="2E4A7A"/>
          <w:sz w:val="20"/>
          <w:szCs w:val="20"/>
        </w:rPr>
        <w:t>8.  DSSM Integration: Council Output Against NETJERU Record</w:t>
      </w:r>
    </w:p>
    <w:p w:rsidR="00FB52D0" w:rsidRDefault="00000000">
      <w:pPr>
        <w:spacing w:before="60" w:after="60"/>
      </w:pPr>
      <w:r>
        <w:rPr>
          <w:color w:val="2E4A7A"/>
          <w:sz w:val="20"/>
          <w:szCs w:val="20"/>
        </w:rPr>
        <w:t>9.  Horus&amp;#x2019;s Assessment</w:t>
      </w:r>
    </w:p>
    <w:p w:rsidR="00FB52D0" w:rsidRDefault="00000000">
      <w:pPr>
        <w:spacing w:before="60" w:after="60"/>
      </w:pPr>
      <w:r>
        <w:rPr>
          <w:color w:val="2E4A7A"/>
          <w:sz w:val="20"/>
          <w:szCs w:val="20"/>
        </w:rPr>
        <w:t>10. Conclusion</w:t>
      </w:r>
    </w:p>
    <w:p w:rsidR="00FB52D0" w:rsidRDefault="00000000">
      <w:pPr>
        <w:spacing w:before="60" w:after="60"/>
      </w:pPr>
      <w:r>
        <w:rPr>
          <w:color w:val="2E4A7A"/>
          <w:sz w:val="20"/>
          <w:szCs w:val="20"/>
        </w:rPr>
        <w:t>References and Related DSSM Papers</w:t>
      </w:r>
    </w:p>
    <w:p w:rsidR="00FB52D0" w:rsidRDefault="00FB52D0">
      <w:pPr>
        <w:pBdr>
          <w:bottom w:val="single" w:sz="6" w:space="1" w:color="2E4A7A"/>
        </w:pBdr>
        <w:spacing w:before="200" w:after="200"/>
      </w:pPr>
    </w:p>
    <w:p w:rsidR="00FB52D0" w:rsidRDefault="00FB52D0">
      <w:pPr>
        <w:spacing w:before="100"/>
      </w:pPr>
    </w:p>
    <w:p w:rsidR="00FB52D0" w:rsidRDefault="00000000">
      <w:pPr>
        <w:pStyle w:val="Heading1"/>
      </w:pPr>
      <w:r>
        <w:t>1. Provenance: The Council and Its Relationship to NETJERU</w:t>
      </w:r>
    </w:p>
    <w:p w:rsidR="00FB52D0" w:rsidRDefault="00000000">
      <w:pPr>
        <w:spacing w:before="100" w:after="100" w:line="276" w:lineRule="auto"/>
        <w:jc w:val="both"/>
      </w:pPr>
      <w:r>
        <w:t>The Council is an AI-powered geopolitical intelligence system. It operates differently from NETJERU. Where NETJERU runs a daily autonomous cycle across four detection domains — Isis ingesting news, Thoth scoring against DSSM criteria, Osiris consolidating memory, Set challenging outputs, Ra assembling the daily brief — the Council is directed. You give it a topic: a war, a financial crisis, a geopolitical event. It goes into the world, gathers real news about it, and runs that information through a pipeline of AI agents. At the end, Claude renders a final judgment on what is happening, how serious it is, and what might come next.</w:t>
      </w:r>
    </w:p>
    <w:p w:rsidR="00FB52D0" w:rsidRDefault="00000000">
      <w:pPr>
        <w:spacing w:before="100" w:after="100" w:line="276" w:lineRule="auto"/>
        <w:jc w:val="both"/>
      </w:pPr>
      <w:r>
        <w:t>The Council is not a chatbot and not a summary tool. It is a full intelligence pipeline designed for serious geopolitical and strategic analysis. Its agent architecture is modelled on Egyptian cognitive archetypes — the same symbolic taxonomy as NETJERU — but its operational mode is reactive and topic-specific rather than proactive and domain-wide.</w:t>
      </w:r>
    </w:p>
    <w:p w:rsidR="00FB52D0" w:rsidRDefault="00000000">
      <w:pPr>
        <w:spacing w:before="100" w:after="100" w:line="276" w:lineRule="auto"/>
        <w:jc w:val="both"/>
      </w:pPr>
      <w:r>
        <w:t>The relationship between the two systems is now formalized in this paper. NETJERU identifies structural signals at the civilizational level. When a signal warrants deep, actor-specific analysis — when the structural warning needs operational threat assessment — the Council goes in. NETJERU provided the structural conditions: Cycle 3 energy fragmentation and commodity-monetary feedback signals pointed directly at the Gulf. The Council was directed at the 2026 Gulf Confrontation and produced Ra's Judgment. This paper documents that output and integrates it against the NETJERU record for the first time.</w:t>
      </w:r>
    </w:p>
    <w:p w:rsidR="00FB52D0" w:rsidRDefault="00000000">
      <w:pPr>
        <w:spacing w:before="100" w:after="100" w:line="276" w:lineRule="auto"/>
        <w:jc w:val="both"/>
      </w:pPr>
      <w:r>
        <w:t>A methodological note on confidence levels: The Council's outputs are actor-specific geopolitical prescriptions rendered under time pressure from live news data. They carry higher uncertainty than NETJERU's structural DSSM scoring, which operates over historical baselines. The Council itself labels its own confidence tiers explicitly and distinguishes structural financial risk assessment (moderate-to-high confidence) from timeline and trigger sequencing (inherently uncertain). This paper preserves those distinctions and does not aggregate them.</w:t>
      </w:r>
    </w:p>
    <w:p w:rsidR="00FB52D0" w:rsidRDefault="00FB52D0">
      <w:pPr>
        <w:spacing w:before="80"/>
      </w:pPr>
    </w:p>
    <w:p w:rsidR="00FB52D0" w:rsidRDefault="00000000">
      <w:pPr>
        <w:pStyle w:val="Heading1"/>
      </w:pPr>
      <w:r>
        <w:t>2. Situation Assessment: A Financial Stress Test Wearing Military Clothing</w:t>
      </w:r>
    </w:p>
    <w:p w:rsidR="00FB52D0" w:rsidRDefault="00000000">
      <w:pPr>
        <w:spacing w:before="100" w:after="100" w:line="276" w:lineRule="auto"/>
        <w:jc w:val="both"/>
      </w:pPr>
      <w:r>
        <w:t>The Council's primary situation assessment is direct: the 2026 Gulf Confrontation is not primarily a military crisis. It is a financial stress test wearing military clothing.</w:t>
      </w:r>
    </w:p>
    <w:p w:rsidR="00FB52D0" w:rsidRDefault="00000000">
      <w:pPr>
        <w:spacing w:before="100" w:after="100" w:line="276" w:lineRule="auto"/>
        <w:jc w:val="both"/>
      </w:pPr>
      <w:r>
        <w:t>The structural conditions that made the Suez analogue compelling are present: a contested chokepoint, a military action that is actually a proxy for monetary order, a hegemon whose financial position constrains its options, and an outcome that could permanently restructure the global monetary hierarchy. However, the geometry is inverted. In 1956, the United States wielded dollar leverage against Britain. In 2026, the United States is exposed to leverage through its $39 trillion debt position and through the Strait of Hormuz's role as the physical throat of petrodollar circulation.</w:t>
      </w:r>
    </w:p>
    <w:p w:rsidR="00FB52D0" w:rsidRDefault="00000000">
      <w:pPr>
        <w:spacing w:before="100" w:after="100" w:line="276" w:lineRule="auto"/>
        <w:jc w:val="both"/>
      </w:pPr>
      <w:r>
        <w:t>The most dangerous outcome is not a regional war that kills people. It is a regional war that kills confidence in dollar-denominated energy settlement at a moment when that confidence is already structurally weakened by dedollarization trends. The Council identifies this as the primary risk not because military casualties are unimportant but because the financial transmission mechanism operates faster, more diffusely, and less reversibly than military outcomes. A military engagement ends when fighting stops. A confidence collapse in dollar-denominated energy settlement does not end when a ceasefire is signed.</w:t>
      </w:r>
    </w:p>
    <w:p w:rsidR="00FB52D0" w:rsidRDefault="00FB52D0">
      <w:pPr>
        <w:spacing w:before="80"/>
      </w:pPr>
    </w:p>
    <w:p w:rsidR="00FB52D0" w:rsidRDefault="00000000">
      <w:pPr>
        <w:pStyle w:val="Heading1"/>
      </w:pPr>
      <w:r>
        <w:t>3. Risk Register: Nine Risks Across Three Confidence Tiers</w:t>
      </w:r>
    </w:p>
    <w:p w:rsidR="00FB52D0" w:rsidRDefault="00000000">
      <w:pPr>
        <w:spacing w:before="100" w:after="100" w:line="276" w:lineRule="auto"/>
        <w:jc w:val="both"/>
      </w:pPr>
      <w:r>
        <w:t>The Council assessed nine distinct risks across three confidence tiers. Table 1 shows the full risk register with Council confidence levels and DSSM structural weights.</w:t>
      </w:r>
    </w:p>
    <w:p w:rsidR="00FB52D0" w:rsidRDefault="00FB52D0">
      <w:pPr>
        <w:spacing w:before="100"/>
      </w:pPr>
    </w:p>
    <w:p w:rsidR="00FB52D0" w:rsidRDefault="00000000">
      <w:pPr>
        <w:spacing w:before="100" w:after="100" w:line="276" w:lineRule="auto"/>
        <w:jc w:val="center"/>
      </w:pPr>
      <w:r>
        <w:rPr>
          <w:b/>
          <w:bCs/>
          <w:color w:val="2E4A7A"/>
          <w:sz w:val="20"/>
          <w:szCs w:val="20"/>
        </w:rPr>
        <w:t>Table 1: Council Risk Register — 2026 Gulf Confrontation</w:t>
      </w:r>
    </w:p>
    <w:p w:rsidR="00FB52D0" w:rsidRDefault="00FB52D0">
      <w:pPr>
        <w:spacing w:before="60"/>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81"/>
        <w:gridCol w:w="1525"/>
        <w:gridCol w:w="1196"/>
        <w:gridCol w:w="5058"/>
      </w:tblGrid>
      <w:tr w:rsidR="00FB52D0">
        <w:tblPrEx>
          <w:tblCellMar>
            <w:top w:w="0" w:type="dxa"/>
            <w:bottom w:w="0" w:type="dxa"/>
          </w:tblCellMar>
        </w:tblPrEx>
        <w:trPr>
          <w:tblHeader/>
        </w:trPr>
        <w:tc>
          <w:tcPr>
            <w:tcW w:w="16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Council Confidence</w:t>
            </w:r>
          </w:p>
        </w:tc>
        <w:tc>
          <w:tcPr>
            <w:tcW w:w="1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Risk</w:t>
            </w:r>
          </w:p>
        </w:tc>
        <w:tc>
          <w:tcPr>
            <w:tcW w:w="1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DSSM Weight</w:t>
            </w:r>
          </w:p>
        </w:tc>
        <w:tc>
          <w:tcPr>
            <w:tcW w:w="54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Assessment</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0000"/>
                <w:sz w:val="20"/>
                <w:szCs w:val="20"/>
              </w:rPr>
              <w:t>HIGH</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Hormuz disruption / energy price shock</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0000"/>
                <w:sz w:val="20"/>
                <w:szCs w:val="20"/>
              </w:rPr>
              <w:t>HIGH</w:t>
            </w:r>
          </w:p>
        </w:tc>
        <w:tc>
          <w:tcPr>
            <w:tcW w:w="5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Even a 2–4 week closure or credible threat generates 40–80% oil price spikes. Sufficient to tip already-fragile G7 economies into recession and accelerate sovereign debt stress including in the US.</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0000"/>
                <w:sz w:val="20"/>
                <w:szCs w:val="20"/>
              </w:rPr>
              <w:t>HIGH</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Petrodollar circuit interruption</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0000"/>
                <w:sz w:val="20"/>
                <w:szCs w:val="20"/>
              </w:rPr>
              <w:t>HIGH</w:t>
            </w:r>
          </w:p>
        </w:tc>
        <w:tc>
          <w:tcPr>
            <w:tcW w:w="54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Gulf states already diversifying into yuan instruments and gold use the crisis as political cover to accelerate dedollarization moves that would otherwise be diplomatically costly.</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0000"/>
                <w:sz w:val="20"/>
                <w:szCs w:val="20"/>
              </w:rPr>
              <w:t>HIGH</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US fiscal amplification</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0000"/>
                <w:sz w:val="20"/>
                <w:szCs w:val="20"/>
              </w:rPr>
              <w:t>HIGH</w:t>
            </w:r>
          </w:p>
        </w:tc>
        <w:tc>
          <w:tcPr>
            <w:tcW w:w="5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At $39T debt with high refinancing costs, simultaneous energy shock and risk-off Treasury selloff creates compound pressure the Fed cannot neutralize without politically unacceptable measures. The mechanism by which a military episode becomes a monetary event.</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0000"/>
                <w:sz w:val="20"/>
                <w:szCs w:val="20"/>
              </w:rPr>
              <w:t>HIGH</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Escalation ladder compression</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6914"/>
                <w:sz w:val="20"/>
                <w:szCs w:val="20"/>
              </w:rPr>
              <w:t>MEDIUM-HIGH</w:t>
            </w:r>
          </w:p>
        </w:tc>
        <w:tc>
          <w:tcPr>
            <w:tcW w:w="54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Israeli-Iranian strike-counterstrike cycles have shortened decision windows. Risk of miscalculation crossing a threshold — chemical, nuclear signaling, or mass-casualty infrastructure strike — that forces US direct intervention is non-trivial.</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6914"/>
                <w:sz w:val="20"/>
                <w:szCs w:val="20"/>
              </w:rPr>
              <w:t>MODERATE</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Gulf state hedging accelerating BRICS+ financial architecture</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MEDIUM</w:t>
            </w:r>
          </w:p>
        </w:tc>
        <w:tc>
          <w:tcPr>
            <w:tcW w:w="5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Saudi Arabia and UAE, caught between US security guarantees and Chinese economic relationships, may use the crisis to formalize partial exit from dollar settlement for hydrocarbon trades.</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6914"/>
                <w:sz w:val="20"/>
                <w:szCs w:val="20"/>
              </w:rPr>
              <w:t>MODERATE</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Institutional paralysis — UN and IMF</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2E4A7A"/>
                <w:sz w:val="20"/>
                <w:szCs w:val="20"/>
              </w:rPr>
              <w:t>MEDIUM</w:t>
            </w:r>
          </w:p>
        </w:tc>
        <w:tc>
          <w:tcPr>
            <w:tcW w:w="54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Great power deadlock prevents coordinated response. Crisis management defaults to bilateral back-channels with lower reliability.</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6914"/>
                <w:sz w:val="20"/>
                <w:szCs w:val="20"/>
              </w:rPr>
              <w:t>MODERATE</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Contagion to European sovereign debt</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MEDIUM</w:t>
            </w:r>
          </w:p>
        </w:tc>
        <w:tc>
          <w:tcPr>
            <w:tcW w:w="5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Energy-import-dependent EU states face simultaneous inflation and growth shocks, reviving fragmentation risks in the eurozone.</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1A6B2A"/>
                <w:sz w:val="20"/>
                <w:szCs w:val="20"/>
              </w:rPr>
              <w:t>SPECULATIVE</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Geographic crises coupling — Gulf / Taiwan</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1A6B2A"/>
                <w:sz w:val="20"/>
                <w:szCs w:val="20"/>
              </w:rPr>
              <w:t>LOW</w:t>
            </w:r>
          </w:p>
        </w:tc>
        <w:tc>
          <w:tcPr>
            <w:tcW w:w="54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Deliberate Iranian strike on VLCC triggering US naval response that China interprets as a precedent for Taiwan Strait enforcement.</w:t>
            </w:r>
          </w:p>
        </w:tc>
      </w:tr>
      <w:tr w:rsidR="00FB52D0">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1A6B2A"/>
                <w:sz w:val="20"/>
                <w:szCs w:val="20"/>
              </w:rPr>
              <w:t>SPECULATIVE</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Saudi formal exit from dollar oil pricing during crisis</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1A6B2A"/>
                <w:sz w:val="20"/>
                <w:szCs w:val="20"/>
              </w:rPr>
              <w:t>LOW</w:t>
            </w:r>
          </w:p>
        </w:tc>
        <w:tc>
          <w:tcPr>
            <w:tcW w:w="5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Saudi Arabia joins a non-dollar oil pricing mechanism during the conflict, using the fog of war as political cover for what would otherwise be a declared monetary realignment.</w:t>
            </w:r>
          </w:p>
        </w:tc>
      </w:tr>
    </w:tbl>
    <w:p w:rsidR="00FB52D0" w:rsidRDefault="00000000">
      <w:pPr>
        <w:spacing w:before="100" w:after="100" w:line="276" w:lineRule="auto"/>
        <w:jc w:val="center"/>
      </w:pPr>
      <w:r>
        <w:rPr>
          <w:i/>
          <w:iCs/>
          <w:color w:val="555555"/>
          <w:sz w:val="18"/>
          <w:szCs w:val="18"/>
        </w:rPr>
        <w:t>Table 1. Nine risks across three Council confidence tiers with DSSM structural weight assessment for each.</w:t>
      </w:r>
    </w:p>
    <w:p w:rsidR="00FB52D0" w:rsidRDefault="00FB52D0">
      <w:pPr>
        <w:spacing w:before="80"/>
      </w:pPr>
    </w:p>
    <w:p w:rsidR="00FB52D0" w:rsidRDefault="00000000">
      <w:pPr>
        <w:spacing w:before="100" w:after="100" w:line="276" w:lineRule="auto"/>
        <w:jc w:val="both"/>
      </w:pPr>
      <w:r>
        <w:t>The four high-confidence risks form a compound pressure system. Hormuz disruption triggers energy price shock; energy price shock amplifies US fiscal stress through inflation and risk-off Treasury dynamics; US fiscal amplification reduces the Fed's ability to respond without politically unacceptable measures; reduced Fed flexibility increases the probability that petrodollar circuit interruption, once initiated, becomes structural rather than temporary. Each risk feeds the next. The compound pressure is what the Council identifies as the primary systemic threat, not any single risk in isolation.</w:t>
      </w:r>
    </w:p>
    <w:p w:rsidR="00FB52D0" w:rsidRDefault="00000000">
      <w:pPr>
        <w:spacing w:before="100" w:after="100" w:line="276" w:lineRule="auto"/>
        <w:jc w:val="both"/>
      </w:pPr>
      <w:r>
        <w:t>The speculative risks carry low probability but high consequence. The geographic crises coupling scenario — a Gulf event interpreted by China as a Taiwan Strait enforcement precedent — is the scenario with the highest second-order consequence because it transforms a regional crisis into a structural great-power confrontation simultaneously. The Council assigns this low confidence, but the DSSM flags it for monitoring: the mechanism is consistent with the symbolic regulation failure pattern identified in Paper 17, where the collapse of one regulatory framework removes the stabilizing precedent that adjacent frameworks depend on.</w:t>
      </w:r>
    </w:p>
    <w:p w:rsidR="00FB52D0" w:rsidRDefault="00FB52D0">
      <w:pPr>
        <w:spacing w:before="80"/>
      </w:pPr>
    </w:p>
    <w:p w:rsidR="00FB52D0" w:rsidRDefault="00000000">
      <w:pPr>
        <w:pStyle w:val="Heading1"/>
      </w:pPr>
      <w:r>
        <w:t>4. Historical Parallel: The Suez Analogue — Correct Frame, Inverted Direction</w:t>
      </w:r>
    </w:p>
    <w:p w:rsidR="00FB52D0" w:rsidRDefault="00000000">
      <w:pPr>
        <w:spacing w:before="100" w:after="100" w:line="276" w:lineRule="auto"/>
        <w:jc w:val="both"/>
      </w:pPr>
      <w:r>
        <w:t>The Council's treatment of the Suez analogue is the most analytically significant section of Ra's Judgment. Osiris identified the Suez parallel as structurally correct on four variables. The Council accepted the identification and then inverted it — and the inversion is the most important analytical point.</w:t>
      </w:r>
    </w:p>
    <w:p w:rsidR="00FB52D0" w:rsidRDefault="00FB52D0">
      <w:pPr>
        <w:spacing w:before="100"/>
      </w:pPr>
    </w:p>
    <w:p w:rsidR="00FB52D0" w:rsidRDefault="00000000">
      <w:pPr>
        <w:spacing w:before="100" w:after="100" w:line="276" w:lineRule="auto"/>
        <w:jc w:val="center"/>
      </w:pPr>
      <w:r>
        <w:rPr>
          <w:b/>
          <w:bCs/>
          <w:color w:val="2E4A7A"/>
          <w:sz w:val="20"/>
          <w:szCs w:val="20"/>
        </w:rPr>
        <w:t>Table 2: Suez 1956 vs Gulf 2026 — Structural Comparison</w:t>
      </w:r>
    </w:p>
    <w:p w:rsidR="00FB52D0" w:rsidRDefault="00FB52D0">
      <w:pPr>
        <w:spacing w:before="60"/>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200"/>
        <w:gridCol w:w="4260"/>
      </w:tblGrid>
      <w:tr w:rsidR="00FB52D0">
        <w:tblPrEx>
          <w:tblCellMar>
            <w:top w:w="0" w:type="dxa"/>
            <w:bottom w:w="0" w:type="dxa"/>
          </w:tblCellMar>
        </w:tblPrEx>
        <w:trPr>
          <w:tblHeader/>
        </w:trPr>
        <w:tc>
          <w:tcPr>
            <w:tcW w:w="20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Variable</w:t>
            </w:r>
          </w:p>
        </w:tc>
        <w:tc>
          <w:tcPr>
            <w:tcW w:w="3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Suez 1956</w:t>
            </w:r>
          </w:p>
        </w:tc>
        <w:tc>
          <w:tcPr>
            <w:tcW w:w="42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Gulf 2026 — Inversion Assessment</w:t>
            </w:r>
          </w:p>
        </w:tc>
      </w:tr>
      <w:tr w:rsidR="00FB52D0">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Contested chokepoint as proxy for monetary order</w:t>
            </w:r>
          </w:p>
        </w:tc>
        <w:tc>
          <w:tcPr>
            <w:tcW w:w="3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Suez Canal, 1956 — Britain and France acting to defend sterling zone and colonial infrastructure. The canal was simultaneously a trade route and a symbol of imperial monetary authority.</w:t>
            </w:r>
          </w:p>
        </w:tc>
        <w:tc>
          <w:tcPr>
            <w:tcW w:w="4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Strait of Hormuz, 2026 — Iranian capacity to interdict the physical throat of petrodollar circulation. The strait is simultaneously a military chokepoint and the key node through which dollar-denominated energy settlement operates.</w:t>
            </w:r>
          </w:p>
        </w:tc>
      </w:tr>
      <w:tr w:rsidR="00FB52D0">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Declining hegemon whose financial position constrains military options</w:t>
            </w:r>
          </w:p>
        </w:tc>
        <w:tc>
          <w:tcPr>
            <w:tcW w:w="3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UK in 1956 — sterling under dollar pressure; Eisenhower threatened to withhold IMF support and allow sterling collapse. Britain could not sustain military action against US financial opposition.</w:t>
            </w:r>
          </w:p>
        </w:tc>
        <w:tc>
          <w:tcPr>
            <w:tcW w:w="4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US in 2026 — $39T debt, high refinancing costs, structurally weakened dollar confidence from dedollarization trends. The US cannot sustain extended military engagement without accelerating the fiscal stress that is already the primary vulnerability.</w:t>
            </w:r>
          </w:p>
        </w:tc>
      </w:tr>
      <w:tr w:rsidR="00FB52D0">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Financial weapon more decisive than military outcome</w:t>
            </w:r>
          </w:p>
        </w:tc>
        <w:tc>
          <w:tcPr>
            <w:tcW w:w="3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Eisenhower did not defeat Britain militarily. He applied dollar leverage — sterling pressure, IMF threat — to force British withdrawal. The decisive blow was financial, not military.</w:t>
            </w:r>
          </w:p>
        </w:tc>
        <w:tc>
          <w:tcPr>
            <w:tcW w:w="42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The decisive risk in 2026 is not Iranian military capability defeating US forces. It is that the crisis produces structural monetary transformation — petrodollar confidence erosion, Gulf state dedollarization acceleration — without any actor needing to consciously wield a financial weapon.</w:t>
            </w:r>
          </w:p>
        </w:tc>
      </w:tr>
      <w:tr w:rsidR="00FB52D0">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Outcome restructures global monetary hierarchy</w:t>
            </w:r>
          </w:p>
        </w:tc>
        <w:tc>
          <w:tcPr>
            <w:tcW w:w="3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Suez produced a clean new order — American hegemony consolidated, sterling permanently subordinated, British imperial role ended. A single identifiable actor wielded leverage with precision and intent.</w:t>
            </w:r>
          </w:p>
        </w:tc>
        <w:tc>
          <w:tcPr>
            <w:tcW w:w="42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2026 is more likely to produce disorder than a new order: multipolar monetary fragmentation in which no single currency commands the institutional trust the dollar currently holds. No winner. No clean new order. The coordinating mechanism for crisis resolution itself is removed.</w:t>
            </w:r>
          </w:p>
        </w:tc>
      </w:tr>
    </w:tbl>
    <w:p w:rsidR="00FB52D0" w:rsidRDefault="00000000">
      <w:pPr>
        <w:spacing w:before="100" w:after="100" w:line="276" w:lineRule="auto"/>
        <w:jc w:val="center"/>
      </w:pPr>
      <w:r>
        <w:rPr>
          <w:i/>
          <w:iCs/>
          <w:color w:val="555555"/>
          <w:sz w:val="18"/>
          <w:szCs w:val="18"/>
        </w:rPr>
        <w:t>Table 2. Four structural variables compared across Suez 1956 and Gulf 2026. The analogue holds on all four variables but the direction is inverted on three of them.</w:t>
      </w:r>
    </w:p>
    <w:p w:rsidR="00FB52D0" w:rsidRDefault="00FB52D0">
      <w:pPr>
        <w:spacing w:before="80"/>
      </w:pPr>
    </w:p>
    <w:p w:rsidR="00FB52D0" w:rsidRDefault="00000000">
      <w:pPr>
        <w:spacing w:before="100" w:after="100" w:line="276" w:lineRule="auto"/>
        <w:jc w:val="both"/>
      </w:pPr>
      <w:r>
        <w:t>The critical inversion is on the nature of the financial weapon. In 1956, Eisenhower wielded dollar leverage with precision and intent against identifiable counterparties — UK sterling, specific IMF support decisions. The financial weapon was deployed consciously by a single actor. In 2026, the financial weapon is diffuse, structural, and partially autonomous. It operates through market psychology, algorithmic sovereign debt trading, and the cumulative behavior of dozens of central banks, none of which needs to consciously pull a trigger. The crisis can produce structural monetary transformation without any actor intending it.</w:t>
      </w:r>
    </w:p>
    <w:p w:rsidR="00FB52D0" w:rsidRDefault="00000000">
      <w:pPr>
        <w:spacing w:before="100" w:after="100" w:line="276" w:lineRule="auto"/>
        <w:jc w:val="both"/>
      </w:pPr>
      <w:r>
        <w:t>This distinction has direct implications for deterrence and negotiation. In 1956, the financial weapon could be deterred by removing the conditions that made it viable — Britain backing down removed the trigger for dollar pressure. In 2026, the diffuse financial weapon cannot be deterred in the same way because it has no single decision point. Market psychology, once disturbed, does not respond to back-channel communications or face-saving off-ramps. It responds to structural conditions. Deterrence must therefore operate at the structural level — strategic petroleum reserve pre-emption, dollar system stabilization initiatives — rather than at the actor-signal level.</w:t>
      </w:r>
    </w:p>
    <w:p w:rsidR="00FB52D0" w:rsidRDefault="00000000">
      <w:pPr>
        <w:spacing w:before="100" w:after="100" w:line="276" w:lineRule="auto"/>
        <w:jc w:val="both"/>
      </w:pPr>
      <w:r>
        <w:t>The second inversion is on outcome. Suez produced a clean new order. American hegemony was consolidated, British imperial role ended, the monetary hierarchy was clarified. The 2026 outcome is more likely to produce disorder: multipolar monetary fragmentation in which no single currency commands the institutional trust the dollar currently holds. That is worse than Suez, not better, because it removes the coordinating mechanism for crisis resolution itself. A world with a clear monetary hegemon, even an extractive one, can coordinate responses to crises. A world in monetary fragmentation cannot.</w:t>
      </w:r>
    </w:p>
    <w:p w:rsidR="00FB52D0" w:rsidRDefault="00FB52D0">
      <w:pPr>
        <w:spacing w:before="80"/>
      </w:pPr>
    </w:p>
    <w:p w:rsidR="00FB52D0" w:rsidRDefault="00000000">
      <w:pPr>
        <w:pStyle w:val="Heading1"/>
      </w:pPr>
      <w:r>
        <w:t>5. Leverage Holders: Four Actors, Four Different Calculations</w:t>
      </w:r>
    </w:p>
    <w:p w:rsidR="00FB52D0" w:rsidRDefault="00000000">
      <w:pPr>
        <w:spacing w:before="100" w:after="100" w:line="276" w:lineRule="auto"/>
        <w:jc w:val="both"/>
      </w:pPr>
      <w:r>
        <w:t>The Council identified four actors with decisive leverage in the current window. Their calculations are structurally different from each other and from the standard deterrence model. Table 3 shows the full leverage assessment.</w:t>
      </w:r>
    </w:p>
    <w:p w:rsidR="00FB52D0" w:rsidRDefault="00FB52D0">
      <w:pPr>
        <w:spacing w:before="100"/>
      </w:pPr>
    </w:p>
    <w:p w:rsidR="00FB52D0" w:rsidRDefault="00000000">
      <w:pPr>
        <w:spacing w:before="100" w:after="100" w:line="276" w:lineRule="auto"/>
        <w:jc w:val="center"/>
      </w:pPr>
      <w:r>
        <w:rPr>
          <w:b/>
          <w:bCs/>
          <w:color w:val="2E4A7A"/>
          <w:sz w:val="20"/>
          <w:szCs w:val="20"/>
        </w:rPr>
        <w:t>Table 3: Leverage Holders — Decisive Actors and Their Calculations</w:t>
      </w:r>
    </w:p>
    <w:p w:rsidR="00FB52D0" w:rsidRDefault="00FB52D0">
      <w:pPr>
        <w:spacing w:before="60"/>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60"/>
        <w:gridCol w:w="1736"/>
        <w:gridCol w:w="2143"/>
        <w:gridCol w:w="4221"/>
      </w:tblGrid>
      <w:tr w:rsidR="00FB52D0">
        <w:tblPrEx>
          <w:tblCellMar>
            <w:top w:w="0" w:type="dxa"/>
            <w:bottom w:w="0" w:type="dxa"/>
          </w:tblCellMar>
        </w:tblPrEx>
        <w:trPr>
          <w:tblHeader/>
        </w:trPr>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Actor</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Leverage Window</w:t>
            </w:r>
          </w:p>
        </w:tc>
        <w:tc>
          <w:tcPr>
            <w:tcW w:w="2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Nature of Leverage</w:t>
            </w:r>
          </w:p>
        </w:tc>
        <w:tc>
          <w:tcPr>
            <w:tcW w:w="44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Council Assessment</w:t>
            </w:r>
          </w:p>
        </w:tc>
      </w:tr>
      <w:tr w:rsidR="00FB52D0">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United States</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0000"/>
                <w:sz w:val="20"/>
                <w:szCs w:val="20"/>
              </w:rPr>
              <w:t>CLOSING</w:t>
            </w:r>
          </w:p>
        </w:tc>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Military deterrence + economic off-ramp capacity</w:t>
            </w:r>
          </w:p>
        </w:tc>
        <w:tc>
          <w:tcPr>
            <w:tcW w:w="4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Holds the ability to offer Iran a credible sanctions relief pathway and to communicate Hormuz red lines through back-channels. This leverage window is closing as US fiscal constraints become more visible and as Gulf states calculate whether US security guarantees are credible under fiscal stress.</w:t>
            </w:r>
          </w:p>
        </w:tc>
      </w:tr>
      <w:tr w:rsidR="00FB52D0">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Saudi Arabia</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6914"/>
                <w:sz w:val="20"/>
                <w:szCs w:val="20"/>
              </w:rPr>
              <w:t>OPEN — CRITICAL</w:t>
            </w:r>
          </w:p>
        </w:tc>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Dollar settlement decision authority</w:t>
            </w:r>
          </w:p>
        </w:tc>
        <w:tc>
          <w:tcPr>
            <w:tcW w:w="44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Saudi Arabia's decision on whether to price oil in alternative currencies during the crisis is the single most consequential monetary choice available to any actor. Riyadh knows this. The crisis gives it political cover for a move it has been building toward structurally. This leverage is available to Riyadh regardless of the military outcome.</w:t>
            </w:r>
          </w:p>
        </w:tc>
      </w:tr>
      <w:tr w:rsidR="00FB52D0">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China</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AMBIGUOUS</w:t>
            </w:r>
          </w:p>
        </w:tc>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Iran economic lifeline + monetary fragmentation beneficiary</w:t>
            </w:r>
          </w:p>
        </w:tc>
        <w:tc>
          <w:tcPr>
            <w:tcW w:w="44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Holds Iran's economic lifeline and has the most to gain from monetary fragmentation — but also the most to lose from a genuine regional war that disrupts its own energy supply. China is a reluctant arsonist: it benefits from the fire but cannot fully control where it spreads.</w:t>
            </w:r>
          </w:p>
        </w:tc>
      </w:tr>
      <w:tr w:rsidR="00FB52D0">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Iran IRGC</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2E4A7A"/>
                <w:sz w:val="20"/>
                <w:szCs w:val="20"/>
              </w:rPr>
              <w:t>OPERATIONAL</w:t>
            </w:r>
          </w:p>
        </w:tc>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Hormuz interdiction authority</w:t>
            </w:r>
          </w:p>
        </w:tc>
        <w:tc>
          <w:tcPr>
            <w:tcW w:w="44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The IRGC — not Iran's political leadership — controls Hormuz operational decisions. This is the most critical structural gap in every de-escalation model: diplomatic signals directed at Tehran's government may not reach or bind the operational commanders who control the physical chokepoint. Standard back-channel architecture is misaligned with actual decision authority.</w:t>
            </w:r>
          </w:p>
        </w:tc>
      </w:tr>
    </w:tbl>
    <w:p w:rsidR="00FB52D0" w:rsidRDefault="00000000">
      <w:pPr>
        <w:spacing w:before="100" w:after="100" w:line="276" w:lineRule="auto"/>
        <w:jc w:val="center"/>
      </w:pPr>
      <w:r>
        <w:rPr>
          <w:i/>
          <w:iCs/>
          <w:color w:val="555555"/>
          <w:sz w:val="18"/>
          <w:szCs w:val="18"/>
        </w:rPr>
        <w:t>Table 3. Four leverage holders with window status, nature of leverage, and Council assessment of their decision calculus.</w:t>
      </w:r>
    </w:p>
    <w:p w:rsidR="00FB52D0" w:rsidRDefault="00FB52D0">
      <w:pPr>
        <w:spacing w:before="80"/>
      </w:pPr>
    </w:p>
    <w:p w:rsidR="00FB52D0" w:rsidRDefault="00000000">
      <w:pPr>
        <w:spacing w:before="100" w:after="100" w:line="276" w:lineRule="auto"/>
        <w:jc w:val="both"/>
      </w:pPr>
      <w:r>
        <w:t>The IRGC observation is the most practically important single finding in the Council's output. Standard crisis de-escalation architecture — back-channel communications, diplomatic signaling, third-party mediation — is designed to reach political decision-makers. It assumes that political decision-makers control operational decisions. In the case of Hormuz interdiction, that assumption is structurally incorrect. The IRGC controls operational decisions and is not fully responsive to diplomatic signals directed at Tehran's political leadership. This gap is not a communication problem. It is an institutional architecture problem. Every de-escalation model that routes signals through Tehran's government to reach IRGC operational commanders is misaligned with actual decision authority.</w:t>
      </w:r>
    </w:p>
    <w:p w:rsidR="00FB52D0" w:rsidRDefault="00000000">
      <w:pPr>
        <w:spacing w:before="100" w:after="100" w:line="276" w:lineRule="auto"/>
        <w:jc w:val="both"/>
      </w:pPr>
      <w:r>
        <w:t>The Saudi Arabia leverage assessment deserves explicit elaboration. Riyadh's decision on dollar oil settlement is not a future possibility — it is a present option that Saudi Arabia has been building toward structurally through reserve diversification, yuan-denominated instrument investment, and the BRICS+ engagement process. The 2026 Gulf crisis provides political cover for a move that would otherwise be diplomatically costly. The fog of war makes it possible for Riyadh to present a monetary realignment decision as a crisis response rather than as a deliberate strategic choice. The Council identifies this as the single most consequential monetary decision available to any actor in the current window.</w:t>
      </w:r>
    </w:p>
    <w:p w:rsidR="00FB52D0" w:rsidRDefault="00FB52D0">
      <w:pPr>
        <w:spacing w:before="80"/>
      </w:pPr>
    </w:p>
    <w:p w:rsidR="00FB52D0" w:rsidRDefault="00000000">
      <w:pPr>
        <w:pStyle w:val="Heading1"/>
      </w:pPr>
      <w:r>
        <w:t>6. Priority Recommendations: Five Interventions</w:t>
      </w:r>
    </w:p>
    <w:p w:rsidR="00FB52D0" w:rsidRDefault="00000000">
      <w:pPr>
        <w:spacing w:before="100" w:after="100" w:line="276" w:lineRule="auto"/>
        <w:jc w:val="both"/>
      </w:pPr>
      <w:r>
        <w:t>The Council produced five prioritized recommendations. Table 4 shows the full recommendation set with timelines, priority levels, and operational specifications.</w:t>
      </w:r>
    </w:p>
    <w:p w:rsidR="00FB52D0" w:rsidRDefault="00FB52D0">
      <w:pPr>
        <w:spacing w:before="100"/>
      </w:pPr>
    </w:p>
    <w:p w:rsidR="00FB52D0" w:rsidRDefault="00000000">
      <w:pPr>
        <w:spacing w:before="100" w:after="100" w:line="276" w:lineRule="auto"/>
        <w:jc w:val="center"/>
      </w:pPr>
      <w:r>
        <w:rPr>
          <w:b/>
          <w:bCs/>
          <w:color w:val="2E4A7A"/>
          <w:sz w:val="20"/>
          <w:szCs w:val="20"/>
        </w:rPr>
        <w:t>Table 4: Council Priority Recommendations</w:t>
      </w:r>
    </w:p>
    <w:p w:rsidR="00FB52D0" w:rsidRDefault="00FB52D0">
      <w:pPr>
        <w:spacing w:before="60"/>
      </w:pPr>
    </w:p>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99"/>
        <w:gridCol w:w="1959"/>
        <w:gridCol w:w="1187"/>
        <w:gridCol w:w="1378"/>
        <w:gridCol w:w="5537"/>
      </w:tblGrid>
      <w:tr w:rsidR="00FB52D0">
        <w:tblPrEx>
          <w:tblCellMar>
            <w:top w:w="0" w:type="dxa"/>
            <w:bottom w:w="0" w:type="dxa"/>
          </w:tblCellMar>
        </w:tblPrEx>
        <w:trPr>
          <w:tblHeader/>
        </w:trPr>
        <w:tc>
          <w:tcPr>
            <w:tcW w:w="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Recommendation</w:t>
            </w:r>
          </w:p>
        </w:tc>
        <w:tc>
          <w:tcPr>
            <w:tcW w:w="1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Timeline</w:t>
            </w:r>
          </w:p>
        </w:tc>
        <w:tc>
          <w:tcPr>
            <w:tcW w:w="14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Priority</w:t>
            </w:r>
          </w:p>
        </w:tc>
        <w:tc>
          <w:tcPr>
            <w:tcW w:w="60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Operational Specification</w:t>
            </w:r>
          </w:p>
        </w:tc>
      </w:tr>
      <w:tr w:rsidR="00FB52D0">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1</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Prevent Hormuz closure through credible bounded naval posture</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color w:val="1A1A2E"/>
                <w:sz w:val="20"/>
                <w:szCs w:val="20"/>
              </w:rPr>
              <w:t>0–30 days</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0000"/>
                <w:sz w:val="20"/>
                <w:szCs w:val="20"/>
              </w:rPr>
              <w:t>CRITICAL</w:t>
            </w:r>
          </w:p>
        </w:tc>
        <w:tc>
          <w:tcPr>
            <w:tcW w:w="6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Back-channel communication to Tehran — not public statements — that Hormuz interference triggers automatic, proportionate, and explicitly limited naval response. The word 'limited' matters: Iran needs an off-ramp that does not require full capitulation. Simultaneously, private communication to Israel that further unilateral strikes will not receive automatic diplomatic cover. This is not appeasement — it is preventing a two-front escalation that removes US room for maneuver.</w:t>
            </w:r>
          </w:p>
        </w:tc>
      </w:tr>
      <w:tr w:rsidR="00FB52D0">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2E4A7A"/>
                <w:sz w:val="20"/>
                <w:szCs w:val="20"/>
              </w:rPr>
              <w:t>2</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Emergency G20 energy market coordination</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color w:val="1A1A2E"/>
                <w:sz w:val="20"/>
                <w:szCs w:val="20"/>
              </w:rPr>
              <w:t>0–10 days</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8B0000"/>
                <w:sz w:val="20"/>
                <w:szCs w:val="20"/>
              </w:rPr>
              <w:t>CRITICAL</w:t>
            </w:r>
          </w:p>
        </w:tc>
        <w:tc>
          <w:tcPr>
            <w:tcW w:w="6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Activate strategic petroleum reserves in concert across US, EU, Japan, South Korea, and India before a Hormuz event, not after. Pre-emptive release signals market stabilization intent and removes Iran's ability to generate a price shock as leverage. Requires G20 emergency session within 10 days of this assessment.</w:t>
            </w:r>
          </w:p>
        </w:tc>
      </w:tr>
      <w:tr w:rsidR="00FB52D0">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3</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Direct US-Iran financial negotiation track</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color w:val="1A1A2E"/>
                <w:sz w:val="20"/>
                <w:szCs w:val="20"/>
              </w:rPr>
              <w:t>30–90 days</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HIGH</w:t>
            </w:r>
          </w:p>
        </w:tc>
        <w:tc>
          <w:tcPr>
            <w:tcW w:w="6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The only durable de-escalation mechanism is economic. Iran's ultimate leverage is its ability to weaponize US fiscal vulnerability. The only way to neutralize that leverage is to give Iran a stake in dollar-system stability. Credible, verifiable sanctions relief pathway tied to Hormuz non-interference guarantees — not a full nuclear deal, which is too complex to execute under crisis conditions. Narrow, transactional, financially-framed.</w:t>
            </w:r>
          </w:p>
        </w:tc>
      </w:tr>
      <w:tr w:rsidR="00FB52D0">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2E4A7A"/>
                <w:sz w:val="20"/>
                <w:szCs w:val="20"/>
              </w:rPr>
              <w:t>4</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b/>
                <w:bCs/>
                <w:color w:val="2E4A7A"/>
                <w:sz w:val="20"/>
                <w:szCs w:val="20"/>
              </w:rPr>
              <w:t>Proactive multilateral dollar system stabilization</w:t>
            </w:r>
          </w:p>
        </w:tc>
        <w:tc>
          <w:tcPr>
            <w:tcW w:w="1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color w:val="1A1A2E"/>
                <w:sz w:val="20"/>
                <w:szCs w:val="20"/>
              </w:rPr>
              <w:t>90 days+</w:t>
            </w:r>
          </w:p>
        </w:tc>
        <w:tc>
          <w:tcPr>
            <w:tcW w:w="14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pPr>
              <w:jc w:val="center"/>
            </w:pPr>
            <w:r>
              <w:rPr>
                <w:b/>
                <w:bCs/>
                <w:color w:val="2E4A7A"/>
                <w:sz w:val="20"/>
                <w:szCs w:val="20"/>
              </w:rPr>
              <w:t>HIGH</w:t>
            </w:r>
          </w:p>
        </w:tc>
        <w:tc>
          <w:tcPr>
            <w:tcW w:w="6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The US should lead a multilateral conversation about reforming the international monetary system rather than defending the status quo rigidly. A US-initiated proposal for a revised Bretton Woods framework — even one that acknowledges multipolarity — is far less damaging than having dedollarization forced upon the system by crisis. Accept a restructuring you can shape rather than resist one that will be imposed. This is the Eisenhower move.</w:t>
            </w:r>
          </w:p>
        </w:tc>
      </w:tr>
      <w:tr w:rsidR="00FB52D0">
        <w:tblPrEx>
          <w:tblCellMar>
            <w:top w:w="0" w:type="dxa"/>
            <w:bottom w:w="0" w:type="dxa"/>
          </w:tblCellMar>
        </w:tblPrEx>
        <w:tc>
          <w:tcPr>
            <w:tcW w:w="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2E4A7A"/>
                <w:sz w:val="20"/>
                <w:szCs w:val="20"/>
              </w:rPr>
              <w:t>5</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b/>
                <w:bCs/>
                <w:color w:val="2E4A7A"/>
                <w:sz w:val="20"/>
                <w:szCs w:val="20"/>
              </w:rPr>
              <w:t>Israeli-Iranian de-escalation via European mediation</w:t>
            </w:r>
          </w:p>
        </w:tc>
        <w:tc>
          <w:tcPr>
            <w:tcW w:w="1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color w:val="1A1A2E"/>
                <w:sz w:val="20"/>
                <w:szCs w:val="20"/>
              </w:rPr>
              <w:t>Parallel</w:t>
            </w:r>
          </w:p>
        </w:tc>
        <w:tc>
          <w:tcPr>
            <w:tcW w:w="14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pPr>
              <w:jc w:val="center"/>
            </w:pPr>
            <w:r>
              <w:rPr>
                <w:b/>
                <w:bCs/>
                <w:color w:val="8B6914"/>
                <w:sz w:val="20"/>
                <w:szCs w:val="20"/>
              </w:rPr>
              <w:t>MEDIUM</w:t>
            </w:r>
          </w:p>
        </w:tc>
        <w:tc>
          <w:tcPr>
            <w:tcW w:w="6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EU — specifically Germany and France — activated as a mediation channel for a bilateral Israeli-Iranian pause agreement. This does not require normalization — only a mutually face-saving halt to the strike-counterstrike cycle. Qatar and Oman retain the back-channel relationships to facilitate. Parallel track to Priority 1, not sequential.</w:t>
            </w:r>
          </w:p>
        </w:tc>
      </w:tr>
    </w:tbl>
    <w:p w:rsidR="00FB52D0" w:rsidRDefault="00000000">
      <w:pPr>
        <w:spacing w:before="100" w:after="100" w:line="276" w:lineRule="auto"/>
        <w:jc w:val="center"/>
      </w:pPr>
      <w:r>
        <w:rPr>
          <w:i/>
          <w:iCs/>
          <w:color w:val="555555"/>
          <w:sz w:val="18"/>
          <w:szCs w:val="18"/>
        </w:rPr>
        <w:t>Table 4. Five prioritized recommendations with timelines ranging from 0-10 days (emergency) to 90 days+ (structural). Priority 2 has the shortest actionable window.</w:t>
      </w:r>
    </w:p>
    <w:p w:rsidR="00FB52D0" w:rsidRDefault="00FB52D0">
      <w:pPr>
        <w:spacing w:before="80"/>
      </w:pPr>
    </w:p>
    <w:p w:rsidR="00FB52D0" w:rsidRDefault="00000000">
      <w:pPr>
        <w:spacing w:before="100" w:after="100" w:line="276" w:lineRule="auto"/>
        <w:jc w:val="both"/>
      </w:pPr>
      <w:r>
        <w:t>The sequencing of the five recommendations reflects the DSSM's P1 temporal buffer requirement operating at crisis timescale. Priority 1 and Priority 2 are both 0-30 day interventions but they operate on different mechanisms. Priority 1 — bounded naval posture with explicit off-ramp — addresses the military escalation pathway. Priority 2 — pre-emptive strategic petroleum reserve release — addresses the financial transmission pathway. Both must operate simultaneously. Sequential execution, with Priority 2 delayed until after Priority 1 produces results, leaves the financial mechanism exposed during the military de-escalation period.</w:t>
      </w:r>
    </w:p>
    <w:p w:rsidR="00FB52D0" w:rsidRDefault="00000000">
      <w:pPr>
        <w:spacing w:before="100" w:after="100" w:line="276" w:lineRule="auto"/>
        <w:jc w:val="both"/>
      </w:pPr>
      <w:r>
        <w:t>Priority 4 — the Eisenhower move — is the most structurally significant recommendation and the one most directly aligned with the DSSM's Uruk first-mover thesis from Paper 45. The argument is precise: a US-initiated proposal for a revised Bretton Woods framework, even one that acknowledges multipolarity, establishes the US as the actor that crystallizes the replacement monetary grammar. That is far less damaging than having dedollarization forced upon the system by crisis, because a US-shaped grammar preserves more US institutional authority than a grammar that emerges from the crisis without US participation in its design. This is the DSSM's legitimacy-before-infrastructure principle operating at the monetary system level.</w:t>
      </w:r>
    </w:p>
    <w:p w:rsidR="00FB52D0" w:rsidRDefault="00FB52D0">
      <w:pPr>
        <w:spacing w:before="80"/>
      </w:pPr>
    </w:p>
    <w:p w:rsidR="00FB52D0" w:rsidRDefault="00000000">
      <w:pPr>
        <w:pStyle w:val="Heading1"/>
      </w:pPr>
      <w:r>
        <w:t>7. Confidence and Structural Caveats</w:t>
      </w:r>
    </w:p>
    <w:p w:rsidR="00FB52D0" w:rsidRDefault="00000000">
      <w:pPr>
        <w:spacing w:before="100" w:after="100" w:line="276" w:lineRule="auto"/>
        <w:jc w:val="both"/>
      </w:pPr>
      <w:r>
        <w:t>The Council assigned its own confidence assessment explicitly, and this paper preserves it without modification.</w:t>
      </w:r>
    </w:p>
    <w:p w:rsidR="00FB52D0" w:rsidRDefault="00000000">
      <w:pPr>
        <w:spacing w:before="100" w:after="100" w:line="276" w:lineRule="auto"/>
        <w:jc w:val="both"/>
      </w:pPr>
      <w:r>
        <w:t>Moderate-to-high confidence applies to: the structural financial risk assessment, the identification of leverage holders, the Suez analogue identification and inversion, and the compound pressure mechanism linking the four high-confidence risks. These assessments are grounded in structural conditions — debt levels, institutional architecture, historical precedent — that are not sensitive to timeline uncertainty.</w:t>
      </w:r>
    </w:p>
    <w:p w:rsidR="00FB52D0" w:rsidRDefault="00000000">
      <w:pPr>
        <w:spacing w:before="100" w:after="100" w:line="276" w:lineRule="auto"/>
        <w:jc w:val="both"/>
      </w:pPr>
      <w:r>
        <w:t>Inherently uncertain applies to: timeline and trigger sequencing, and specifically the second and third-order actor decisions that are structurally resistant to intelligence collection and diplomatic influence. IRGC operational commanders, Saudi sovereign wealth managers, and algorithmic Treasury market responses are all actors whose decisions are either inaccessible to standard intelligence collection or operate faster than coordinated response architecture can match. The actual crisis path may move faster and less rationally than any coordination model anticipates.</w:t>
      </w:r>
    </w:p>
    <w:p w:rsidR="00FB52D0" w:rsidRDefault="00000000">
      <w:pPr>
        <w:spacing w:before="100" w:after="100" w:line="276" w:lineRule="auto"/>
        <w:jc w:val="both"/>
      </w:pPr>
      <w:r>
        <w:t>The DSSM adds one additional caveat not in the Council's own assessment: the diffuse financial weapon observation — that market psychology can produce structural monetary transformation without any actor intending it — means that even a successful military de-escalation does not resolve the financial risk. The five recommendations address both pathways, but the financial pathway remains active even if the military pathway is successfully closed. This asymmetry between military and financial risk timelines is the structural condition that makes this crisis categorically different from previous Gulf confrontations.</w:t>
      </w:r>
    </w:p>
    <w:p w:rsidR="00FB52D0" w:rsidRDefault="00FB52D0">
      <w:pPr>
        <w:spacing w:before="80"/>
      </w:pPr>
    </w:p>
    <w:p w:rsidR="00FB52D0" w:rsidRDefault="00000000">
      <w:pPr>
        <w:pStyle w:val="Heading1"/>
      </w:pPr>
      <w:r>
        <w:t>8. DSSM Integration: Council Output Against NETJERU Record</w:t>
      </w:r>
    </w:p>
    <w:p w:rsidR="00FB52D0" w:rsidRDefault="00000000">
      <w:pPr>
        <w:spacing w:before="100" w:after="100" w:line="276" w:lineRule="auto"/>
        <w:jc w:val="both"/>
      </w:pPr>
      <w:r>
        <w:t>The Council's output was produced independently of the NETJERU record — it was directed at a specific topic using live news data, not at the NETJERU signal history. The degree of alignment between the two outputs is therefore a genuine cross-validation rather than a circular confirmation. Table 5 shows the full integration assessment.</w:t>
      </w:r>
    </w:p>
    <w:p w:rsidR="00FB52D0" w:rsidRDefault="00FB52D0">
      <w:pPr>
        <w:spacing w:before="100"/>
      </w:pPr>
    </w:p>
    <w:p w:rsidR="00FB52D0" w:rsidRDefault="00000000">
      <w:pPr>
        <w:spacing w:before="100" w:after="100" w:line="276" w:lineRule="auto"/>
        <w:jc w:val="center"/>
      </w:pPr>
      <w:r>
        <w:rPr>
          <w:b/>
          <w:bCs/>
          <w:color w:val="2E4A7A"/>
          <w:sz w:val="20"/>
          <w:szCs w:val="20"/>
        </w:rPr>
        <w:t>Table 5: DSSM Integration — Council Output vs NETJERU Forward Watch</w:t>
      </w:r>
    </w:p>
    <w:p w:rsidR="00FB52D0" w:rsidRDefault="00FB52D0">
      <w:pPr>
        <w:spacing w:before="60"/>
      </w:pPr>
    </w:p>
    <w:tbl>
      <w:tblPr>
        <w:tblW w:w="9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5060"/>
      </w:tblGrid>
      <w:tr w:rsidR="00FB52D0">
        <w:tblPrEx>
          <w:tblCellMar>
            <w:top w:w="0" w:type="dxa"/>
            <w:bottom w:w="0" w:type="dxa"/>
          </w:tblCellMar>
        </w:tblPrEx>
        <w:trPr>
          <w:tblHeader/>
        </w:trPr>
        <w:tc>
          <w:tcPr>
            <w:tcW w:w="2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NETJERU Signal</w:t>
            </w:r>
          </w:p>
        </w:tc>
        <w:tc>
          <w:tcPr>
            <w:tcW w:w="220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Council Output</w:t>
            </w:r>
          </w:p>
        </w:tc>
        <w:tc>
          <w:tcPr>
            <w:tcW w:w="5060" w:type="dxa"/>
            <w:tcBorders>
              <w:top w:val="single" w:sz="4" w:space="0" w:color="2E4A7A"/>
              <w:left w:val="single" w:sz="4" w:space="0" w:color="2E4A7A"/>
              <w:bottom w:val="single" w:sz="4" w:space="0" w:color="2E4A7A"/>
              <w:right w:val="single" w:sz="4" w:space="0" w:color="2E4A7A"/>
            </w:tcBorders>
            <w:shd w:val="clear" w:color="auto" w:fill="2E4A7A"/>
            <w:tcMar>
              <w:top w:w="100" w:type="dxa"/>
              <w:left w:w="140" w:type="dxa"/>
              <w:bottom w:w="100" w:type="dxa"/>
              <w:right w:w="140" w:type="dxa"/>
            </w:tcMar>
          </w:tcPr>
          <w:p w:rsidR="00FB52D0" w:rsidRDefault="00000000">
            <w:pPr>
              <w:jc w:val="center"/>
            </w:pPr>
            <w:r>
              <w:rPr>
                <w:b/>
                <w:bCs/>
                <w:color w:val="FFFFFF"/>
                <w:sz w:val="20"/>
                <w:szCs w:val="20"/>
              </w:rPr>
              <w:t>Integration Assessment</w:t>
            </w:r>
          </w:p>
        </w:tc>
      </w:tr>
      <w:tr w:rsidR="00FB52D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2E4A7A"/>
                <w:sz w:val="20"/>
                <w:szCs w:val="20"/>
              </w:rPr>
              <w:t>NETJERU Cycle 3 — Energy Infrastructure Fragmentation Thoth score: 7.4 / Set-adjusted: 7.0</w:t>
            </w:r>
          </w:p>
        </w:tc>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2E4A7A"/>
                <w:sz w:val="20"/>
                <w:szCs w:val="20"/>
              </w:rPr>
              <w:t>Council Risk 1+2 — Hormuz disruption and petrodollar circuit interruption Council confidence: HIGH</w:t>
            </w:r>
          </w:p>
        </w:tc>
        <w:tc>
          <w:tcPr>
            <w:tcW w:w="5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Direct confirmation. NETJERU identified Stage Zero energy governance fragmentation — withdrawal of allegiance from coordinating grammar while infrastructure remains. Council's Hormuz and petrodollar risks are the acute manifestation of that structural signal. NETJERU provided the structural warning; the Council provides the operational threat assessment.</w:t>
            </w:r>
          </w:p>
        </w:tc>
      </w:tr>
      <w:tr w:rsidR="00FB52D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2E4A7A"/>
                <w:sz w:val="20"/>
                <w:szCs w:val="20"/>
              </w:rPr>
              <w:t>NETJERU Cycle 3 — Commodity-Monetary Feedback Loop Thoth score: 7.1 / Set-adjusted: 6.6</w:t>
            </w:r>
          </w:p>
        </w:tc>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2E4A7A"/>
                <w:sz w:val="20"/>
                <w:szCs w:val="20"/>
              </w:rPr>
              <w:t>Council Risk 3 — US fiscal amplification Council confidence: HIGH</w:t>
            </w:r>
          </w:p>
        </w:tc>
        <w:tc>
          <w:tcPr>
            <w:tcW w:w="5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Direct confirmation. NETJERU identified central banks trapped between contradictory commodity signals and post-2008 consensus erosion. The Council's $39T debt / Treasury selloff compound pressure scenario is the acute trigger mechanism for the structural break NETJERU scored. The Council adds the specific transmission mechanism NETJERU's structural analysis did not resolve.</w:t>
            </w:r>
          </w:p>
        </w:tc>
      </w:tr>
      <w:tr w:rsidR="00FB52D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2E4A7A"/>
                <w:sz w:val="20"/>
                <w:szCs w:val="20"/>
              </w:rPr>
              <w:t>NETJERU Cycle 3 — Uruk Threshold / First-Mover Grammar Primary thesis of Paper 45</w:t>
            </w:r>
          </w:p>
        </w:tc>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2E4A7A"/>
                <w:sz w:val="20"/>
                <w:szCs w:val="20"/>
              </w:rPr>
              <w:t>Council Priority 4 — Proactive multilateral dollar system stabilization The Eisenhower move</w:t>
            </w:r>
          </w:p>
        </w:tc>
        <w:tc>
          <w:tcPr>
            <w:tcW w:w="5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Structural alignment. Paper 45 argued that the actor who crystallizes replacement monetary grammar captures first-mover path dependency. The Council's Priority 4 recommendation — US-led revised Bretton Woods proposal — is precisely the Uruk first-mover intervention Paper 45 prescribed. The Council's prescription confirms the DSSM's structural prediction without having been derived from it.</w:t>
            </w:r>
          </w:p>
        </w:tc>
      </w:tr>
      <w:tr w:rsidR="00FB52D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2E4A7A"/>
                <w:sz w:val="20"/>
                <w:szCs w:val="20"/>
              </w:rPr>
              <w:t>NETJERU Cycle 1 — AI Governance Fragmentation Thoth score: 8.1 / Set-adjusted: 7.6</w:t>
            </w:r>
          </w:p>
        </w:tc>
        <w:tc>
          <w:tcPr>
            <w:tcW w:w="220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2E4A7A"/>
                <w:sz w:val="20"/>
                <w:szCs w:val="20"/>
              </w:rPr>
              <w:t>Council Speculative Risk — Geographic crises coupling Gulf/Taiwan Council confidence: LOW</w:t>
            </w:r>
          </w:p>
        </w:tc>
        <w:tc>
          <w:tcPr>
            <w:tcW w:w="5060" w:type="dxa"/>
            <w:tcBorders>
              <w:top w:val="single" w:sz="1" w:space="0" w:color="CCCCCC"/>
              <w:left w:val="single" w:sz="1" w:space="0" w:color="CCCCCC"/>
              <w:bottom w:val="single" w:sz="1" w:space="0" w:color="CCCCCC"/>
              <w:right w:val="single" w:sz="1" w:space="0" w:color="CCCCCC"/>
            </w:tcBorders>
            <w:shd w:val="clear" w:color="auto" w:fill="D5E0EE"/>
            <w:tcMar>
              <w:top w:w="80" w:type="dxa"/>
              <w:left w:w="140" w:type="dxa"/>
              <w:bottom w:w="80" w:type="dxa"/>
              <w:right w:w="140" w:type="dxa"/>
            </w:tcMar>
          </w:tcPr>
          <w:p w:rsidR="00FB52D0" w:rsidRDefault="00000000">
            <w:r>
              <w:rPr>
                <w:color w:val="1A1A2E"/>
                <w:sz w:val="20"/>
                <w:szCs w:val="20"/>
              </w:rPr>
              <w:t>Indirect connection. The geographic crises coupling risk — a Gulf event interpreted by China as a Taiwan precedent — is the military equivalent of the AI governance fragmentation dynamic: a single event in one domain setting precedent architecture for another. The mechanism is the same; the Council has not explicitly named it as such.</w:t>
            </w:r>
          </w:p>
        </w:tc>
      </w:tr>
      <w:tr w:rsidR="00FB52D0">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2E4A7A"/>
                <w:sz w:val="20"/>
                <w:szCs w:val="20"/>
              </w:rPr>
              <w:t>NETJERU Forward Watch — Replacement symbolic architecture proposal (Cycle 1, due Sept 2026)</w:t>
            </w:r>
          </w:p>
        </w:tc>
        <w:tc>
          <w:tcPr>
            <w:tcW w:w="220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2E4A7A"/>
                <w:sz w:val="20"/>
                <w:szCs w:val="20"/>
              </w:rPr>
              <w:t>Council Priority 4 — Revised Bretton Woods initiative Timeline: 90 days+</w:t>
            </w:r>
          </w:p>
        </w:tc>
        <w:tc>
          <w:tcPr>
            <w:tcW w:w="5060" w:type="dxa"/>
            <w:tcBorders>
              <w:top w:val="single" w:sz="1" w:space="0" w:color="CCCCCC"/>
              <w:left w:val="single" w:sz="1" w:space="0" w:color="CCCCCC"/>
              <w:bottom w:val="single" w:sz="1" w:space="0" w:color="CCCCCC"/>
              <w:right w:val="single" w:sz="1" w:space="0" w:color="CCCCCC"/>
            </w:tcBorders>
            <w:shd w:val="clear" w:color="auto" w:fill="EEF2F7"/>
            <w:tcMar>
              <w:top w:w="80" w:type="dxa"/>
              <w:left w:w="140" w:type="dxa"/>
              <w:bottom w:w="80" w:type="dxa"/>
              <w:right w:w="140" w:type="dxa"/>
            </w:tcMar>
          </w:tcPr>
          <w:p w:rsidR="00FB52D0" w:rsidRDefault="00000000">
            <w:r>
              <w:rPr>
                <w:color w:val="1A1A2E"/>
                <w:sz w:val="20"/>
                <w:szCs w:val="20"/>
              </w:rPr>
              <w:t>Forward watch potential trigger. If the Council's Priority 4 recommendation is implemented, it would constitute the first confirmation of NETJERU's Cycle 1 forward watch signal — a credible alternative to current fragmented governance frameworks emerging from a major actor. Osiris should flag this connection and weight the forward watch accordingly.</w:t>
            </w:r>
          </w:p>
        </w:tc>
      </w:tr>
    </w:tbl>
    <w:p w:rsidR="00FB52D0" w:rsidRDefault="00000000">
      <w:pPr>
        <w:spacing w:before="100" w:after="100" w:line="276" w:lineRule="auto"/>
        <w:jc w:val="center"/>
      </w:pPr>
      <w:r>
        <w:rPr>
          <w:i/>
          <w:iCs/>
          <w:color w:val="555555"/>
          <w:sz w:val="18"/>
          <w:szCs w:val="18"/>
        </w:rPr>
        <w:t>Table 5. Five integration points mapping Council findings against NETJERU cycle signals and forward watch entries.</w:t>
      </w:r>
    </w:p>
    <w:p w:rsidR="00FB52D0" w:rsidRDefault="00FB52D0">
      <w:pPr>
        <w:spacing w:before="80"/>
      </w:pPr>
    </w:p>
    <w:p w:rsidR="00FB52D0" w:rsidRDefault="00000000">
      <w:pPr>
        <w:spacing w:before="100" w:after="100" w:line="276" w:lineRule="auto"/>
        <w:jc w:val="both"/>
      </w:pPr>
      <w:r>
        <w:t>Three of the five integration points show direct confirmation: NETJERU Cycle 3 structural signals predicted conditions that the Council independently identified as acute operational risks. The energy fragmentation signal maps directly to Hormuz and petrodollar disruption risks. The commodity-monetary feedback loop maps directly to the US fiscal amplification risk and its transmission mechanism. The Uruk first-mover thesis maps directly to Priority 4 — the Eisenhower move recommendation.</w:t>
      </w:r>
    </w:p>
    <w:p w:rsidR="00FB52D0" w:rsidRDefault="00000000">
      <w:pPr>
        <w:spacing w:before="100" w:after="100" w:line="276" w:lineRule="auto"/>
        <w:jc w:val="both"/>
      </w:pPr>
      <w:r>
        <w:t>The most important integration finding is the Priority 4 / Cycle 1 forward watch connection. NETJERU's Cycle 1 forward watch identified a replacement symbolic architecture proposal as a signal to track within 90-180 days, due September 2026. The Council's Priority 4 recommendation — US-led revised Bretton Woods initiative, timeline 90 days+ — is precisely the kind of event that would trigger that forward watch signal. If Priority 4 is implemented, it constitutes the first empirical confirmation of a NETJERU Cycle 1 prediction. Osiris is instructed to weight this connection explicitly in the next cycle.</w:t>
      </w:r>
    </w:p>
    <w:p w:rsidR="00FB52D0" w:rsidRDefault="00000000">
      <w:pPr>
        <w:spacing w:before="100" w:after="100" w:line="276" w:lineRule="auto"/>
        <w:jc w:val="both"/>
      </w:pPr>
      <w:r>
        <w:t>The geographic crises coupling speculative risk connects to the AI governance fragmentation signal through a mechanism the Council did not name explicitly. The symbolic regulation failure pattern — one framework's collapse removing the stabilizing precedent for adjacent frameworks — operates identically in the Gulf/Taiwan coupling scenario and in the AI governance fragmentation trajectory. The Council's speculative risk and NETJERU's governance signal are the same DSSM mechanism in different domains. This connection should be developed in Paper 47.</w:t>
      </w:r>
    </w:p>
    <w:p w:rsidR="00FB52D0" w:rsidRDefault="00FB52D0">
      <w:pPr>
        <w:spacing w:before="80"/>
      </w:pPr>
    </w:p>
    <w:p w:rsidR="00FB52D0" w:rsidRDefault="00000000">
      <w:pPr>
        <w:pStyle w:val="Heading1"/>
      </w:pPr>
      <w:r>
        <w:t>9. Horus's Assessment: Sovereign Review</w:t>
      </w:r>
    </w:p>
    <w:p w:rsidR="00FB52D0" w:rsidRDefault="00000000">
      <w:pPr>
        <w:spacing w:before="100" w:after="100" w:line="276" w:lineRule="auto"/>
        <w:jc w:val="both"/>
      </w:pPr>
      <w:r>
        <w:t>The Council's analysis is structurally sound. The Suez inversion argument is the strongest single analytical contribution — it reframes the crisis from a military deterrence problem to a financial architecture problem and that reframing changes every prescription that follows from it. The IRGC observation is the most practically important single finding for de-escalation purposes.</w:t>
      </w:r>
    </w:p>
    <w:p w:rsidR="00FB52D0" w:rsidRDefault="00000000">
      <w:pPr>
        <w:spacing w:before="100" w:after="100" w:line="276" w:lineRule="auto"/>
        <w:jc w:val="both"/>
      </w:pPr>
      <w:r>
        <w:t>Two points require honest qualification.</w:t>
      </w:r>
    </w:p>
    <w:p w:rsidR="00FB52D0" w:rsidRDefault="00000000">
      <w:pPr>
        <w:spacing w:before="100" w:after="100" w:line="276" w:lineRule="auto"/>
        <w:jc w:val="both"/>
      </w:pPr>
      <w:r>
        <w:t>First, the Priority 1 recommendation — private communication to Israel that further unilateral strikes will not receive automatic diplomatic cover — is the most politically sensitive prescription in the paper. The Council presents it as escalation management rather than policy change. That is correct analytically. Whether it is executable by any current US administration is a political question outside the DSSM's competence to assess. The recommendation stands on its analytical merits; its political feasibility is a separate variable the framework cannot score.</w:t>
      </w:r>
    </w:p>
    <w:p w:rsidR="00FB52D0" w:rsidRDefault="00000000">
      <w:pPr>
        <w:spacing w:before="100" w:after="100" w:line="276" w:lineRule="auto"/>
        <w:jc w:val="both"/>
      </w:pPr>
      <w:r>
        <w:t>Second, the diffuse financial weapon observation — that the crisis can produce structural monetary transformation without any actor intending it — is the most important structural insight in the paper and the one that most directly challenges the prescriptive architecture. If the financial mechanism is partially autonomous, then Priorities 1 through 3 may de-escalate the military pathway while leaving the financial transformation underway. Priority 4 is the only recommendation that addresses the financial pathway structurally rather than reactively. The paper's implicit recommendation is that Priority 4 should be elevated from 90 days+ to parallel with Priority 1 and 2, because by the time Priorities 1 and 2 succeed, the financial transformation may have already advanced past the point where a US-initiated Bretton Woods proposal can shape it.</w:t>
      </w:r>
    </w:p>
    <w:p w:rsidR="00FB52D0" w:rsidRDefault="00000000">
      <w:pPr>
        <w:spacing w:before="100" w:after="100" w:line="276" w:lineRule="auto"/>
        <w:jc w:val="both"/>
      </w:pPr>
      <w:r>
        <w:t>Osiris is instructed to track three signals from this paper: Saudi Arabia dollar settlement decisions during the crisis window, any Fed communication on commodity constraints that moves from transitory framing to structural acknowledgment, and any US multilateral monetary reform proposal within the 90-day window. All three are forward watch entries.</w:t>
      </w:r>
    </w:p>
    <w:p w:rsidR="00FB52D0" w:rsidRDefault="00FB52D0">
      <w:pPr>
        <w:spacing w:before="80"/>
      </w:pPr>
    </w:p>
    <w:p w:rsidR="00FB52D0" w:rsidRDefault="00000000">
      <w:pPr>
        <w:pStyle w:val="Heading1"/>
      </w:pPr>
      <w:r>
        <w:t>10. Conclusion</w:t>
      </w:r>
    </w:p>
    <w:p w:rsidR="00FB52D0" w:rsidRDefault="00000000">
      <w:pPr>
        <w:spacing w:before="100" w:after="100" w:line="276" w:lineRule="auto"/>
        <w:jc w:val="both"/>
      </w:pPr>
      <w:r>
        <w:t>The Council's first output entered into the DSSM academic record confirms three things.</w:t>
      </w:r>
    </w:p>
    <w:p w:rsidR="00FB52D0" w:rsidRDefault="00000000">
      <w:pPr>
        <w:spacing w:before="100" w:after="100" w:line="276" w:lineRule="auto"/>
        <w:jc w:val="both"/>
      </w:pPr>
      <w:r>
        <w:t>First, the two-layer intelligence architecture works as designed. NETJERU's structural signals — energy fragmentation at 7.0, commodity-monetary feedback at 6.6, Uruk first-mover thesis as primary analytical frame — provided the conditions within which the Council's topic-specific analysis landed with precision. The structural warning preceded the operational threat assessment. The architecture is functioning.</w:t>
      </w:r>
    </w:p>
    <w:p w:rsidR="00FB52D0" w:rsidRDefault="00000000">
      <w:pPr>
        <w:spacing w:before="100" w:after="100" w:line="276" w:lineRule="auto"/>
        <w:jc w:val="both"/>
      </w:pPr>
      <w:r>
        <w:t>Second, the Suez inversion argument establishes a new DSSM analytical category: the autonomous financial weapon. Previous DSSM analysis of monetary crises assumed an identifiable actor wielding leverage with intent. The 2026 Gulf case shows that the financial mechanism can operate without that actor. The implications for deterrence theory and crisis management are significant and will require development in subsequent papers.</w:t>
      </w:r>
    </w:p>
    <w:p w:rsidR="00FB52D0" w:rsidRDefault="00000000">
      <w:pPr>
        <w:spacing w:before="100" w:after="100" w:line="276" w:lineRule="auto"/>
        <w:jc w:val="both"/>
      </w:pPr>
      <w:r>
        <w:t>Third, the IRGC gap — diplomatic signals misaligned with actual operational decision authority — is a structural problem that applies beyond the Iran case. Any crisis in which operational decisions are made by actors who are institutionally insulated from diplomatic back-channels presents the same gap. The DSSM's coordination protocol prescription must account for this explicitly. It is not sufficient to establish redundant channels if all channels route through the wrong decision authority.</w:t>
      </w:r>
    </w:p>
    <w:p w:rsidR="00FB52D0" w:rsidRDefault="00000000">
      <w:pPr>
        <w:spacing w:before="100" w:after="100" w:line="276" w:lineRule="auto"/>
        <w:jc w:val="both"/>
      </w:pPr>
      <w:r>
        <w:t>Paper 47 will integrate the Council's output with the next NETJERU cycle and evaluate whether any of the forward watch signals triggered.</w:t>
      </w:r>
    </w:p>
    <w:p w:rsidR="00FB52D0" w:rsidRDefault="00FB52D0">
      <w:pPr>
        <w:spacing w:before="80"/>
      </w:pPr>
    </w:p>
    <w:p w:rsidR="00FB52D0" w:rsidRDefault="00FB52D0">
      <w:pPr>
        <w:pBdr>
          <w:bottom w:val="single" w:sz="8" w:space="1" w:color="B8860B"/>
        </w:pBdr>
        <w:spacing w:before="200" w:after="200"/>
      </w:pPr>
    </w:p>
    <w:p w:rsidR="00FB52D0" w:rsidRDefault="00000000">
      <w:pPr>
        <w:pStyle w:val="Heading1"/>
      </w:pPr>
      <w:r>
        <w:t>References and Related DSSM Papers</w:t>
      </w:r>
    </w:p>
    <w:p w:rsidR="00FB52D0" w:rsidRDefault="00FB52D0">
      <w:pPr>
        <w:spacing w:before="60"/>
      </w:pPr>
    </w:p>
    <w:p w:rsidR="00FB52D0" w:rsidRDefault="00000000">
      <w:pPr>
        <w:pStyle w:val="Heading2"/>
      </w:pPr>
      <w:r>
        <w:t>DSSM Series</w:t>
      </w:r>
    </w:p>
    <w:p w:rsidR="00FB52D0" w:rsidRDefault="00000000">
      <w:pPr>
        <w:pStyle w:val="ListParagraph"/>
        <w:numPr>
          <w:ilvl w:val="0"/>
          <w:numId w:val="2"/>
        </w:numPr>
        <w:spacing w:before="60" w:after="60" w:line="276" w:lineRule="auto"/>
      </w:pPr>
      <w:r>
        <w:t>Hemakumara, A.V. (2024). The Deep Symbolic Systems Model. DSSM Working Paper 1. DOI: 10.2139/ssrn.6003734</w:t>
      </w:r>
    </w:p>
    <w:p w:rsidR="00FB52D0" w:rsidRDefault="00000000">
      <w:pPr>
        <w:pStyle w:val="ListParagraph"/>
        <w:numPr>
          <w:ilvl w:val="0"/>
          <w:numId w:val="2"/>
        </w:numPr>
        <w:spacing w:before="60" w:after="60" w:line="276" w:lineRule="auto"/>
      </w:pPr>
      <w:r>
        <w:t>Hemakumara, A.V. (2025). War as Symbolic Regulation Failure. DSSM Working Paper 17.</w:t>
      </w:r>
    </w:p>
    <w:p w:rsidR="00FB52D0" w:rsidRDefault="00000000">
      <w:pPr>
        <w:pStyle w:val="ListParagraph"/>
        <w:numPr>
          <w:ilvl w:val="0"/>
          <w:numId w:val="2"/>
        </w:numPr>
        <w:spacing w:before="60" w:after="60" w:line="276" w:lineRule="auto"/>
      </w:pPr>
      <w:r>
        <w:t>Hemakumara, A.V. (2026). The World as Fossilized Power. DSSM Working Paper 38.</w:t>
      </w:r>
    </w:p>
    <w:p w:rsidR="00FB52D0" w:rsidRDefault="00000000">
      <w:pPr>
        <w:pStyle w:val="ListParagraph"/>
        <w:numPr>
          <w:ilvl w:val="0"/>
          <w:numId w:val="2"/>
        </w:numPr>
        <w:spacing w:before="60" w:after="60" w:line="276" w:lineRule="auto"/>
      </w:pPr>
      <w:r>
        <w:t>Hemakumara, A.V. (2026). NETJERU: A DSSM-Compliant Multi-Agent Intelligence System. DSSM Working Paper 40.</w:t>
      </w:r>
    </w:p>
    <w:p w:rsidR="00FB52D0" w:rsidRDefault="00000000">
      <w:pPr>
        <w:pStyle w:val="ListParagraph"/>
        <w:numPr>
          <w:ilvl w:val="0"/>
          <w:numId w:val="2"/>
        </w:numPr>
        <w:spacing w:before="60" w:after="60" w:line="276" w:lineRule="auto"/>
      </w:pPr>
      <w:r>
        <w:t>Hemakumara, A.V. (2026). NETJERU Cycle 1 — AI Capital Reallocation as Symbolic Architecture Crisis. DSSM Working Paper 41.</w:t>
      </w:r>
    </w:p>
    <w:p w:rsidR="00FB52D0" w:rsidRDefault="00000000">
      <w:pPr>
        <w:pStyle w:val="ListParagraph"/>
        <w:numPr>
          <w:ilvl w:val="0"/>
          <w:numId w:val="2"/>
        </w:numPr>
        <w:spacing w:before="60" w:after="60" w:line="276" w:lineRule="auto"/>
      </w:pPr>
      <w:r>
        <w:t>Hemakumara, A.V. (2026). NETJERU Cycle 3 — The Uruk Threshold. DSSM Working Paper 45.</w:t>
      </w:r>
    </w:p>
    <w:p w:rsidR="00FB52D0" w:rsidRDefault="00000000">
      <w:pPr>
        <w:pStyle w:val="ListParagraph"/>
        <w:numPr>
          <w:ilvl w:val="0"/>
          <w:numId w:val="2"/>
        </w:numPr>
        <w:spacing w:before="60" w:after="60" w:line="276" w:lineRule="auto"/>
      </w:pPr>
      <w:r>
        <w:t>Hemakumara, A.V. (2026). The Council: Ra&amp;#x2019;s Judgment on the 2026 Gulf Confrontation. DSSM Working Paper 46. [This paper]</w:t>
      </w:r>
    </w:p>
    <w:p w:rsidR="00FB52D0" w:rsidRDefault="00FB52D0">
      <w:pPr>
        <w:spacing w:before="80"/>
      </w:pPr>
    </w:p>
    <w:p w:rsidR="00FB52D0" w:rsidRDefault="00000000">
      <w:pPr>
        <w:pStyle w:val="Heading2"/>
      </w:pPr>
      <w:r>
        <w:t>Historical and Financial Sources</w:t>
      </w:r>
    </w:p>
    <w:p w:rsidR="00FB52D0" w:rsidRDefault="00000000">
      <w:pPr>
        <w:pStyle w:val="ListParagraph"/>
        <w:numPr>
          <w:ilvl w:val="0"/>
          <w:numId w:val="2"/>
        </w:numPr>
        <w:spacing w:before="60" w:after="60" w:line="276" w:lineRule="auto"/>
      </w:pPr>
      <w:r>
        <w:t>Kyle, K. (1991). Suez: Britain&amp;#x2019;s End of Empire in the Middle East. I.B. Tauris. [Primary source for Suez financial mechanism and Eisenhower dollar leverage]</w:t>
      </w:r>
    </w:p>
    <w:p w:rsidR="00FB52D0" w:rsidRDefault="00000000">
      <w:pPr>
        <w:pStyle w:val="ListParagraph"/>
        <w:numPr>
          <w:ilvl w:val="0"/>
          <w:numId w:val="2"/>
        </w:numPr>
        <w:spacing w:before="60" w:after="60" w:line="276" w:lineRule="auto"/>
      </w:pPr>
      <w:r>
        <w:t>Kunz, D.B. (1991). The Economic Diplomacy of the Suez Crisis. University of North Carolina Press.</w:t>
      </w:r>
    </w:p>
    <w:p w:rsidR="00FB52D0" w:rsidRDefault="00000000">
      <w:pPr>
        <w:pStyle w:val="ListParagraph"/>
        <w:numPr>
          <w:ilvl w:val="0"/>
          <w:numId w:val="2"/>
        </w:numPr>
        <w:spacing w:before="60" w:after="60" w:line="276" w:lineRule="auto"/>
      </w:pPr>
      <w:r>
        <w:t>Eichengreen, B. (2011). Exorbitant Privilege: The Rise and Fall of the Dollar. Oxford University Press.</w:t>
      </w:r>
    </w:p>
    <w:p w:rsidR="00FB52D0" w:rsidRDefault="00000000">
      <w:pPr>
        <w:pStyle w:val="ListParagraph"/>
        <w:numPr>
          <w:ilvl w:val="0"/>
          <w:numId w:val="2"/>
        </w:numPr>
        <w:spacing w:before="60" w:after="60" w:line="276" w:lineRule="auto"/>
      </w:pPr>
      <w:r>
        <w:t>BIS (2026). Quarterly Review — Gulf Region Sovereign Debt and Energy Market Transmission. https://bis.org</w:t>
      </w:r>
    </w:p>
    <w:p w:rsidR="00FB52D0" w:rsidRDefault="00000000">
      <w:pPr>
        <w:pStyle w:val="ListParagraph"/>
        <w:numPr>
          <w:ilvl w:val="0"/>
          <w:numId w:val="2"/>
        </w:numPr>
        <w:spacing w:before="60" w:after="60" w:line="276" w:lineRule="auto"/>
      </w:pPr>
      <w:r>
        <w:t>IMF (2026). World Economic Outlook Update — Energy Price Shock Scenarios. https://imf.org</w:t>
      </w:r>
    </w:p>
    <w:p w:rsidR="00FB52D0" w:rsidRDefault="00000000">
      <w:pPr>
        <w:pStyle w:val="ListParagraph"/>
        <w:numPr>
          <w:ilvl w:val="0"/>
          <w:numId w:val="2"/>
        </w:numPr>
        <w:spacing w:before="60" w:after="60" w:line="276" w:lineRule="auto"/>
      </w:pPr>
      <w:r>
        <w:t>US Treasury (2026). Debt and Deficit Projections — FY2026-2028. https://treasury.gov</w:t>
      </w:r>
    </w:p>
    <w:p w:rsidR="00FB52D0" w:rsidRDefault="00FB52D0">
      <w:pPr>
        <w:spacing w:before="200"/>
      </w:pPr>
    </w:p>
    <w:p w:rsidR="00FB52D0" w:rsidRDefault="00FB52D0">
      <w:pPr>
        <w:pBdr>
          <w:bottom w:val="single" w:sz="8" w:space="1" w:color="B8860B"/>
        </w:pBdr>
        <w:spacing w:before="200" w:after="200"/>
      </w:pPr>
    </w:p>
    <w:p w:rsidR="00FB52D0" w:rsidRDefault="00000000">
      <w:pPr>
        <w:spacing w:before="100" w:after="100" w:line="276" w:lineRule="auto"/>
        <w:jc w:val="center"/>
      </w:pPr>
      <w:r>
        <w:rPr>
          <w:i/>
          <w:iCs/>
          <w:color w:val="888888"/>
          <w:sz w:val="18"/>
          <w:szCs w:val="18"/>
        </w:rPr>
        <w:t>End of Paper 46  |  The Council — 2026 Gulf Confrontation  |  March 25, 2026</w:t>
      </w:r>
    </w:p>
    <w:p w:rsidR="00FB52D0" w:rsidRDefault="00000000">
      <w:pPr>
        <w:spacing w:before="100" w:after="100" w:line="276" w:lineRule="auto"/>
        <w:jc w:val="center"/>
      </w:pPr>
      <w:r>
        <w:rPr>
          <w:i/>
          <w:iCs/>
          <w:color w:val="888888"/>
          <w:sz w:val="18"/>
          <w:szCs w:val="18"/>
        </w:rPr>
        <w:t>DSSM Working Paper Series  |  OSF  |  Figshare  |  Zenodo  |  SSRN</w:t>
      </w:r>
    </w:p>
    <w:p w:rsidR="00FB52D0" w:rsidRDefault="00000000">
      <w:pPr>
        <w:spacing w:before="100" w:after="100" w:line="276" w:lineRule="auto"/>
        <w:jc w:val="center"/>
      </w:pPr>
      <w:r>
        <w:rPr>
          <w:i/>
          <w:iCs/>
          <w:color w:val="888888"/>
          <w:sz w:val="18"/>
          <w:szCs w:val="18"/>
        </w:rPr>
        <w:t>Anthony.vondoom@outlook.com  |  ORCID: 0009-0003-4953-1427</w:t>
      </w:r>
    </w:p>
    <w:sectPr w:rsidR="00FB52D0">
      <w:headerReference w:type="default" r:id="rId8"/>
      <w:footerReference w:type="default" r:id="rId9"/>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0AE5" w:rsidRDefault="00490AE5">
      <w:r>
        <w:separator/>
      </w:r>
    </w:p>
  </w:endnote>
  <w:endnote w:type="continuationSeparator" w:id="0">
    <w:p w:rsidR="00490AE5" w:rsidRDefault="0049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52D0" w:rsidRDefault="00000000">
    <w:pPr>
      <w:pBdr>
        <w:top w:val="single" w:sz="4" w:space="1" w:color="2E4A7A"/>
      </w:pBdr>
      <w:tabs>
        <w:tab w:val="right" w:pos="9026"/>
      </w:tabs>
      <w:spacing w:before="100"/>
    </w:pPr>
    <w:r>
      <w:rPr>
        <w:color w:val="666666"/>
        <w:sz w:val="16"/>
        <w:szCs w:val="16"/>
      </w:rPr>
      <w:t>© 2026 Anthony Hettige Pushpika Indunil Hemakumara. OSF / Zenodo / SSRN.</w:t>
    </w:r>
    <w:r>
      <w:rPr>
        <w:sz w:val="16"/>
        <w:szCs w:val="16"/>
      </w:rPr>
      <w:tab/>
    </w:r>
    <w:r>
      <w:rPr>
        <w:color w:val="2E4A7A"/>
        <w:sz w:val="16"/>
        <w:szCs w:val="16"/>
      </w:rPr>
      <w:t>DSSM Working Paper Series — Paper 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0AE5" w:rsidRDefault="00490AE5">
      <w:r>
        <w:separator/>
      </w:r>
    </w:p>
  </w:footnote>
  <w:footnote w:type="continuationSeparator" w:id="0">
    <w:p w:rsidR="00490AE5" w:rsidRDefault="0049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52D0" w:rsidRDefault="00000000">
    <w:pPr>
      <w:pBdr>
        <w:bottom w:val="single" w:sz="6" w:space="1" w:color="2E4A7A"/>
      </w:pBdr>
      <w:spacing w:after="120"/>
    </w:pPr>
    <w:r>
      <w:rPr>
        <w:color w:val="666666"/>
        <w:sz w:val="16"/>
        <w:szCs w:val="16"/>
      </w:rPr>
      <w:t>DSSM Working Paper 46  |  The Council: 2026 Gulf Confrontation  |  March 25, 2026  |  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4220B"/>
    <w:multiLevelType w:val="hybridMultilevel"/>
    <w:tmpl w:val="7A045DF0"/>
    <w:lvl w:ilvl="0" w:tplc="5270FE42">
      <w:start w:val="1"/>
      <w:numFmt w:val="decimal"/>
      <w:lvlText w:val="%1."/>
      <w:lvlJc w:val="left"/>
      <w:pPr>
        <w:ind w:left="720" w:hanging="360"/>
      </w:pPr>
    </w:lvl>
    <w:lvl w:ilvl="1" w:tplc="E9CCB462">
      <w:numFmt w:val="decimal"/>
      <w:lvlText w:val=""/>
      <w:lvlJc w:val="left"/>
    </w:lvl>
    <w:lvl w:ilvl="2" w:tplc="B6600B74">
      <w:numFmt w:val="decimal"/>
      <w:lvlText w:val=""/>
      <w:lvlJc w:val="left"/>
    </w:lvl>
    <w:lvl w:ilvl="3" w:tplc="B370859C">
      <w:numFmt w:val="decimal"/>
      <w:lvlText w:val=""/>
      <w:lvlJc w:val="left"/>
    </w:lvl>
    <w:lvl w:ilvl="4" w:tplc="175EB35A">
      <w:numFmt w:val="decimal"/>
      <w:lvlText w:val=""/>
      <w:lvlJc w:val="left"/>
    </w:lvl>
    <w:lvl w:ilvl="5" w:tplc="1F9CE3CC">
      <w:numFmt w:val="decimal"/>
      <w:lvlText w:val=""/>
      <w:lvlJc w:val="left"/>
    </w:lvl>
    <w:lvl w:ilvl="6" w:tplc="C2E0A70A">
      <w:numFmt w:val="decimal"/>
      <w:lvlText w:val=""/>
      <w:lvlJc w:val="left"/>
    </w:lvl>
    <w:lvl w:ilvl="7" w:tplc="CA8CE300">
      <w:numFmt w:val="decimal"/>
      <w:lvlText w:val=""/>
      <w:lvlJc w:val="left"/>
    </w:lvl>
    <w:lvl w:ilvl="8" w:tplc="1158E286">
      <w:numFmt w:val="decimal"/>
      <w:lvlText w:val=""/>
      <w:lvlJc w:val="left"/>
    </w:lvl>
  </w:abstractNum>
  <w:abstractNum w:abstractNumId="1" w15:restartNumberingAfterBreak="0">
    <w:nsid w:val="3C431217"/>
    <w:multiLevelType w:val="hybridMultilevel"/>
    <w:tmpl w:val="6414C194"/>
    <w:lvl w:ilvl="0" w:tplc="E1B20172">
      <w:start w:val="1"/>
      <w:numFmt w:val="bullet"/>
      <w:lvlText w:val="•"/>
      <w:lvlJc w:val="left"/>
      <w:pPr>
        <w:ind w:left="720" w:hanging="360"/>
      </w:pPr>
    </w:lvl>
    <w:lvl w:ilvl="1" w:tplc="EFD2CF34">
      <w:numFmt w:val="decimal"/>
      <w:lvlText w:val=""/>
      <w:lvlJc w:val="left"/>
    </w:lvl>
    <w:lvl w:ilvl="2" w:tplc="7D1C1C0C">
      <w:numFmt w:val="decimal"/>
      <w:lvlText w:val=""/>
      <w:lvlJc w:val="left"/>
    </w:lvl>
    <w:lvl w:ilvl="3" w:tplc="82206A1A">
      <w:numFmt w:val="decimal"/>
      <w:lvlText w:val=""/>
      <w:lvlJc w:val="left"/>
    </w:lvl>
    <w:lvl w:ilvl="4" w:tplc="07DAAC9A">
      <w:numFmt w:val="decimal"/>
      <w:lvlText w:val=""/>
      <w:lvlJc w:val="left"/>
    </w:lvl>
    <w:lvl w:ilvl="5" w:tplc="03449FCE">
      <w:numFmt w:val="decimal"/>
      <w:lvlText w:val=""/>
      <w:lvlJc w:val="left"/>
    </w:lvl>
    <w:lvl w:ilvl="6" w:tplc="20B66E3C">
      <w:numFmt w:val="decimal"/>
      <w:lvlText w:val=""/>
      <w:lvlJc w:val="left"/>
    </w:lvl>
    <w:lvl w:ilvl="7" w:tplc="70305398">
      <w:numFmt w:val="decimal"/>
      <w:lvlText w:val=""/>
      <w:lvlJc w:val="left"/>
    </w:lvl>
    <w:lvl w:ilvl="8" w:tplc="3FB673FA">
      <w:numFmt w:val="decimal"/>
      <w:lvlText w:val=""/>
      <w:lvlJc w:val="left"/>
    </w:lvl>
  </w:abstractNum>
  <w:abstractNum w:abstractNumId="2" w15:restartNumberingAfterBreak="0">
    <w:nsid w:val="5D8460A7"/>
    <w:multiLevelType w:val="hybridMultilevel"/>
    <w:tmpl w:val="3E5CE162"/>
    <w:lvl w:ilvl="0" w:tplc="F64C4C70">
      <w:start w:val="1"/>
      <w:numFmt w:val="bullet"/>
      <w:lvlText w:val="●"/>
      <w:lvlJc w:val="left"/>
      <w:pPr>
        <w:ind w:left="720" w:hanging="360"/>
      </w:pPr>
    </w:lvl>
    <w:lvl w:ilvl="1" w:tplc="B25CEF9C">
      <w:start w:val="1"/>
      <w:numFmt w:val="bullet"/>
      <w:lvlText w:val="○"/>
      <w:lvlJc w:val="left"/>
      <w:pPr>
        <w:ind w:left="1440" w:hanging="360"/>
      </w:pPr>
    </w:lvl>
    <w:lvl w:ilvl="2" w:tplc="D9A416EA">
      <w:start w:val="1"/>
      <w:numFmt w:val="bullet"/>
      <w:lvlText w:val="■"/>
      <w:lvlJc w:val="left"/>
      <w:pPr>
        <w:ind w:left="2160" w:hanging="360"/>
      </w:pPr>
    </w:lvl>
    <w:lvl w:ilvl="3" w:tplc="88BACC3C">
      <w:start w:val="1"/>
      <w:numFmt w:val="bullet"/>
      <w:lvlText w:val="●"/>
      <w:lvlJc w:val="left"/>
      <w:pPr>
        <w:ind w:left="2880" w:hanging="360"/>
      </w:pPr>
    </w:lvl>
    <w:lvl w:ilvl="4" w:tplc="9192F620">
      <w:start w:val="1"/>
      <w:numFmt w:val="bullet"/>
      <w:lvlText w:val="○"/>
      <w:lvlJc w:val="left"/>
      <w:pPr>
        <w:ind w:left="3600" w:hanging="360"/>
      </w:pPr>
    </w:lvl>
    <w:lvl w:ilvl="5" w:tplc="AE1CDC24">
      <w:start w:val="1"/>
      <w:numFmt w:val="bullet"/>
      <w:lvlText w:val="■"/>
      <w:lvlJc w:val="left"/>
      <w:pPr>
        <w:ind w:left="4320" w:hanging="360"/>
      </w:pPr>
    </w:lvl>
    <w:lvl w:ilvl="6" w:tplc="EBB2C3C6">
      <w:start w:val="1"/>
      <w:numFmt w:val="bullet"/>
      <w:lvlText w:val="●"/>
      <w:lvlJc w:val="left"/>
      <w:pPr>
        <w:ind w:left="5040" w:hanging="360"/>
      </w:pPr>
    </w:lvl>
    <w:lvl w:ilvl="7" w:tplc="11D4546C">
      <w:start w:val="1"/>
      <w:numFmt w:val="bullet"/>
      <w:lvlText w:val="●"/>
      <w:lvlJc w:val="left"/>
      <w:pPr>
        <w:ind w:left="5760" w:hanging="360"/>
      </w:pPr>
    </w:lvl>
    <w:lvl w:ilvl="8" w:tplc="1F4C0EEC">
      <w:start w:val="1"/>
      <w:numFmt w:val="bullet"/>
      <w:lvlText w:val="●"/>
      <w:lvlJc w:val="left"/>
      <w:pPr>
        <w:ind w:left="6480" w:hanging="360"/>
      </w:pPr>
    </w:lvl>
  </w:abstractNum>
  <w:num w:numId="1" w16cid:durableId="618028825">
    <w:abstractNumId w:val="2"/>
    <w:lvlOverride w:ilvl="0">
      <w:startOverride w:val="1"/>
    </w:lvlOverride>
  </w:num>
  <w:num w:numId="2" w16cid:durableId="13748833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D0"/>
    <w:rsid w:val="00490AE5"/>
    <w:rsid w:val="00C72061"/>
    <w:rsid w:val="00FB52D0"/>
  </w:rsids>
  <m:mathPr>
    <m:mathFont m:val="Cambria Math"/>
    <m:brkBin m:val="before"/>
    <m:brkBinSub m:val="--"/>
    <m:smallFrac m:val="0"/>
    <m:dispDef/>
    <m:lMargin m:val="0"/>
    <m:rMargin m:val="0"/>
    <m:defJc m:val="centerGroup"/>
    <m:wrapIndent m:val="1440"/>
    <m:intLim m:val="subSup"/>
    <m:naryLim m:val="undOvr"/>
  </m:mathPr>
  <w:themeFontLang w:val="en-LK"/>
  <w:clrSchemeMapping w:bg1="light1" w:t1="dark1" w:bg2="light2" w:t2="dark2" w:accent1="accent1" w:accent2="accent2" w:accent3="accent3" w:accent4="accent4" w:accent5="accent5" w:accent6="accent6" w:hyperlink="hyperlink" w:followedHyperlink="followedHyperlink"/>
  <w:decimalSymbol w:val="."/>
  <w:listSeparator w:val=","/>
  <w14:docId w14:val="469EDE46"/>
  <w15:docId w15:val="{E97859EE-BA29-2B42-BC9E-82A8BEF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L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E4A7A"/>
      <w:sz w:val="34"/>
      <w:szCs w:val="34"/>
    </w:rPr>
  </w:style>
  <w:style w:type="paragraph" w:styleId="Heading2">
    <w:name w:val="heading 2"/>
    <w:uiPriority w:val="9"/>
    <w:unhideWhenUsed/>
    <w:qFormat/>
    <w:pPr>
      <w:spacing w:before="280" w:after="120"/>
      <w:outlineLvl w:val="1"/>
    </w:pPr>
    <w:rPr>
      <w:b/>
      <w:bCs/>
      <w:color w:val="2E4A7A"/>
      <w:sz w:val="26"/>
      <w:szCs w:val="26"/>
    </w:rPr>
  </w:style>
  <w:style w:type="paragraph" w:styleId="Heading3">
    <w:name w:val="heading 3"/>
    <w:uiPriority w:val="9"/>
    <w:semiHidden/>
    <w:unhideWhenUsed/>
    <w:qFormat/>
    <w:pPr>
      <w:spacing w:before="200" w:after="100"/>
      <w:outlineLvl w:val="2"/>
    </w:pPr>
    <w:rPr>
      <w:b/>
      <w:bCs/>
      <w:i/>
      <w:iCs/>
      <w:color w:val="B8860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72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9241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5324</Words>
  <Characters>30350</Characters>
  <Application>Microsoft Office Word</Application>
  <DocSecurity>0</DocSecurity>
  <Lines>252</Lines>
  <Paragraphs>71</Paragraphs>
  <ScaleCrop>false</ScaleCrop>
  <Company/>
  <LinksUpToDate>false</LinksUpToDate>
  <CharactersWithSpaces>35603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2</cp:revision>
  <dcterms:created xsi:type="dcterms:W3CDTF">2026-03-25T22:15:00Z</dcterms:created>
  <dcterms:modified xsi:type="dcterms:W3CDTF">2026-03-26T20:39:00Z</dcterms:modified>
</cp:coreProperties>
</file>