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1A5B" w:rsidRDefault="00000000">
      <w:pPr>
        <w:spacing w:before="480" w:after="80"/>
        <w:jc w:val="center"/>
      </w:pPr>
      <w:r>
        <w:rPr>
          <w:rFonts w:ascii="Arial" w:eastAsia="Arial" w:hAnsi="Arial" w:cs="Arial"/>
          <w:color w:val="C9A84C"/>
          <w:sz w:val="28"/>
          <w:szCs w:val="28"/>
        </w:rPr>
        <w:t>𓂀  𓋴  𓇋  𓏏  𓂋  𓁹</w:t>
      </w:r>
    </w:p>
    <w:p w:rsidR="006C1A5B" w:rsidRDefault="00000000">
      <w:pPr>
        <w:spacing w:before="80" w:after="80"/>
        <w:jc w:val="center"/>
      </w:pPr>
      <w:r>
        <w:rPr>
          <w:b/>
          <w:bCs/>
          <w:color w:val="888888"/>
          <w:sz w:val="20"/>
          <w:szCs w:val="20"/>
        </w:rPr>
        <w:t>NETJERU Intelligence System</w:t>
      </w:r>
    </w:p>
    <w:p w:rsidR="006C1A5B" w:rsidRPr="00990EFB" w:rsidRDefault="00000000">
      <w:pPr>
        <w:spacing w:before="40" w:after="40"/>
        <w:jc w:val="center"/>
        <w:rPr>
          <w:lang w:val="en-US"/>
        </w:rPr>
      </w:pPr>
      <w:r>
        <w:rPr>
          <w:color w:val="C9A84C"/>
          <w:sz w:val="20"/>
          <w:szCs w:val="20"/>
        </w:rPr>
        <w:t xml:space="preserve">Paper </w:t>
      </w:r>
      <w:r w:rsidR="00990EFB">
        <w:rPr>
          <w:color w:val="C9A84C"/>
          <w:sz w:val="20"/>
          <w:szCs w:val="20"/>
          <w:lang w:val="en-US"/>
        </w:rPr>
        <w:t>44</w:t>
      </w:r>
    </w:p>
    <w:p w:rsidR="006C1A5B" w:rsidRDefault="006C1A5B">
      <w:pPr>
        <w:pBdr>
          <w:bottom w:val="single" w:sz="4" w:space="1" w:color="C9A84C"/>
        </w:pBdr>
        <w:spacing w:before="200" w:after="200"/>
      </w:pPr>
    </w:p>
    <w:p w:rsidR="006C1A5B" w:rsidRDefault="00000000">
      <w:pPr>
        <w:spacing w:before="320" w:after="120"/>
        <w:jc w:val="center"/>
      </w:pPr>
      <w:r>
        <w:rPr>
          <w:b/>
          <w:bCs/>
          <w:color w:val="1A1A2E"/>
          <w:sz w:val="44"/>
          <w:szCs w:val="44"/>
        </w:rPr>
        <w:t>When the Substrate Breaks:</w:t>
      </w:r>
    </w:p>
    <w:p w:rsidR="006C1A5B" w:rsidRDefault="00000000">
      <w:pPr>
        <w:spacing w:after="200"/>
        <w:jc w:val="center"/>
      </w:pPr>
      <w:r>
        <w:rPr>
          <w:b/>
          <w:bCs/>
          <w:color w:val="2E3A5C"/>
          <w:sz w:val="32"/>
          <w:szCs w:val="32"/>
        </w:rPr>
        <w:t>Symbolic Coordination Collapse Across Five Concurrent Global Crises</w:t>
      </w:r>
    </w:p>
    <w:p w:rsidR="006C1A5B" w:rsidRDefault="00000000">
      <w:pPr>
        <w:spacing w:before="160" w:after="80"/>
        <w:jc w:val="center"/>
      </w:pPr>
      <w:r>
        <w:rPr>
          <w:i/>
          <w:iCs/>
          <w:color w:val="8B4513"/>
        </w:rPr>
        <w:t>A DSSM Applied Analysis</w:t>
      </w:r>
    </w:p>
    <w:p w:rsidR="006C1A5B" w:rsidRDefault="00166C93" w:rsidP="00166C93">
      <w:pPr>
        <w:pBdr>
          <w:bottom w:val="single" w:sz="4" w:space="1" w:color="C9A84C"/>
        </w:pBdr>
        <w:spacing w:before="200" w:after="200"/>
        <w:jc w:val="center"/>
        <w:rPr>
          <w:lang w:val="it-IT"/>
        </w:rPr>
      </w:pPr>
      <w:r>
        <w:rPr>
          <w:lang w:val="it-IT"/>
        </w:rPr>
        <w:t xml:space="preserve">Cycle-2 </w:t>
      </w:r>
    </w:p>
    <w:p w:rsidR="00166C93" w:rsidRDefault="00166C93" w:rsidP="00166C93">
      <w:pPr>
        <w:pBdr>
          <w:bottom w:val="single" w:sz="4" w:space="1" w:color="C9A84C"/>
        </w:pBdr>
        <w:spacing w:before="200" w:after="200"/>
        <w:jc w:val="center"/>
        <w:rPr>
          <w:lang w:val="it-IT"/>
        </w:rPr>
      </w:pPr>
      <w:hyperlink r:id="rId7" w:history="1">
        <w:r w:rsidRPr="00C041B2">
          <w:rPr>
            <w:rStyle w:val="Hyperlink"/>
            <w:lang w:val="it-IT"/>
          </w:rPr>
          <w:t>https://doi.org/10.5281/zenodo.19207064</w:t>
        </w:r>
      </w:hyperlink>
      <w:r>
        <w:rPr>
          <w:lang w:val="it-IT"/>
        </w:rPr>
        <w:t xml:space="preserve"> </w:t>
      </w:r>
    </w:p>
    <w:p w:rsidR="00166C93" w:rsidRPr="00166C93" w:rsidRDefault="00166C93" w:rsidP="00166C93">
      <w:pPr>
        <w:pBdr>
          <w:bottom w:val="single" w:sz="4" w:space="1" w:color="C9A84C"/>
        </w:pBdr>
        <w:spacing w:before="200" w:after="200"/>
        <w:jc w:val="center"/>
        <w:rPr>
          <w:lang w:val="it-IT"/>
        </w:rPr>
      </w:pPr>
    </w:p>
    <w:p w:rsidR="006C1A5B" w:rsidRDefault="00000000">
      <w:pPr>
        <w:spacing w:before="200" w:after="80"/>
        <w:jc w:val="center"/>
      </w:pPr>
      <w:r>
        <w:rPr>
          <w:b/>
          <w:bCs/>
          <w:color w:val="1A1A2E"/>
        </w:rPr>
        <w:t>Anthony Vondoom</w:t>
      </w:r>
    </w:p>
    <w:p w:rsidR="006C1A5B" w:rsidRDefault="00000000">
      <w:pPr>
        <w:spacing w:before="40" w:after="40"/>
        <w:jc w:val="center"/>
      </w:pPr>
      <w:r>
        <w:rPr>
          <w:i/>
          <w:iCs/>
          <w:color w:val="666666"/>
          <w:sz w:val="20"/>
          <w:szCs w:val="20"/>
        </w:rPr>
        <w:t>Independent Researcher, Cognitive Archaeology</w:t>
      </w:r>
    </w:p>
    <w:p w:rsidR="006C1A5B" w:rsidRDefault="00000000">
      <w:pPr>
        <w:spacing w:before="40" w:after="40"/>
        <w:jc w:val="center"/>
      </w:pPr>
      <w:r>
        <w:rPr>
          <w:color w:val="888888"/>
          <w:sz w:val="19"/>
          <w:szCs w:val="19"/>
        </w:rPr>
        <w:t>Sirmione, Italy  |  ORCID: 0009-0003-4953-1427</w:t>
      </w:r>
    </w:p>
    <w:p w:rsidR="006C1A5B" w:rsidRDefault="00000000">
      <w:pPr>
        <w:spacing w:before="40" w:after="40"/>
        <w:jc w:val="center"/>
      </w:pPr>
      <w:r>
        <w:rPr>
          <w:color w:val="888888"/>
          <w:sz w:val="19"/>
          <w:szCs w:val="19"/>
        </w:rPr>
        <w:t>Anthony.vondoom@outlook.com</w:t>
      </w:r>
    </w:p>
    <w:p w:rsidR="006C1A5B" w:rsidRDefault="00000000">
      <w:pPr>
        <w:spacing w:before="80" w:after="80"/>
        <w:jc w:val="center"/>
      </w:pPr>
      <w:r>
        <w:rPr>
          <w:color w:val="C9A84C"/>
          <w:sz w:val="20"/>
          <w:szCs w:val="20"/>
        </w:rPr>
        <w:t>March 24, 2026</w:t>
      </w:r>
    </w:p>
    <w:p w:rsidR="006C1A5B" w:rsidRDefault="006C1A5B">
      <w:pPr>
        <w:pBdr>
          <w:bottom w:val="single" w:sz="4" w:space="1" w:color="C9A84C"/>
        </w:pBdr>
        <w:spacing w:before="200" w:after="200"/>
      </w:pPr>
    </w:p>
    <w:p w:rsidR="006C1A5B" w:rsidRDefault="00000000">
      <w:pPr>
        <w:spacing w:before="120" w:after="80"/>
        <w:jc w:val="center"/>
      </w:pPr>
      <w:r>
        <w:rPr>
          <w:i/>
          <w:iCs/>
          <w:color w:val="888888"/>
          <w:sz w:val="18"/>
          <w:szCs w:val="18"/>
        </w:rPr>
        <w:t>AI-Assisted Synthesis: Claude Sonnet 4.6 (Anthropic)</w:t>
      </w:r>
    </w:p>
    <w:p w:rsidR="006C1A5B" w:rsidRDefault="00000000">
      <w:pPr>
        <w:spacing w:before="40" w:after="40"/>
        <w:jc w:val="center"/>
      </w:pPr>
      <w:r>
        <w:rPr>
          <w:color w:val="888888"/>
          <w:sz w:val="18"/>
          <w:szCs w:val="18"/>
        </w:rPr>
        <w:t>Signal Feed: NETJERU Cycle 2, March 24, 2026</w:t>
      </w:r>
    </w:p>
    <w:p w:rsidR="006C1A5B" w:rsidRDefault="00000000">
      <w:r>
        <w:br w:type="page"/>
      </w:r>
    </w:p>
    <w:p w:rsidR="006C1A5B" w:rsidRDefault="00000000">
      <w:pPr>
        <w:pStyle w:val="Heading1"/>
      </w:pPr>
      <w:r>
        <w:lastRenderedPageBreak/>
        <w:t>Abstract</w:t>
      </w:r>
    </w:p>
    <w:p w:rsidR="006C1A5B" w:rsidRDefault="00000000">
      <w:pPr>
        <w:spacing w:before="80" w:after="160" w:line="340" w:lineRule="auto"/>
        <w:jc w:val="both"/>
      </w:pPr>
      <w:r>
        <w:t>Five concurrent signal feeds processed by the NETJERU intelligence system on March 24, 2026 reveal a pattern that the Deep Symbolic Systems Model (DSSM) identifies as symptomatic of symbolic substrate collapse: the simultaneous delegitimation of the coordination architectures that govern energy, trade, security, monetary exchange, and social contract in the post-1945 international order. This paper argues that what appears in conventional analysis as five distinct crises—Iranian energy infrastructure strikes, Australian supply-chain fracture, market-mediated diplomatic substitution, fragmented security architecture, and domestic social contract dissolution—is in structural terms a single event: the crossing of the threshold beyond which existing symbolic systems can no longer absorb concurrent shocks and actors begin exiting toward regional and local coordination alternatives.</w:t>
      </w:r>
    </w:p>
    <w:p w:rsidR="006C1A5B" w:rsidRDefault="00000000">
      <w:pPr>
        <w:spacing w:before="80" w:after="160" w:line="340" w:lineRule="auto"/>
        <w:jc w:val="both"/>
      </w:pPr>
      <w:r>
        <w:t>Drawing on DSSM prescriptions P1 through P5, this paper synthesizes the Isis signal feeds, Osiris historical analogues, and proposed interventions into a unified analytical framework. The core finding is that all five domains exhibit the same structural failure mode: Stage 4 institutional architecture (cognitive offloading and distributed symbolic authority) is being attempted through Stage 1 and Stage 2 substrates (price signals and bilateral improvisation). The result is oscillation rather than stabilization. The DSSM prescription is invariant across all five domains: reconstruct legitimacy before infrastructure, embed temporal buffers, maintain redundant channels, and refuse to treat fragmentation as adaptive equilibrium. The window for intervention is estimated at 18–36 months before regional exit cascades become self-reinforcing.</w:t>
      </w:r>
    </w:p>
    <w:p w:rsidR="006C1A5B" w:rsidRDefault="006C1A5B">
      <w:pPr>
        <w:pBdr>
          <w:bottom w:val="single" w:sz="4" w:space="1" w:color="C9A84C"/>
        </w:pBdr>
        <w:spacing w:before="200" w:after="200"/>
      </w:pPr>
    </w:p>
    <w:p w:rsidR="006C1A5B" w:rsidRDefault="00000000">
      <w:pPr>
        <w:pStyle w:val="Heading1"/>
      </w:pPr>
      <w:r>
        <w:t>I. Introduction: The Single Event Behind Five Crises</w:t>
      </w:r>
    </w:p>
    <w:p w:rsidR="006C1A5B" w:rsidRDefault="00000000">
      <w:pPr>
        <w:spacing w:before="80" w:after="160" w:line="340" w:lineRule="auto"/>
        <w:jc w:val="both"/>
      </w:pPr>
      <w:r>
        <w:t>Conventional policy analysis treats crises as domain-specific failures requiring domain-specific remedies. Energy infrastructure strikes receive military-strategic responses. Supply-chain disruptions receive logistics and commodity hedging solutions. Diplomatic failures receive institutional reform proposals. Governance fragmentation receives treaty renegotiation. Social contract dissolution receives budgetary restructuring. This analytical segmentation mirrors the institutional architecture of the post-1945 order itself—specialized agencies, compartmentalized jurisdictions, separated policy pipelines.</w:t>
      </w:r>
    </w:p>
    <w:p w:rsidR="006C1A5B" w:rsidRDefault="00000000">
      <w:pPr>
        <w:spacing w:before="80" w:after="160" w:line="340" w:lineRule="auto"/>
        <w:jc w:val="both"/>
      </w:pPr>
      <w:r>
        <w:t xml:space="preserve">The DSSM framework proposes a different diagnostic starting point. When multiple coordination systems fail simultaneously and exhibit the same structural signature—actors exiting from shared symbolic architectures toward local improvisation—the correct unit of analysis is not each crisis but the common substrate beneath all of them. The substrate in question is the post-1945 symbolic </w:t>
      </w:r>
      <w:r>
        <w:lastRenderedPageBreak/>
        <w:t>order: the interlocking system of institutions, protocols, legitimacy claims, and coordination habits that enabled the management of energy flows, trade, security, monetary exchange, and social welfare as integrated rather than competing domains.</w:t>
      </w:r>
    </w:p>
    <w:p w:rsidR="006C1A5B" w:rsidRDefault="00000000">
      <w:pPr>
        <w:spacing w:before="80" w:after="160" w:line="340" w:lineRule="auto"/>
        <w:jc w:val="both"/>
      </w:pPr>
      <w:r>
        <w:t xml:space="preserve">The NETJERU Cycle 2 signal feeds, processed March 24, 2026, document five simultaneous ruptures in this substrate. Each feed, analyzed independently by the Isis synthesis engine, concludes with a variant of the same prescription: </w:t>
      </w:r>
      <w:r>
        <w:rPr>
          <w:i/>
          <w:iCs/>
        </w:rPr>
        <w:t xml:space="preserve">reconstruct legitimacy before attempting infrastructure repair. </w:t>
      </w:r>
      <w:r>
        <w:t>The convergence of this prescription across five analytically independent domains is not coincidental. It is the DSSM signature of substrate-level failure.</w:t>
      </w:r>
    </w:p>
    <w:p w:rsidR="006C1A5B" w:rsidRDefault="00000000">
      <w:pPr>
        <w:spacing w:before="80" w:after="160" w:line="340" w:lineRule="auto"/>
        <w:jc w:val="both"/>
      </w:pPr>
      <w:r>
        <w:t>This paper synthesizes those five feeds into a unified diagnostic and intervention framework. Section II presents the signal inventory and composite DSSM scores. Sections III through VII analyze each domain in depth. Section VIII identifies the structural unity across all five. Section IX presents the integrated DSSM intervention architecture. Section X assesses the failure modes and window of viability.</w:t>
      </w:r>
    </w:p>
    <w:p w:rsidR="006C1A5B" w:rsidRDefault="006C1A5B">
      <w:pPr>
        <w:pBdr>
          <w:bottom w:val="single" w:sz="4" w:space="1" w:color="C9A84C"/>
        </w:pBdr>
        <w:spacing w:before="200" w:after="200"/>
      </w:pPr>
    </w:p>
    <w:p w:rsidR="006C1A5B" w:rsidRDefault="00000000">
      <w:pPr>
        <w:pStyle w:val="Heading1"/>
      </w:pPr>
      <w:r>
        <w:t>II. Signal Inventory: NETJERU Cycle 2, March 24, 2026</w:t>
      </w:r>
    </w:p>
    <w:p w:rsidR="006C1A5B" w:rsidRDefault="00000000">
      <w:pPr>
        <w:spacing w:before="80" w:after="160" w:line="340" w:lineRule="auto"/>
        <w:jc w:val="both"/>
      </w:pPr>
      <w:r>
        <w:t>The following table summarizes the five signal domains processed in this cycle, with DSSM symbolic regulation failure scores assigned by the Isis synthesis engine and threshold assessments by Thoth.</w:t>
      </w:r>
    </w:p>
    <w:p w:rsidR="006C1A5B" w:rsidRDefault="006C1A5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4560"/>
        <w:gridCol w:w="1300"/>
        <w:gridCol w:w="1300"/>
      </w:tblGrid>
      <w:tr w:rsidR="006C1A5B">
        <w:trPr>
          <w:tblHeader/>
        </w:trPr>
        <w:tc>
          <w:tcPr>
            <w:tcW w:w="2200" w:type="dxa"/>
            <w:tcBorders>
              <w:top w:val="single" w:sz="4" w:space="0" w:color="C9A84C"/>
              <w:left w:val="single" w:sz="4" w:space="0" w:color="C9A84C"/>
              <w:bottom w:val="single" w:sz="4" w:space="0" w:color="C9A84C"/>
              <w:right w:val="single" w:sz="4" w:space="0" w:color="C9A84C"/>
            </w:tcBorders>
            <w:shd w:val="clear" w:color="auto" w:fill="1A1A2E"/>
            <w:tcMar>
              <w:top w:w="80" w:type="dxa"/>
              <w:left w:w="120" w:type="dxa"/>
              <w:bottom w:w="80" w:type="dxa"/>
              <w:right w:w="120" w:type="dxa"/>
            </w:tcMar>
          </w:tcPr>
          <w:p w:rsidR="006C1A5B" w:rsidRDefault="00000000">
            <w:r>
              <w:rPr>
                <w:b/>
                <w:bCs/>
                <w:color w:val="C9A84C"/>
                <w:sz w:val="20"/>
                <w:szCs w:val="20"/>
              </w:rPr>
              <w:t>Domain</w:t>
            </w:r>
          </w:p>
        </w:tc>
        <w:tc>
          <w:tcPr>
            <w:tcW w:w="4560" w:type="dxa"/>
            <w:tcBorders>
              <w:top w:val="single" w:sz="4" w:space="0" w:color="C9A84C"/>
              <w:left w:val="single" w:sz="4" w:space="0" w:color="C9A84C"/>
              <w:bottom w:val="single" w:sz="4" w:space="0" w:color="C9A84C"/>
              <w:right w:val="single" w:sz="4" w:space="0" w:color="C9A84C"/>
            </w:tcBorders>
            <w:shd w:val="clear" w:color="auto" w:fill="1A1A2E"/>
            <w:tcMar>
              <w:top w:w="80" w:type="dxa"/>
              <w:left w:w="120" w:type="dxa"/>
              <w:bottom w:w="80" w:type="dxa"/>
              <w:right w:w="120" w:type="dxa"/>
            </w:tcMar>
          </w:tcPr>
          <w:p w:rsidR="006C1A5B" w:rsidRDefault="00000000">
            <w:r>
              <w:rPr>
                <w:b/>
                <w:bCs/>
                <w:color w:val="C9A84C"/>
                <w:sz w:val="20"/>
                <w:szCs w:val="20"/>
              </w:rPr>
              <w:t>Signal Summary</w:t>
            </w:r>
          </w:p>
        </w:tc>
        <w:tc>
          <w:tcPr>
            <w:tcW w:w="1300" w:type="dxa"/>
            <w:tcBorders>
              <w:top w:val="single" w:sz="4" w:space="0" w:color="C9A84C"/>
              <w:left w:val="single" w:sz="4" w:space="0" w:color="C9A84C"/>
              <w:bottom w:val="single" w:sz="4" w:space="0" w:color="C9A84C"/>
              <w:right w:val="single" w:sz="4" w:space="0" w:color="C9A84C"/>
            </w:tcBorders>
            <w:shd w:val="clear" w:color="auto" w:fill="1A1A2E"/>
            <w:tcMar>
              <w:top w:w="80" w:type="dxa"/>
              <w:left w:w="120" w:type="dxa"/>
              <w:bottom w:w="80" w:type="dxa"/>
              <w:right w:w="120" w:type="dxa"/>
            </w:tcMar>
          </w:tcPr>
          <w:p w:rsidR="006C1A5B" w:rsidRDefault="00000000">
            <w:pPr>
              <w:jc w:val="center"/>
            </w:pPr>
            <w:r>
              <w:rPr>
                <w:b/>
                <w:bCs/>
                <w:color w:val="C9A84C"/>
                <w:sz w:val="20"/>
                <w:szCs w:val="20"/>
              </w:rPr>
              <w:t>SRF Score</w:t>
            </w:r>
          </w:p>
        </w:tc>
        <w:tc>
          <w:tcPr>
            <w:tcW w:w="1300" w:type="dxa"/>
            <w:tcBorders>
              <w:top w:val="single" w:sz="4" w:space="0" w:color="C9A84C"/>
              <w:left w:val="single" w:sz="4" w:space="0" w:color="C9A84C"/>
              <w:bottom w:val="single" w:sz="4" w:space="0" w:color="C9A84C"/>
              <w:right w:val="single" w:sz="4" w:space="0" w:color="C9A84C"/>
            </w:tcBorders>
            <w:shd w:val="clear" w:color="auto" w:fill="1A1A2E"/>
            <w:tcMar>
              <w:top w:w="80" w:type="dxa"/>
              <w:left w:w="120" w:type="dxa"/>
              <w:bottom w:w="80" w:type="dxa"/>
              <w:right w:w="120" w:type="dxa"/>
            </w:tcMar>
          </w:tcPr>
          <w:p w:rsidR="006C1A5B" w:rsidRDefault="00000000">
            <w:pPr>
              <w:jc w:val="center"/>
            </w:pPr>
            <w:r>
              <w:rPr>
                <w:b/>
                <w:bCs/>
                <w:color w:val="C9A84C"/>
                <w:sz w:val="20"/>
                <w:szCs w:val="20"/>
              </w:rPr>
              <w:t>Threshold</w:t>
            </w:r>
          </w:p>
        </w:tc>
      </w:tr>
      <w:tr w:rsidR="006C1A5B">
        <w:tc>
          <w:tcPr>
            <w:tcW w:w="2200" w:type="dxa"/>
            <w:tcBorders>
              <w:top w:val="single" w:sz="1" w:space="0" w:color="CCCCCC"/>
              <w:left w:val="single" w:sz="1" w:space="0" w:color="CCCCCC"/>
              <w:bottom w:val="single" w:sz="1" w:space="0" w:color="CCCCCC"/>
              <w:right w:val="single" w:sz="1" w:space="0" w:color="CCCCCC"/>
            </w:tcBorders>
            <w:shd w:val="clear" w:color="auto" w:fill="F5F3EE"/>
            <w:tcMar>
              <w:top w:w="80" w:type="dxa"/>
              <w:left w:w="120" w:type="dxa"/>
              <w:bottom w:w="80" w:type="dxa"/>
              <w:right w:w="120" w:type="dxa"/>
            </w:tcMar>
          </w:tcPr>
          <w:p w:rsidR="006C1A5B" w:rsidRDefault="00000000">
            <w:r>
              <w:rPr>
                <w:b/>
                <w:bCs/>
                <w:color w:val="1A1A2E"/>
                <w:sz w:val="20"/>
                <w:szCs w:val="20"/>
              </w:rPr>
              <w:t>Energy Infrastructure</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r>
              <w:rPr>
                <w:sz w:val="20"/>
                <w:szCs w:val="20"/>
              </w:rPr>
              <w:t>Kinetic strikes on Iranian energy nodes; Asia pivots to coal; EUR/USD below 1.16; petrodollar settlement under pressure</w:t>
            </w:r>
          </w:p>
        </w:tc>
        <w:tc>
          <w:tcPr>
            <w:tcW w:w="1300" w:type="dxa"/>
            <w:tcBorders>
              <w:top w:val="single" w:sz="1" w:space="0" w:color="CCCCCC"/>
              <w:left w:val="single" w:sz="1" w:space="0" w:color="CCCCCC"/>
              <w:bottom w:val="single" w:sz="1" w:space="0" w:color="CCCCCC"/>
              <w:right w:val="single" w:sz="1" w:space="0" w:color="CCCCCC"/>
            </w:tcBorders>
            <w:shd w:val="clear" w:color="auto" w:fill="F9F7F2"/>
            <w:tcMar>
              <w:top w:w="80" w:type="dxa"/>
              <w:left w:w="120" w:type="dxa"/>
              <w:bottom w:w="80" w:type="dxa"/>
              <w:right w:w="120" w:type="dxa"/>
            </w:tcMar>
          </w:tcPr>
          <w:p w:rsidR="006C1A5B" w:rsidRDefault="00000000">
            <w:pPr>
              <w:jc w:val="center"/>
            </w:pPr>
            <w:r>
              <w:rPr>
                <w:b/>
                <w:bCs/>
                <w:color w:val="8B0000"/>
                <w:sz w:val="20"/>
                <w:szCs w:val="20"/>
              </w:rPr>
              <w:t>7.8/10</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pPr>
              <w:jc w:val="center"/>
            </w:pPr>
            <w:r>
              <w:rPr>
                <w:b/>
                <w:bCs/>
                <w:color w:val="8B0000"/>
                <w:sz w:val="20"/>
                <w:szCs w:val="20"/>
              </w:rPr>
              <w:t>CROSSED</w:t>
            </w:r>
          </w:p>
        </w:tc>
      </w:tr>
      <w:tr w:rsidR="006C1A5B">
        <w:tc>
          <w:tcPr>
            <w:tcW w:w="2200" w:type="dxa"/>
            <w:tcBorders>
              <w:top w:val="single" w:sz="1" w:space="0" w:color="CCCCCC"/>
              <w:left w:val="single" w:sz="1" w:space="0" w:color="CCCCCC"/>
              <w:bottom w:val="single" w:sz="1" w:space="0" w:color="CCCCCC"/>
              <w:right w:val="single" w:sz="1" w:space="0" w:color="CCCCCC"/>
            </w:tcBorders>
            <w:shd w:val="clear" w:color="auto" w:fill="F5F3EE"/>
            <w:tcMar>
              <w:top w:w="80" w:type="dxa"/>
              <w:left w:w="120" w:type="dxa"/>
              <w:bottom w:w="80" w:type="dxa"/>
              <w:right w:w="120" w:type="dxa"/>
            </w:tcMar>
          </w:tcPr>
          <w:p w:rsidR="006C1A5B" w:rsidRDefault="00000000">
            <w:r>
              <w:rPr>
                <w:b/>
                <w:bCs/>
                <w:color w:val="1A1A2E"/>
                <w:sz w:val="20"/>
                <w:szCs w:val="20"/>
              </w:rPr>
              <w:t>Supply Chain</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r>
              <w:rPr>
                <w:sz w:val="20"/>
                <w:szCs w:val="20"/>
              </w:rPr>
              <w:t>Australian farming sector: imminent grocery price spikes; fuel/fertilizer cost modeling impossible at 14-day horizon</w:t>
            </w:r>
          </w:p>
        </w:tc>
        <w:tc>
          <w:tcPr>
            <w:tcW w:w="1300" w:type="dxa"/>
            <w:tcBorders>
              <w:top w:val="single" w:sz="1" w:space="0" w:color="CCCCCC"/>
              <w:left w:val="single" w:sz="1" w:space="0" w:color="CCCCCC"/>
              <w:bottom w:val="single" w:sz="1" w:space="0" w:color="CCCCCC"/>
              <w:right w:val="single" w:sz="1" w:space="0" w:color="CCCCCC"/>
            </w:tcBorders>
            <w:shd w:val="clear" w:color="auto" w:fill="F9F7F2"/>
            <w:tcMar>
              <w:top w:w="80" w:type="dxa"/>
              <w:left w:w="120" w:type="dxa"/>
              <w:bottom w:w="80" w:type="dxa"/>
              <w:right w:w="120" w:type="dxa"/>
            </w:tcMar>
          </w:tcPr>
          <w:p w:rsidR="006C1A5B" w:rsidRDefault="00000000">
            <w:pPr>
              <w:jc w:val="center"/>
            </w:pPr>
            <w:r>
              <w:rPr>
                <w:b/>
                <w:bCs/>
                <w:color w:val="8B0000"/>
                <w:sz w:val="20"/>
                <w:szCs w:val="20"/>
              </w:rPr>
              <w:t>7.2/10</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pPr>
              <w:jc w:val="center"/>
            </w:pPr>
            <w:r>
              <w:rPr>
                <w:b/>
                <w:bCs/>
                <w:color w:val="8B0000"/>
                <w:sz w:val="20"/>
                <w:szCs w:val="20"/>
              </w:rPr>
              <w:t>CROSSED</w:t>
            </w:r>
          </w:p>
        </w:tc>
      </w:tr>
      <w:tr w:rsidR="006C1A5B">
        <w:tc>
          <w:tcPr>
            <w:tcW w:w="2200" w:type="dxa"/>
            <w:tcBorders>
              <w:top w:val="single" w:sz="1" w:space="0" w:color="CCCCCC"/>
              <w:left w:val="single" w:sz="1" w:space="0" w:color="CCCCCC"/>
              <w:bottom w:val="single" w:sz="1" w:space="0" w:color="CCCCCC"/>
              <w:right w:val="single" w:sz="1" w:space="0" w:color="CCCCCC"/>
            </w:tcBorders>
            <w:shd w:val="clear" w:color="auto" w:fill="F5F3EE"/>
            <w:tcMar>
              <w:top w:w="80" w:type="dxa"/>
              <w:left w:w="120" w:type="dxa"/>
              <w:bottom w:w="80" w:type="dxa"/>
              <w:right w:w="120" w:type="dxa"/>
            </w:tcMar>
          </w:tcPr>
          <w:p w:rsidR="006C1A5B" w:rsidRDefault="00000000">
            <w:r>
              <w:rPr>
                <w:b/>
                <w:bCs/>
                <w:color w:val="1A1A2E"/>
                <w:sz w:val="20"/>
                <w:szCs w:val="20"/>
              </w:rPr>
              <w:t>Market-Diplomatic Substitution</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r>
              <w:rPr>
                <w:sz w:val="20"/>
                <w:szCs w:val="20"/>
              </w:rPr>
              <w:t>Financial markets conscripted as de-escalation signals; oscillation between military rhetoric and trade incentives</w:t>
            </w:r>
          </w:p>
        </w:tc>
        <w:tc>
          <w:tcPr>
            <w:tcW w:w="1300" w:type="dxa"/>
            <w:tcBorders>
              <w:top w:val="single" w:sz="1" w:space="0" w:color="CCCCCC"/>
              <w:left w:val="single" w:sz="1" w:space="0" w:color="CCCCCC"/>
              <w:bottom w:val="single" w:sz="1" w:space="0" w:color="CCCCCC"/>
              <w:right w:val="single" w:sz="1" w:space="0" w:color="CCCCCC"/>
            </w:tcBorders>
            <w:shd w:val="clear" w:color="auto" w:fill="F9F7F2"/>
            <w:tcMar>
              <w:top w:w="80" w:type="dxa"/>
              <w:left w:w="120" w:type="dxa"/>
              <w:bottom w:w="80" w:type="dxa"/>
              <w:right w:w="120" w:type="dxa"/>
            </w:tcMar>
          </w:tcPr>
          <w:p w:rsidR="006C1A5B" w:rsidRDefault="00000000">
            <w:pPr>
              <w:jc w:val="center"/>
            </w:pPr>
            <w:r>
              <w:rPr>
                <w:b/>
                <w:bCs/>
                <w:color w:val="8B4513"/>
                <w:sz w:val="20"/>
                <w:szCs w:val="20"/>
              </w:rPr>
              <w:t>6.9/10</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pPr>
              <w:jc w:val="center"/>
            </w:pPr>
            <w:r>
              <w:rPr>
                <w:color w:val="8B4513"/>
                <w:sz w:val="20"/>
                <w:szCs w:val="20"/>
              </w:rPr>
              <w:t>CRITICAL</w:t>
            </w:r>
          </w:p>
        </w:tc>
      </w:tr>
      <w:tr w:rsidR="006C1A5B">
        <w:tc>
          <w:tcPr>
            <w:tcW w:w="2200" w:type="dxa"/>
            <w:tcBorders>
              <w:top w:val="single" w:sz="1" w:space="0" w:color="CCCCCC"/>
              <w:left w:val="single" w:sz="1" w:space="0" w:color="CCCCCC"/>
              <w:bottom w:val="single" w:sz="1" w:space="0" w:color="CCCCCC"/>
              <w:right w:val="single" w:sz="1" w:space="0" w:color="CCCCCC"/>
            </w:tcBorders>
            <w:shd w:val="clear" w:color="auto" w:fill="F5F3EE"/>
            <w:tcMar>
              <w:top w:w="80" w:type="dxa"/>
              <w:left w:w="120" w:type="dxa"/>
              <w:bottom w:w="80" w:type="dxa"/>
              <w:right w:w="120" w:type="dxa"/>
            </w:tcMar>
          </w:tcPr>
          <w:p w:rsidR="006C1A5B" w:rsidRDefault="00000000">
            <w:r>
              <w:rPr>
                <w:b/>
                <w:bCs/>
                <w:color w:val="1A1A2E"/>
                <w:sz w:val="20"/>
                <w:szCs w:val="20"/>
              </w:rPr>
              <w:t>Security Architecture</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r>
              <w:rPr>
                <w:sz w:val="20"/>
                <w:szCs w:val="20"/>
              </w:rPr>
              <w:t>Bahrain UN proposals; Australia-EU pacts; Indo-Pacific micro-arrangements; UN Security Council dormancy</w:t>
            </w:r>
          </w:p>
        </w:tc>
        <w:tc>
          <w:tcPr>
            <w:tcW w:w="1300" w:type="dxa"/>
            <w:tcBorders>
              <w:top w:val="single" w:sz="1" w:space="0" w:color="CCCCCC"/>
              <w:left w:val="single" w:sz="1" w:space="0" w:color="CCCCCC"/>
              <w:bottom w:val="single" w:sz="1" w:space="0" w:color="CCCCCC"/>
              <w:right w:val="single" w:sz="1" w:space="0" w:color="CCCCCC"/>
            </w:tcBorders>
            <w:shd w:val="clear" w:color="auto" w:fill="F9F7F2"/>
            <w:tcMar>
              <w:top w:w="80" w:type="dxa"/>
              <w:left w:w="120" w:type="dxa"/>
              <w:bottom w:w="80" w:type="dxa"/>
              <w:right w:w="120" w:type="dxa"/>
            </w:tcMar>
          </w:tcPr>
          <w:p w:rsidR="006C1A5B" w:rsidRDefault="00000000">
            <w:pPr>
              <w:jc w:val="center"/>
            </w:pPr>
            <w:r>
              <w:rPr>
                <w:b/>
                <w:bCs/>
                <w:color w:val="8B4513"/>
                <w:sz w:val="20"/>
                <w:szCs w:val="20"/>
              </w:rPr>
              <w:t>5.2/10</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pPr>
              <w:jc w:val="center"/>
            </w:pPr>
            <w:r>
              <w:rPr>
                <w:color w:val="8B4513"/>
                <w:sz w:val="20"/>
                <w:szCs w:val="20"/>
              </w:rPr>
              <w:t>CRITICAL</w:t>
            </w:r>
          </w:p>
        </w:tc>
      </w:tr>
      <w:tr w:rsidR="006C1A5B">
        <w:tc>
          <w:tcPr>
            <w:tcW w:w="2200" w:type="dxa"/>
            <w:tcBorders>
              <w:top w:val="single" w:sz="1" w:space="0" w:color="CCCCCC"/>
              <w:left w:val="single" w:sz="1" w:space="0" w:color="CCCCCC"/>
              <w:bottom w:val="single" w:sz="1" w:space="0" w:color="CCCCCC"/>
              <w:right w:val="single" w:sz="1" w:space="0" w:color="CCCCCC"/>
            </w:tcBorders>
            <w:shd w:val="clear" w:color="auto" w:fill="F5F3EE"/>
            <w:tcMar>
              <w:top w:w="80" w:type="dxa"/>
              <w:left w:w="120" w:type="dxa"/>
              <w:bottom w:w="80" w:type="dxa"/>
              <w:right w:w="120" w:type="dxa"/>
            </w:tcMar>
          </w:tcPr>
          <w:p w:rsidR="006C1A5B" w:rsidRDefault="00000000">
            <w:r>
              <w:rPr>
                <w:b/>
                <w:bCs/>
                <w:color w:val="1A1A2E"/>
                <w:sz w:val="20"/>
                <w:szCs w:val="20"/>
              </w:rPr>
              <w:t>Social Contract</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r>
              <w:rPr>
                <w:sz w:val="20"/>
                <w:szCs w:val="20"/>
              </w:rPr>
              <w:t>7.7M student loan defaults; elderly welfare gaps; compensatory 'Just Fix It Centers' replacing systemic governance</w:t>
            </w:r>
          </w:p>
        </w:tc>
        <w:tc>
          <w:tcPr>
            <w:tcW w:w="1300" w:type="dxa"/>
            <w:tcBorders>
              <w:top w:val="single" w:sz="1" w:space="0" w:color="CCCCCC"/>
              <w:left w:val="single" w:sz="1" w:space="0" w:color="CCCCCC"/>
              <w:bottom w:val="single" w:sz="1" w:space="0" w:color="CCCCCC"/>
              <w:right w:val="single" w:sz="1" w:space="0" w:color="CCCCCC"/>
            </w:tcBorders>
            <w:shd w:val="clear" w:color="auto" w:fill="F9F7F2"/>
            <w:tcMar>
              <w:top w:w="80" w:type="dxa"/>
              <w:left w:w="120" w:type="dxa"/>
              <w:bottom w:w="80" w:type="dxa"/>
              <w:right w:w="120" w:type="dxa"/>
            </w:tcMar>
          </w:tcPr>
          <w:p w:rsidR="006C1A5B" w:rsidRDefault="00000000">
            <w:pPr>
              <w:jc w:val="center"/>
            </w:pPr>
            <w:r>
              <w:rPr>
                <w:b/>
                <w:bCs/>
                <w:color w:val="8B4513"/>
                <w:sz w:val="20"/>
                <w:szCs w:val="20"/>
              </w:rPr>
              <w:t>6.4/10</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pPr>
              <w:jc w:val="center"/>
            </w:pPr>
            <w:r>
              <w:rPr>
                <w:color w:val="8B4513"/>
                <w:sz w:val="20"/>
                <w:szCs w:val="20"/>
              </w:rPr>
              <w:t>CRITICAL</w:t>
            </w:r>
          </w:p>
        </w:tc>
      </w:tr>
    </w:tbl>
    <w:p w:rsidR="006C1A5B" w:rsidRDefault="006C1A5B"/>
    <w:p w:rsidR="006C1A5B" w:rsidRDefault="00000000">
      <w:pPr>
        <w:spacing w:before="80" w:after="160" w:line="340" w:lineRule="auto"/>
        <w:jc w:val="both"/>
      </w:pPr>
      <w:r>
        <w:lastRenderedPageBreak/>
        <w:t>SRF = Symbolic Regulation Failure score (0–10). CROSSED = threshold for irreversible cascade exceeded without intervention. CRITICAL = within the intervention window but deteriorating.</w:t>
      </w:r>
    </w:p>
    <w:p w:rsidR="006C1A5B" w:rsidRDefault="006C1A5B">
      <w:pPr>
        <w:pBdr>
          <w:bottom w:val="single" w:sz="4" w:space="1" w:color="C9A84C"/>
        </w:pBdr>
        <w:spacing w:before="200" w:after="200"/>
      </w:pPr>
    </w:p>
    <w:p w:rsidR="006C1A5B" w:rsidRDefault="00000000">
      <w:pPr>
        <w:pStyle w:val="Heading1"/>
      </w:pPr>
      <w:r>
        <w:t>III. Domain Analysis: Energy Infrastructure as Contested Symbolic Asset</w:t>
      </w:r>
    </w:p>
    <w:p w:rsidR="006C1A5B" w:rsidRDefault="00000000">
      <w:pPr>
        <w:pStyle w:val="Heading2"/>
      </w:pPr>
      <w:r>
        <w:t>3.1 The DSSM Diagnosis</w:t>
      </w:r>
    </w:p>
    <w:p w:rsidR="006C1A5B" w:rsidRDefault="00000000">
      <w:pPr>
        <w:spacing w:before="80" w:after="160" w:line="340" w:lineRule="auto"/>
        <w:jc w:val="both"/>
      </w:pPr>
      <w:r>
        <w:t>The kinetic strikes on Iranian energy infrastructure are not primarily a military event. In DSSM terms, they are a symbolic rupture in the 50-year petrodollar settlement system—the coordination architecture that has anchored Middle Eastern geopolitics and stabilized global energy exchange since the Nixon-Kissinger oil agreements of the early 1970s. That architecture was never simply a set of contracts or pricing mechanisms. It was a symbolic order: a shared, intergenerationally transmitted agreement that energy infrastructure occupies a zone of relative conflict immunity, that dollar-denominated pricing is the legitimate medium of energy exchange, and that the United States serves as the ultimate guarantor of supply security.</w:t>
      </w:r>
    </w:p>
    <w:p w:rsidR="006C1A5B" w:rsidRDefault="00000000">
      <w:pPr>
        <w:spacing w:before="80" w:after="160" w:line="340" w:lineRule="auto"/>
        <w:jc w:val="both"/>
      </w:pPr>
      <w:r>
        <w:t>When a state can strike energy nodes with limited institutional consequence, it does not merely damage physical infrastructure. It signals that the symbolic order protecting that infrastructure has lost the capacity to enforce its own rules. This is the DSSM definition of symbolic regulation failure: not the absence of rules, but the demonstrated inability of shared symbolic frameworks to generate compliance. The rules still exist on paper. The legitimacy that made them operable has fractured.</w:t>
      </w:r>
    </w:p>
    <w:p w:rsidR="006C1A5B" w:rsidRDefault="00000000">
      <w:pPr>
        <w:spacing w:before="80" w:after="160" w:line="340" w:lineRule="auto"/>
        <w:jc w:val="both"/>
      </w:pPr>
      <w:r>
        <w:t>Asia's pivot to coal is diagnostic rather than merely logistical. Coal is a more expensive, more polluting, and operationally inferior fuel for most industrial applications. Actors choose it not because it is better but because it is outside the contested symbolic order—it is not denominated in petrodollars, not subject to Middle Eastern supply disruptions, not embedded in the legitimacy claims of a settlement system that is visibly failing. The choice of an inferior substrate over a superior but symbolically compromised one is the behavioral signature of symbolic exit.</w:t>
      </w:r>
    </w:p>
    <w:p w:rsidR="006C1A5B" w:rsidRDefault="00000000">
      <w:pPr>
        <w:pStyle w:val="Heading2"/>
      </w:pPr>
      <w:r>
        <w:t>3.2 Osiris Historical Memory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1A5B">
        <w:tc>
          <w:tcPr>
            <w:tcW w:w="0" w:type="auto"/>
            <w:tcBorders>
              <w:top w:val="single" w:sz="8" w:space="0" w:color="C9A84C"/>
              <w:left w:val="single" w:sz="2" w:space="0" w:color="C9A84C"/>
              <w:bottom w:val="single" w:sz="2" w:space="0" w:color="C9A84C"/>
              <w:right w:val="single" w:sz="2" w:space="0" w:color="C9A84C"/>
            </w:tcBorders>
            <w:shd w:val="clear" w:color="auto" w:fill="1A1A2E"/>
            <w:tcMar>
              <w:top w:w="120" w:type="dxa"/>
              <w:left w:w="200" w:type="dxa"/>
              <w:bottom w:w="120" w:type="dxa"/>
              <w:right w:w="200" w:type="dxa"/>
            </w:tcMar>
          </w:tcPr>
          <w:p w:rsidR="006C1A5B" w:rsidRDefault="00000000">
            <w:r>
              <w:rPr>
                <w:rFonts w:ascii="Arial" w:eastAsia="Arial" w:hAnsi="Arial" w:cs="Arial"/>
                <w:b/>
                <w:bCs/>
                <w:color w:val="C9A84C"/>
                <w:sz w:val="20"/>
                <w:szCs w:val="20"/>
              </w:rPr>
              <w:t>𓇋 OSIRIS — HISTORICAL ANALOGUE 1</w:t>
            </w:r>
            <w:r>
              <w:rPr>
                <w:rFonts w:ascii="Arial" w:eastAsia="Arial" w:hAnsi="Arial" w:cs="Arial"/>
                <w:color w:val="AAAAAA"/>
                <w:sz w:val="18"/>
                <w:szCs w:val="18"/>
              </w:rPr>
              <w:t xml:space="preserve">  |  c. 1200 BCE</w:t>
            </w:r>
          </w:p>
          <w:p w:rsidR="006C1A5B" w:rsidRDefault="00000000">
            <w:pPr>
              <w:spacing w:before="60"/>
            </w:pPr>
            <w:r>
              <w:rPr>
                <w:b/>
                <w:bCs/>
                <w:color w:val="E8E0D0"/>
              </w:rPr>
              <w:t>Late Bronze Age Collapse — Simultaneous Exit from Shared Trade and Treaty System</w:t>
            </w:r>
          </w:p>
          <w:p w:rsidR="006C1A5B" w:rsidRDefault="00000000">
            <w:pPr>
              <w:spacing w:before="80"/>
            </w:pPr>
            <w:r>
              <w:rPr>
                <w:i/>
                <w:iCs/>
                <w:color w:val="CCCCCC"/>
                <w:sz w:val="20"/>
                <w:szCs w:val="20"/>
              </w:rPr>
              <w:lastRenderedPageBreak/>
              <w:t>Cascading collapse of palatial economies across the Eastern Mediterranean. The physical infrastructure of ports, storage, and artisan workshops survived; the symbolic coordination substrate did not. Recovery required entirely new architectures: alphabetic writing, coinage, new temple-palace relationships. Three centuries of fragmentation preceded reconstruction.</w:t>
            </w:r>
          </w:p>
        </w:tc>
      </w:tr>
    </w:tbl>
    <w:p w:rsidR="006C1A5B" w:rsidRDefault="006C1A5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1A5B">
        <w:tc>
          <w:tcPr>
            <w:tcW w:w="0" w:type="auto"/>
            <w:tcBorders>
              <w:top w:val="single" w:sz="8" w:space="0" w:color="C9A84C"/>
              <w:left w:val="single" w:sz="2" w:space="0" w:color="C9A84C"/>
              <w:bottom w:val="single" w:sz="2" w:space="0" w:color="C9A84C"/>
              <w:right w:val="single" w:sz="2" w:space="0" w:color="C9A84C"/>
            </w:tcBorders>
            <w:shd w:val="clear" w:color="auto" w:fill="1A1A2E"/>
            <w:tcMar>
              <w:top w:w="120" w:type="dxa"/>
              <w:left w:w="200" w:type="dxa"/>
              <w:bottom w:w="120" w:type="dxa"/>
              <w:right w:w="200" w:type="dxa"/>
            </w:tcMar>
          </w:tcPr>
          <w:p w:rsidR="006C1A5B" w:rsidRDefault="00000000">
            <w:r>
              <w:rPr>
                <w:rFonts w:ascii="Arial" w:eastAsia="Arial" w:hAnsi="Arial" w:cs="Arial"/>
                <w:b/>
                <w:bCs/>
                <w:color w:val="C9A84C"/>
                <w:sz w:val="20"/>
                <w:szCs w:val="20"/>
              </w:rPr>
              <w:t>𓇋 OSIRIS — HISTORICAL ANALOGUE 2</w:t>
            </w:r>
            <w:r>
              <w:rPr>
                <w:rFonts w:ascii="Arial" w:eastAsia="Arial" w:hAnsi="Arial" w:cs="Arial"/>
                <w:color w:val="AAAAAA"/>
                <w:sz w:val="18"/>
                <w:szCs w:val="18"/>
              </w:rPr>
              <w:t xml:space="preserve">  |  1453–1498</w:t>
            </w:r>
          </w:p>
          <w:p w:rsidR="006C1A5B" w:rsidRDefault="00000000">
            <w:pPr>
              <w:spacing w:before="60"/>
            </w:pPr>
            <w:r>
              <w:rPr>
                <w:b/>
                <w:bCs/>
                <w:color w:val="E8E0D0"/>
              </w:rPr>
              <w:t>Silk Road Collapse and Indian Ocean Pivot — Venetian-Ottoman Intermediary System</w:t>
            </w:r>
          </w:p>
          <w:p w:rsidR="006C1A5B" w:rsidRDefault="00000000">
            <w:pPr>
              <w:spacing w:before="80"/>
            </w:pPr>
            <w:r>
              <w:rPr>
                <w:i/>
                <w:iCs/>
                <w:color w:val="CCCCCC"/>
                <w:sz w:val="20"/>
                <w:szCs w:val="20"/>
              </w:rPr>
              <w:t>The collapse was not caused by a single military defeat but by the erosion of symbolic legitimacy in land-based corridor powers. Portuguese circumnavigation did not simply add a route—it created an alternative symbolic architecture for maritime trade, complete with new legal frameworks, new merchant relationships, new sovereign claims. Fifty-plus years to new equilibrium.</w:t>
            </w:r>
          </w:p>
        </w:tc>
      </w:tr>
    </w:tbl>
    <w:p w:rsidR="006C1A5B" w:rsidRDefault="006C1A5B"/>
    <w:p w:rsidR="006C1A5B" w:rsidRDefault="00000000">
      <w:pPr>
        <w:pStyle w:val="Heading2"/>
      </w:pPr>
      <w:r>
        <w:t>3.3 Set's Corrective</w:t>
      </w:r>
    </w:p>
    <w:p w:rsidR="006C1A5B" w:rsidRDefault="00000000">
      <w:pPr>
        <w:spacing w:before="80" w:after="160" w:line="340" w:lineRule="auto"/>
        <w:jc w:val="both"/>
      </w:pPr>
      <w:r>
        <w:t>The analysis must resist overstating the completeness of petrodollar collapse. Institutions still respond to disruption with emergency stabilization rather than wholesale exit. The ECB and Federal Reserve remain functional lenders of last resort; OPEC+ still coordinates production; Asian energy markets remain dollar-denominated despite diversification pressure. The historical analogues carry survivorship bias—we remember the collapses that cascaded into dark ages and undercount the moments when actors rebuilt shared coordination without total systemic failure. The EUR/USD break below 1.16 may signal financial stress rather than fundamental loss of dollar hegemony.</w:t>
      </w:r>
    </w:p>
    <w:p w:rsidR="006C1A5B" w:rsidRDefault="00000000">
      <w:pPr>
        <w:pStyle w:val="Heading2"/>
      </w:pPr>
      <w:r>
        <w:t>3.4 DSSM Intervention</w:t>
      </w:r>
    </w:p>
    <w:p w:rsidR="006C1A5B" w:rsidRDefault="006C1A5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6C1A5B">
        <w:tc>
          <w:tcPr>
            <w:tcW w:w="1200" w:type="dxa"/>
            <w:tcBorders>
              <w:top w:val="single" w:sz="4" w:space="0" w:color="C9A84C"/>
              <w:left w:val="single" w:sz="4" w:space="0" w:color="C9A84C"/>
              <w:bottom w:val="single" w:sz="4" w:space="0" w:color="C9A84C"/>
              <w:right w:val="single" w:sz="4" w:space="0" w:color="C9A84C"/>
            </w:tcBorders>
            <w:shd w:val="clear" w:color="auto" w:fill="1A1A2E"/>
            <w:tcMar>
              <w:top w:w="120" w:type="dxa"/>
              <w:left w:w="120" w:type="dxa"/>
              <w:bottom w:w="120" w:type="dxa"/>
              <w:right w:w="120" w:type="dxa"/>
            </w:tcMar>
            <w:vAlign w:val="center"/>
          </w:tcPr>
          <w:p w:rsidR="006C1A5B" w:rsidRDefault="00000000">
            <w:pPr>
              <w:jc w:val="center"/>
            </w:pPr>
            <w:r>
              <w:rPr>
                <w:b/>
                <w:bCs/>
                <w:color w:val="C9A84C"/>
                <w:sz w:val="24"/>
                <w:szCs w:val="24"/>
              </w:rPr>
              <w:t>P4</w:t>
            </w:r>
          </w:p>
        </w:tc>
        <w:tc>
          <w:tcPr>
            <w:tcW w:w="8160" w:type="dxa"/>
            <w:tcBorders>
              <w:top w:val="single" w:sz="4" w:space="0" w:color="C9A84C"/>
              <w:left w:val="single" w:sz="4" w:space="0" w:color="C9A84C"/>
              <w:bottom w:val="single" w:sz="4" w:space="0" w:color="C9A84C"/>
              <w:right w:val="single" w:sz="4" w:space="0" w:color="C9A84C"/>
            </w:tcBorders>
            <w:shd w:val="clear" w:color="auto" w:fill="F9F7F2"/>
            <w:tcMar>
              <w:top w:w="120" w:type="dxa"/>
              <w:left w:w="160" w:type="dxa"/>
              <w:bottom w:w="120" w:type="dxa"/>
              <w:right w:w="160" w:type="dxa"/>
            </w:tcMar>
          </w:tcPr>
          <w:p w:rsidR="006C1A5B" w:rsidRDefault="00000000">
            <w:r>
              <w:rPr>
                <w:b/>
                <w:bCs/>
                <w:color w:val="1A1A2E"/>
              </w:rPr>
              <w:t>Reconstruct Legitimacy Before Infrastructure</w:t>
            </w:r>
          </w:p>
          <w:p w:rsidR="006C1A5B" w:rsidRDefault="00000000">
            <w:pPr>
              <w:spacing w:before="60"/>
            </w:pPr>
            <w:r>
              <w:rPr>
                <w:color w:val="333333"/>
                <w:sz w:val="20"/>
                <w:szCs w:val="20"/>
              </w:rPr>
              <w:t>Convene an emergency multilateral energy governance council within 48 hours of any energy infrastructure strike affecting civilian supply. Mandate: establish binding recognition of energy nodes as non-military civilian assets. This council is not a negotiating body—it is a symbolic architecture. Legitimacy reconstruction precedes supply reorientation or pricing coordination.</w:t>
            </w:r>
          </w:p>
        </w:tc>
      </w:tr>
    </w:tbl>
    <w:p w:rsidR="006C1A5B" w:rsidRDefault="006C1A5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6C1A5B">
        <w:tc>
          <w:tcPr>
            <w:tcW w:w="1200" w:type="dxa"/>
            <w:tcBorders>
              <w:top w:val="single" w:sz="4" w:space="0" w:color="C9A84C"/>
              <w:left w:val="single" w:sz="4" w:space="0" w:color="C9A84C"/>
              <w:bottom w:val="single" w:sz="4" w:space="0" w:color="C9A84C"/>
              <w:right w:val="single" w:sz="4" w:space="0" w:color="C9A84C"/>
            </w:tcBorders>
            <w:shd w:val="clear" w:color="auto" w:fill="1A1A2E"/>
            <w:tcMar>
              <w:top w:w="120" w:type="dxa"/>
              <w:left w:w="120" w:type="dxa"/>
              <w:bottom w:w="120" w:type="dxa"/>
              <w:right w:w="120" w:type="dxa"/>
            </w:tcMar>
            <w:vAlign w:val="center"/>
          </w:tcPr>
          <w:p w:rsidR="006C1A5B" w:rsidRDefault="00000000">
            <w:pPr>
              <w:jc w:val="center"/>
            </w:pPr>
            <w:r>
              <w:rPr>
                <w:b/>
                <w:bCs/>
                <w:color w:val="C9A84C"/>
                <w:sz w:val="24"/>
                <w:szCs w:val="24"/>
              </w:rPr>
              <w:t>P1 + P2</w:t>
            </w:r>
          </w:p>
        </w:tc>
        <w:tc>
          <w:tcPr>
            <w:tcW w:w="8160" w:type="dxa"/>
            <w:tcBorders>
              <w:top w:val="single" w:sz="4" w:space="0" w:color="C9A84C"/>
              <w:left w:val="single" w:sz="4" w:space="0" w:color="C9A84C"/>
              <w:bottom w:val="single" w:sz="4" w:space="0" w:color="C9A84C"/>
              <w:right w:val="single" w:sz="4" w:space="0" w:color="C9A84C"/>
            </w:tcBorders>
            <w:shd w:val="clear" w:color="auto" w:fill="F9F7F2"/>
            <w:tcMar>
              <w:top w:w="120" w:type="dxa"/>
              <w:left w:w="160" w:type="dxa"/>
              <w:bottom w:w="120" w:type="dxa"/>
              <w:right w:w="160" w:type="dxa"/>
            </w:tcMar>
          </w:tcPr>
          <w:p w:rsidR="006C1A5B" w:rsidRDefault="00000000">
            <w:r>
              <w:rPr>
                <w:b/>
                <w:bCs/>
                <w:color w:val="1A1A2E"/>
              </w:rPr>
              <w:t>Temporal Buffers + Redundant Communication Channels</w:t>
            </w:r>
          </w:p>
          <w:p w:rsidR="006C1A5B" w:rsidRDefault="00000000">
            <w:pPr>
              <w:spacing w:before="60"/>
            </w:pPr>
            <w:r>
              <w:rPr>
                <w:color w:val="333333"/>
                <w:sz w:val="20"/>
                <w:szCs w:val="20"/>
              </w:rPr>
              <w:t>Establish the Strategic Reserve Coordination Council (SRCC) with binding 48-hour advance notification protocols for any energy disruption affecting civilian supply. Member states commit to releasing strategic petroleum, grain, and fertilizer reserves within 4 hours of notification. Council operates via satellite + fiber optic + radio backup channels independent of diplomatic networks.</w:t>
            </w:r>
          </w:p>
        </w:tc>
      </w:tr>
    </w:tbl>
    <w:p w:rsidR="006C1A5B" w:rsidRDefault="006C1A5B"/>
    <w:p w:rsidR="006C1A5B" w:rsidRDefault="006C1A5B">
      <w:pPr>
        <w:pBdr>
          <w:bottom w:val="single" w:sz="4" w:space="1" w:color="C9A84C"/>
        </w:pBdr>
        <w:spacing w:before="200" w:after="200"/>
      </w:pPr>
    </w:p>
    <w:p w:rsidR="006C1A5B" w:rsidRDefault="00000000">
      <w:pPr>
        <w:pStyle w:val="Heading1"/>
      </w:pPr>
      <w:r>
        <w:lastRenderedPageBreak/>
        <w:t>IV. Domain Analysis: Civilian Supply-Chain Collapse as Symbolic Spillover</w:t>
      </w:r>
    </w:p>
    <w:p w:rsidR="006C1A5B" w:rsidRDefault="00000000">
      <w:pPr>
        <w:pStyle w:val="Heading2"/>
      </w:pPr>
      <w:r>
        <w:t>4.1 The DSSM Diagnosis</w:t>
      </w:r>
    </w:p>
    <w:p w:rsidR="006C1A5B" w:rsidRDefault="00000000">
      <w:pPr>
        <w:spacing w:before="80" w:after="160" w:line="340" w:lineRule="auto"/>
        <w:jc w:val="both"/>
      </w:pPr>
      <w:r>
        <w:t>The Australian farming sector's imminent grocery price-spike warning is not primarily a logistics problem. It is the surface presentation of a deeper structural failure: the degradation of what DSSM terms the symbolic regulation framework for supply chains. This framework is the shared, largely implicit agreement among market participants, governments, and producers that essential supply systems will remain predictable and insulated from geopolitical shock. Its function is not merely informational—it does not just tell farmers what inputs will cost. Its function is coordinative: it enables the distributed cognitive action required to plan, plant, harvest, and distribute food for 25 million people.</w:t>
      </w:r>
    </w:p>
    <w:p w:rsidR="006C1A5B" w:rsidRDefault="00000000">
      <w:pPr>
        <w:spacing w:before="80" w:after="160" w:line="340" w:lineRule="auto"/>
        <w:jc w:val="both"/>
      </w:pPr>
      <w:r>
        <w:t>When Australian farmers cannot model fuel costs or fertilizer prices at a 90-day horizon—when the planning horizon collapses to 14 days—the coordination system breaks at the cognitive level before it breaks at the physical level. The supply chain remains physically intact. The shared assumptions that make it function have dissolved. This is the DSSM signature of pre-collapse: physical infrastructure persisting while symbolic coordination fails. The physical failure follows with a lag, typically 6–18 months in modern supply systems.</w:t>
      </w:r>
    </w:p>
    <w:p w:rsidR="006C1A5B" w:rsidRDefault="00000000">
      <w:pPr>
        <w:spacing w:before="80" w:after="160" w:line="340" w:lineRule="auto"/>
        <w:jc w:val="both"/>
      </w:pPr>
      <w:r>
        <w:t xml:space="preserve">The emergence of compensatory </w:t>
      </w:r>
      <w:r>
        <w:rPr>
          <w:i/>
          <w:iCs/>
        </w:rPr>
        <w:t xml:space="preserve">ad hoc </w:t>
      </w:r>
      <w:r>
        <w:t>patch mechanisms—short-term government interventions, emergency hedging, bilateral producer agreements—is not evidence of systemic resilience. It is evidence of institutional hollowing. The state retains formal authority to address the crisis but has lost either the technical capacity, financial coherence, or organizational will to do so through primary institutions. Patches are the behavioral signature of a system that can no longer maintain its own substrate.</w:t>
      </w:r>
    </w:p>
    <w:p w:rsidR="006C1A5B" w:rsidRDefault="00000000">
      <w:pPr>
        <w:pStyle w:val="Heading2"/>
      </w:pPr>
      <w:r>
        <w:t>4.2 Osiris Historical Memory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1A5B">
        <w:tc>
          <w:tcPr>
            <w:tcW w:w="0" w:type="auto"/>
            <w:tcBorders>
              <w:top w:val="single" w:sz="8" w:space="0" w:color="C9A84C"/>
              <w:left w:val="single" w:sz="2" w:space="0" w:color="C9A84C"/>
              <w:bottom w:val="single" w:sz="2" w:space="0" w:color="C9A84C"/>
              <w:right w:val="single" w:sz="2" w:space="0" w:color="C9A84C"/>
            </w:tcBorders>
            <w:shd w:val="clear" w:color="auto" w:fill="1A1A2E"/>
            <w:tcMar>
              <w:top w:w="120" w:type="dxa"/>
              <w:left w:w="200" w:type="dxa"/>
              <w:bottom w:w="120" w:type="dxa"/>
              <w:right w:w="200" w:type="dxa"/>
            </w:tcMar>
          </w:tcPr>
          <w:p w:rsidR="006C1A5B" w:rsidRDefault="00000000">
            <w:r>
              <w:rPr>
                <w:rFonts w:ascii="Arial" w:eastAsia="Arial" w:hAnsi="Arial" w:cs="Arial"/>
                <w:b/>
                <w:bCs/>
                <w:color w:val="C9A84C"/>
                <w:sz w:val="20"/>
                <w:szCs w:val="20"/>
              </w:rPr>
              <w:t>𓇋 OSIRIS — HISTORICAL ANALOGUE 1</w:t>
            </w:r>
            <w:r>
              <w:rPr>
                <w:rFonts w:ascii="Arial" w:eastAsia="Arial" w:hAnsi="Arial" w:cs="Arial"/>
                <w:color w:val="AAAAAA"/>
                <w:sz w:val="18"/>
                <w:szCs w:val="18"/>
              </w:rPr>
              <w:t xml:space="preserve">  |  c. 1200 BCE</w:t>
            </w:r>
          </w:p>
          <w:p w:rsidR="006C1A5B" w:rsidRDefault="00000000">
            <w:pPr>
              <w:spacing w:before="60"/>
            </w:pPr>
            <w:r>
              <w:rPr>
                <w:b/>
                <w:bCs/>
                <w:color w:val="E8E0D0"/>
              </w:rPr>
              <w:t>Late Bronze Age Collapse — Physical Infrastructure Survived, Coordination Did Not</w:t>
            </w:r>
          </w:p>
          <w:p w:rsidR="006C1A5B" w:rsidRDefault="00000000">
            <w:pPr>
              <w:spacing w:before="80"/>
            </w:pPr>
            <w:r>
              <w:rPr>
                <w:i/>
                <w:iCs/>
                <w:color w:val="CCCCCC"/>
                <w:sz w:val="20"/>
                <w:szCs w:val="20"/>
              </w:rPr>
              <w:t>Ports, storage facilities, and artisan workshops survived the initial disruption. What collapsed was the ability to coordinate production and exchange. The three-century dark age was not a physical shortage but an absence of the symbolic architecture required to organize distributed economic action. Recovery required not restoration but reconstruction of entirely new coordination substrates.</w:t>
            </w:r>
          </w:p>
        </w:tc>
      </w:tr>
    </w:tbl>
    <w:p w:rsidR="006C1A5B" w:rsidRDefault="006C1A5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1A5B">
        <w:tc>
          <w:tcPr>
            <w:tcW w:w="0" w:type="auto"/>
            <w:tcBorders>
              <w:top w:val="single" w:sz="8" w:space="0" w:color="C9A84C"/>
              <w:left w:val="single" w:sz="2" w:space="0" w:color="C9A84C"/>
              <w:bottom w:val="single" w:sz="2" w:space="0" w:color="C9A84C"/>
              <w:right w:val="single" w:sz="2" w:space="0" w:color="C9A84C"/>
            </w:tcBorders>
            <w:shd w:val="clear" w:color="auto" w:fill="1A1A2E"/>
            <w:tcMar>
              <w:top w:w="120" w:type="dxa"/>
              <w:left w:w="200" w:type="dxa"/>
              <w:bottom w:w="120" w:type="dxa"/>
              <w:right w:w="200" w:type="dxa"/>
            </w:tcMar>
          </w:tcPr>
          <w:p w:rsidR="006C1A5B" w:rsidRDefault="00000000">
            <w:r>
              <w:rPr>
                <w:rFonts w:ascii="Arial" w:eastAsia="Arial" w:hAnsi="Arial" w:cs="Arial"/>
                <w:b/>
                <w:bCs/>
                <w:color w:val="C9A84C"/>
                <w:sz w:val="20"/>
                <w:szCs w:val="20"/>
              </w:rPr>
              <w:t>𓇋 OSIRIS — ROMAN ANALOGUE</w:t>
            </w:r>
            <w:r>
              <w:rPr>
                <w:rFonts w:ascii="Arial" w:eastAsia="Arial" w:hAnsi="Arial" w:cs="Arial"/>
                <w:color w:val="AAAAAA"/>
                <w:sz w:val="18"/>
                <w:szCs w:val="18"/>
              </w:rPr>
              <w:t xml:space="preserve">  |  284–305 CE</w:t>
            </w:r>
          </w:p>
          <w:p w:rsidR="006C1A5B" w:rsidRDefault="00000000">
            <w:pPr>
              <w:spacing w:before="60"/>
            </w:pPr>
            <w:r>
              <w:rPr>
                <w:b/>
                <w:bCs/>
                <w:color w:val="E8E0D0"/>
              </w:rPr>
              <w:lastRenderedPageBreak/>
              <w:t>Diocletian's Provincial Reserve Coordination — Stabilization Through Symbolic Architecture</w:t>
            </w:r>
          </w:p>
          <w:p w:rsidR="006C1A5B" w:rsidRDefault="00000000">
            <w:pPr>
              <w:spacing w:before="80"/>
            </w:pPr>
            <w:r>
              <w:rPr>
                <w:i/>
                <w:iCs/>
                <w:color w:val="CCCCCC"/>
                <w:sz w:val="20"/>
                <w:szCs w:val="20"/>
              </w:rPr>
              <w:t>When provincial governors lost coordinated supply systems during the Crisis of the Third Century, coinage debased 95% and plague exploited the coordination vacuum. Diocletian's stabilization required explicit provincial reserve coordination and relay stations—not merely new policies but reconstruction of the symbolic architecture of imperial supply governance. The intervention succeeded because it reconstructed legitimacy before attempting logistics reform.</w:t>
            </w:r>
          </w:p>
        </w:tc>
      </w:tr>
    </w:tbl>
    <w:p w:rsidR="006C1A5B" w:rsidRDefault="006C1A5B"/>
    <w:p w:rsidR="006C1A5B" w:rsidRDefault="00000000">
      <w:pPr>
        <w:pStyle w:val="Heading2"/>
      </w:pPr>
      <w:r>
        <w:t>4.3 DSSM Intervention</w:t>
      </w:r>
    </w:p>
    <w:p w:rsidR="006C1A5B" w:rsidRDefault="006C1A5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6C1A5B">
        <w:tc>
          <w:tcPr>
            <w:tcW w:w="1200" w:type="dxa"/>
            <w:tcBorders>
              <w:top w:val="single" w:sz="4" w:space="0" w:color="C9A84C"/>
              <w:left w:val="single" w:sz="4" w:space="0" w:color="C9A84C"/>
              <w:bottom w:val="single" w:sz="4" w:space="0" w:color="C9A84C"/>
              <w:right w:val="single" w:sz="4" w:space="0" w:color="C9A84C"/>
            </w:tcBorders>
            <w:shd w:val="clear" w:color="auto" w:fill="1A1A2E"/>
            <w:tcMar>
              <w:top w:w="120" w:type="dxa"/>
              <w:left w:w="120" w:type="dxa"/>
              <w:bottom w:w="120" w:type="dxa"/>
              <w:right w:w="120" w:type="dxa"/>
            </w:tcMar>
            <w:vAlign w:val="center"/>
          </w:tcPr>
          <w:p w:rsidR="006C1A5B" w:rsidRDefault="00000000">
            <w:pPr>
              <w:jc w:val="center"/>
            </w:pPr>
            <w:r>
              <w:rPr>
                <w:b/>
                <w:bCs/>
                <w:color w:val="C9A84C"/>
                <w:sz w:val="24"/>
                <w:szCs w:val="24"/>
              </w:rPr>
              <w:t>P4</w:t>
            </w:r>
          </w:p>
        </w:tc>
        <w:tc>
          <w:tcPr>
            <w:tcW w:w="8160" w:type="dxa"/>
            <w:tcBorders>
              <w:top w:val="single" w:sz="4" w:space="0" w:color="C9A84C"/>
              <w:left w:val="single" w:sz="4" w:space="0" w:color="C9A84C"/>
              <w:bottom w:val="single" w:sz="4" w:space="0" w:color="C9A84C"/>
              <w:right w:val="single" w:sz="4" w:space="0" w:color="C9A84C"/>
            </w:tcBorders>
            <w:shd w:val="clear" w:color="auto" w:fill="F9F7F2"/>
            <w:tcMar>
              <w:top w:w="120" w:type="dxa"/>
              <w:left w:w="160" w:type="dxa"/>
              <w:bottom w:w="120" w:type="dxa"/>
              <w:right w:w="160" w:type="dxa"/>
            </w:tcMar>
          </w:tcPr>
          <w:p w:rsidR="006C1A5B" w:rsidRDefault="00000000">
            <w:r>
              <w:rPr>
                <w:b/>
                <w:bCs/>
                <w:color w:val="1A1A2E"/>
              </w:rPr>
              <w:t>Reconstruct Legitimacy Before Infrastructure</w:t>
            </w:r>
          </w:p>
          <w:p w:rsidR="006C1A5B" w:rsidRDefault="00000000">
            <w:pPr>
              <w:spacing w:before="60"/>
            </w:pPr>
            <w:r>
              <w:rPr>
                <w:color w:val="333333"/>
                <w:sz w:val="20"/>
                <w:szCs w:val="20"/>
              </w:rPr>
              <w:t>Establish a multinational commodity coordination council with explicit mandate to restore shared predictability in fuel, fertilizer, and food pricing—not through price controls but through transparent forward-price agreements allowing 90-day planning horizons. The intervention targets the cognitive coordination failure, not the physical logistics.</w:t>
            </w:r>
          </w:p>
        </w:tc>
      </w:tr>
    </w:tbl>
    <w:p w:rsidR="006C1A5B" w:rsidRDefault="006C1A5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6C1A5B">
        <w:tc>
          <w:tcPr>
            <w:tcW w:w="1200" w:type="dxa"/>
            <w:tcBorders>
              <w:top w:val="single" w:sz="4" w:space="0" w:color="C9A84C"/>
              <w:left w:val="single" w:sz="4" w:space="0" w:color="C9A84C"/>
              <w:bottom w:val="single" w:sz="4" w:space="0" w:color="C9A84C"/>
              <w:right w:val="single" w:sz="4" w:space="0" w:color="C9A84C"/>
            </w:tcBorders>
            <w:shd w:val="clear" w:color="auto" w:fill="1A1A2E"/>
            <w:tcMar>
              <w:top w:w="120" w:type="dxa"/>
              <w:left w:w="120" w:type="dxa"/>
              <w:bottom w:w="120" w:type="dxa"/>
              <w:right w:w="120" w:type="dxa"/>
            </w:tcMar>
            <w:vAlign w:val="center"/>
          </w:tcPr>
          <w:p w:rsidR="006C1A5B" w:rsidRDefault="00000000">
            <w:pPr>
              <w:jc w:val="center"/>
            </w:pPr>
            <w:r>
              <w:rPr>
                <w:b/>
                <w:bCs/>
                <w:color w:val="C9A84C"/>
                <w:sz w:val="24"/>
                <w:szCs w:val="24"/>
              </w:rPr>
              <w:t>P2</w:t>
            </w:r>
          </w:p>
        </w:tc>
        <w:tc>
          <w:tcPr>
            <w:tcW w:w="8160" w:type="dxa"/>
            <w:tcBorders>
              <w:top w:val="single" w:sz="4" w:space="0" w:color="C9A84C"/>
              <w:left w:val="single" w:sz="4" w:space="0" w:color="C9A84C"/>
              <w:bottom w:val="single" w:sz="4" w:space="0" w:color="C9A84C"/>
              <w:right w:val="single" w:sz="4" w:space="0" w:color="C9A84C"/>
            </w:tcBorders>
            <w:shd w:val="clear" w:color="auto" w:fill="F9F7F2"/>
            <w:tcMar>
              <w:top w:w="120" w:type="dxa"/>
              <w:left w:w="160" w:type="dxa"/>
              <w:bottom w:w="120" w:type="dxa"/>
              <w:right w:w="160" w:type="dxa"/>
            </w:tcMar>
          </w:tcPr>
          <w:p w:rsidR="006C1A5B" w:rsidRDefault="00000000">
            <w:r>
              <w:rPr>
                <w:b/>
                <w:bCs/>
                <w:color w:val="1A1A2E"/>
              </w:rPr>
              <w:t>Maintain Redundant Communication Channels</w:t>
            </w:r>
          </w:p>
          <w:p w:rsidR="006C1A5B" w:rsidRDefault="00000000">
            <w:pPr>
              <w:spacing w:before="60"/>
            </w:pPr>
            <w:r>
              <w:rPr>
                <w:color w:val="333333"/>
                <w:sz w:val="20"/>
                <w:szCs w:val="20"/>
              </w:rPr>
              <w:t>Coordinate through three independent channels: formal intergovernmental agreements, private-sector futures exchanges, and a neutral third-party monitoring and dispute-resolution mechanism. Public commitment from major commodity producers (Australia, Ukraine, Argentina, Canada) and importers (China, India, EU) framed not as commercial negotiation but as reconstruction of shared symbolic agreement.</w:t>
            </w:r>
          </w:p>
        </w:tc>
      </w:tr>
    </w:tbl>
    <w:p w:rsidR="006C1A5B" w:rsidRDefault="006C1A5B"/>
    <w:p w:rsidR="006C1A5B" w:rsidRDefault="006C1A5B">
      <w:pPr>
        <w:pBdr>
          <w:bottom w:val="single" w:sz="4" w:space="1" w:color="C9A84C"/>
        </w:pBdr>
        <w:spacing w:before="200" w:after="200"/>
      </w:pPr>
    </w:p>
    <w:p w:rsidR="006C1A5B" w:rsidRDefault="00000000">
      <w:pPr>
        <w:pStyle w:val="Heading1"/>
      </w:pPr>
      <w:r>
        <w:t>V. Domain Analysis: Market-Mediated De-escalation as Substrate Mismatch</w:t>
      </w:r>
    </w:p>
    <w:p w:rsidR="006C1A5B" w:rsidRDefault="00000000">
      <w:pPr>
        <w:pStyle w:val="Heading2"/>
      </w:pPr>
      <w:r>
        <w:t>5.1 The DSSM Diagnosis</w:t>
      </w:r>
    </w:p>
    <w:p w:rsidR="006C1A5B" w:rsidRDefault="00000000">
      <w:pPr>
        <w:spacing w:before="80" w:after="160" w:line="340" w:lineRule="auto"/>
        <w:jc w:val="both"/>
      </w:pPr>
      <w:r>
        <w:t>The most structurally significant signal in this cycle is not the most dramatic. The conscription of financial markets as substitutes for diplomatic de-escalation—the use of stock rebounds, trade deal announcements, and currency signals as primary conflict governance mechanisms—represents the deepest substrate failure documented in these feeds. It is the use of Stage 1 infrastructure (price discovery and transactional efficiency) to accomplish Stage 4 work (the renewal of shared institutional order).</w:t>
      </w:r>
    </w:p>
    <w:p w:rsidR="006C1A5B" w:rsidRDefault="00000000">
      <w:pPr>
        <w:spacing w:before="80" w:after="160" w:line="340" w:lineRule="auto"/>
        <w:jc w:val="both"/>
      </w:pPr>
      <w:r>
        <w:t xml:space="preserve">Markets are not neutral coordination instruments. They are a specific type of symbolic architecture, calibrated to equilibrate supply and demand at price. They encode a particular </w:t>
      </w:r>
      <w:r>
        <w:lastRenderedPageBreak/>
        <w:t>epistemic claim: that the aggregated preferences of market participants, expressed through price, constitute a legitimate measure of value. This claim is enormously useful for allocating resources within a functioning institutional framework. It is structurally incapable of generating the legitimacy required to sustain peace architectures, because legitimacy is not a preference that can be aggregated at price. It is a shared symbolic commitment that must be enacted through institutions, rituals, and protocols designed specifically to generate and maintain it.</w:t>
      </w:r>
    </w:p>
    <w:p w:rsidR="006C1A5B" w:rsidRDefault="00000000">
      <w:pPr>
        <w:spacing w:before="80" w:after="160" w:line="340" w:lineRule="auto"/>
        <w:jc w:val="both"/>
      </w:pPr>
      <w:r>
        <w:t>When military mobilization rhetoric spikes and financial incentives are deployed as correctives, the resulting feedback loop prevents either genuine peace-building or clear escalation pathways. The system is not stable—it is oscillating. Each oscillation cycle erodes the residual capacity of diplomatic institutions to function, accelerates the perception that markets are the real governance mechanism, and reduces the cost of the next escalation cycle. The equilibrium this generates is not peace. It is managed instability with declining shock-absorption capacity.</w:t>
      </w:r>
    </w:p>
    <w:p w:rsidR="006C1A5B" w:rsidRDefault="00000000">
      <w:pPr>
        <w:pStyle w:val="Heading2"/>
      </w:pPr>
      <w:r>
        <w:t>5.2 DSSM Intervention</w:t>
      </w:r>
    </w:p>
    <w:p w:rsidR="006C1A5B" w:rsidRDefault="006C1A5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6C1A5B">
        <w:tc>
          <w:tcPr>
            <w:tcW w:w="1200" w:type="dxa"/>
            <w:tcBorders>
              <w:top w:val="single" w:sz="4" w:space="0" w:color="C9A84C"/>
              <w:left w:val="single" w:sz="4" w:space="0" w:color="C9A84C"/>
              <w:bottom w:val="single" w:sz="4" w:space="0" w:color="C9A84C"/>
              <w:right w:val="single" w:sz="4" w:space="0" w:color="C9A84C"/>
            </w:tcBorders>
            <w:shd w:val="clear" w:color="auto" w:fill="1A1A2E"/>
            <w:tcMar>
              <w:top w:w="120" w:type="dxa"/>
              <w:left w:w="120" w:type="dxa"/>
              <w:bottom w:w="120" w:type="dxa"/>
              <w:right w:w="120" w:type="dxa"/>
            </w:tcMar>
            <w:vAlign w:val="center"/>
          </w:tcPr>
          <w:p w:rsidR="006C1A5B" w:rsidRDefault="00000000">
            <w:pPr>
              <w:jc w:val="center"/>
            </w:pPr>
            <w:r>
              <w:rPr>
                <w:b/>
                <w:bCs/>
                <w:color w:val="C9A84C"/>
                <w:sz w:val="24"/>
                <w:szCs w:val="24"/>
              </w:rPr>
              <w:t>P1</w:t>
            </w:r>
          </w:p>
        </w:tc>
        <w:tc>
          <w:tcPr>
            <w:tcW w:w="8160" w:type="dxa"/>
            <w:tcBorders>
              <w:top w:val="single" w:sz="4" w:space="0" w:color="C9A84C"/>
              <w:left w:val="single" w:sz="4" w:space="0" w:color="C9A84C"/>
              <w:bottom w:val="single" w:sz="4" w:space="0" w:color="C9A84C"/>
              <w:right w:val="single" w:sz="4" w:space="0" w:color="C9A84C"/>
            </w:tcBorders>
            <w:shd w:val="clear" w:color="auto" w:fill="F9F7F2"/>
            <w:tcMar>
              <w:top w:w="120" w:type="dxa"/>
              <w:left w:w="160" w:type="dxa"/>
              <w:bottom w:w="120" w:type="dxa"/>
              <w:right w:w="160" w:type="dxa"/>
            </w:tcMar>
          </w:tcPr>
          <w:p w:rsidR="006C1A5B" w:rsidRDefault="00000000">
            <w:r>
              <w:rPr>
                <w:b/>
                <w:bCs/>
                <w:color w:val="1A1A2E"/>
              </w:rPr>
              <w:t>Mandatory Temporal Buffers in Market-Mediated Signals</w:t>
            </w:r>
          </w:p>
          <w:p w:rsidR="006C1A5B" w:rsidRDefault="00000000">
            <w:pPr>
              <w:spacing w:before="60"/>
            </w:pPr>
            <w:r>
              <w:rPr>
                <w:color w:val="333333"/>
                <w:sz w:val="20"/>
                <w:szCs w:val="20"/>
              </w:rPr>
              <w:t>Establish a 48-hour minimum delay between any unilateral market-signal announcement (trade suspension, tariff threat, sanctions proposal) and implementation. This delay is non-waivable by security claims. Its function is not administrative efficiency—it is the forced activation of redundant coordination channels before market signals become the sole governance mechanism.</w:t>
            </w:r>
          </w:p>
        </w:tc>
      </w:tr>
    </w:tbl>
    <w:p w:rsidR="006C1A5B" w:rsidRDefault="006C1A5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6C1A5B">
        <w:tc>
          <w:tcPr>
            <w:tcW w:w="1200" w:type="dxa"/>
            <w:tcBorders>
              <w:top w:val="single" w:sz="4" w:space="0" w:color="C9A84C"/>
              <w:left w:val="single" w:sz="4" w:space="0" w:color="C9A84C"/>
              <w:bottom w:val="single" w:sz="4" w:space="0" w:color="C9A84C"/>
              <w:right w:val="single" w:sz="4" w:space="0" w:color="C9A84C"/>
            </w:tcBorders>
            <w:shd w:val="clear" w:color="auto" w:fill="1A1A2E"/>
            <w:tcMar>
              <w:top w:w="120" w:type="dxa"/>
              <w:left w:w="120" w:type="dxa"/>
              <w:bottom w:w="120" w:type="dxa"/>
              <w:right w:w="120" w:type="dxa"/>
            </w:tcMar>
            <w:vAlign w:val="center"/>
          </w:tcPr>
          <w:p w:rsidR="006C1A5B" w:rsidRDefault="00000000">
            <w:pPr>
              <w:jc w:val="center"/>
            </w:pPr>
            <w:r>
              <w:rPr>
                <w:b/>
                <w:bCs/>
                <w:color w:val="C9A84C"/>
                <w:sz w:val="24"/>
                <w:szCs w:val="24"/>
              </w:rPr>
              <w:t>P2</w:t>
            </w:r>
          </w:p>
        </w:tc>
        <w:tc>
          <w:tcPr>
            <w:tcW w:w="8160" w:type="dxa"/>
            <w:tcBorders>
              <w:top w:val="single" w:sz="4" w:space="0" w:color="C9A84C"/>
              <w:left w:val="single" w:sz="4" w:space="0" w:color="C9A84C"/>
              <w:bottom w:val="single" w:sz="4" w:space="0" w:color="C9A84C"/>
              <w:right w:val="single" w:sz="4" w:space="0" w:color="C9A84C"/>
            </w:tcBorders>
            <w:shd w:val="clear" w:color="auto" w:fill="F9F7F2"/>
            <w:tcMar>
              <w:top w:w="120" w:type="dxa"/>
              <w:left w:w="160" w:type="dxa"/>
              <w:bottom w:w="120" w:type="dxa"/>
              <w:right w:w="160" w:type="dxa"/>
            </w:tcMar>
          </w:tcPr>
          <w:p w:rsidR="006C1A5B" w:rsidRDefault="00000000">
            <w:r>
              <w:rPr>
                <w:b/>
                <w:bCs/>
                <w:color w:val="1A1A2E"/>
              </w:rPr>
              <w:t>Three-Channel Redundancy in Conflict Governance</w:t>
            </w:r>
          </w:p>
          <w:p w:rsidR="006C1A5B" w:rsidRDefault="00000000">
            <w:pPr>
              <w:spacing w:before="60"/>
            </w:pPr>
            <w:r>
              <w:rPr>
                <w:color w:val="333333"/>
                <w:sz w:val="20"/>
                <w:szCs w:val="20"/>
              </w:rPr>
              <w:t>During every 48-hour buffer period, mandatory deployment of three parallel communication pathways: (1) diplomatic—traditional state channels; (2) technical—scientific or academic working groups with established legitimacy; (3) market-mediated—formal economic coordination bodies. No single channel may monopolize conflict interpretation. Markets remain one input, not the primary substrate.</w:t>
            </w:r>
          </w:p>
        </w:tc>
      </w:tr>
    </w:tbl>
    <w:p w:rsidR="006C1A5B" w:rsidRDefault="006C1A5B"/>
    <w:p w:rsidR="006C1A5B" w:rsidRDefault="006C1A5B">
      <w:pPr>
        <w:pBdr>
          <w:bottom w:val="single" w:sz="4" w:space="1" w:color="C9A84C"/>
        </w:pBdr>
        <w:spacing w:before="200" w:after="200"/>
      </w:pPr>
    </w:p>
    <w:p w:rsidR="006C1A5B" w:rsidRDefault="00000000">
      <w:pPr>
        <w:pStyle w:val="Heading1"/>
      </w:pPr>
      <w:r>
        <w:t>VI. Domain Analysis: Fragmented Security Architecture and Legitimacy Grammar</w:t>
      </w:r>
    </w:p>
    <w:p w:rsidR="006C1A5B" w:rsidRDefault="00000000">
      <w:pPr>
        <w:pStyle w:val="Heading2"/>
      </w:pPr>
      <w:r>
        <w:t>6.1 The DSSM Diagnosis</w:t>
      </w:r>
    </w:p>
    <w:p w:rsidR="006C1A5B" w:rsidRDefault="00000000">
      <w:pPr>
        <w:spacing w:before="80" w:after="160" w:line="340" w:lineRule="auto"/>
        <w:jc w:val="both"/>
      </w:pPr>
      <w:r>
        <w:t xml:space="preserve">The fragmentation evident in current security arrangements—Bahrain's UN proposals, Australia-EU defense pacts, Indo-Pacific networks without formal basing structures—reflects a specific institutional pathology that the DSSM identifies as the middle phase of a fragmentation cascade. </w:t>
      </w:r>
      <w:r>
        <w:lastRenderedPageBreak/>
        <w:t>The post-1945 multilateral regulatory substrate has entered functional dormancy without experiencing formal dissolution. This is not yet collapse, but it is not stable pluralism.</w:t>
      </w:r>
    </w:p>
    <w:p w:rsidR="006C1A5B" w:rsidRDefault="00000000">
      <w:pPr>
        <w:spacing w:before="80" w:after="160" w:line="340" w:lineRule="auto"/>
        <w:jc w:val="both"/>
      </w:pPr>
      <w:r>
        <w:t>The structural driver is the failure of the UN Security Council to authorize major conflict responses. This failure forces state actors into improvisational governance: rather than competing within a shared institutional grammar, they assemble parallel grammars, each regional coalition generating its own legitimacy claims, authorization procedures, and decision-making timelines. The DSSM diagnosis is not that pluralism is inherently pathological—the Cold War demonstrated that competing institutional architectures can coexist within a dominant symbolic framework. The diagnosis is that current arrangements lack the overarching grammar that made Cold War pluralism stable. They are genuinely orphaned from shared legitimacy.</w:t>
      </w:r>
    </w:p>
    <w:p w:rsidR="006C1A5B" w:rsidRDefault="00000000">
      <w:pPr>
        <w:spacing w:before="80" w:after="160" w:line="340" w:lineRule="auto"/>
        <w:jc w:val="both"/>
      </w:pPr>
      <w:r>
        <w:t>The composite DSSM score of 5.2 for this domain reflects genuine ambiguity: institutional fragmentation is real and measurable, but macro-economic decoupling remains moderate. This suggests the system is within the intervention window—fragmentation has not yet produced the genuinely incompatible symbolic orders that would make reconstruction structurally impossible. But the window is narrowing. The historical pattern is consistent: distributed micro-arrangements become self-reinforcing approximately 15–25 years after the initial substrate fracture, at which point reconstruction requires generational rather than institutional effort.</w:t>
      </w:r>
    </w:p>
    <w:p w:rsidR="006C1A5B" w:rsidRDefault="00000000">
      <w:pPr>
        <w:pStyle w:val="Heading2"/>
      </w:pPr>
      <w:r>
        <w:t>6.2 DSSM Intervention</w:t>
      </w:r>
    </w:p>
    <w:p w:rsidR="006C1A5B" w:rsidRDefault="006C1A5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6C1A5B">
        <w:tc>
          <w:tcPr>
            <w:tcW w:w="1200" w:type="dxa"/>
            <w:tcBorders>
              <w:top w:val="single" w:sz="4" w:space="0" w:color="C9A84C"/>
              <w:left w:val="single" w:sz="4" w:space="0" w:color="C9A84C"/>
              <w:bottom w:val="single" w:sz="4" w:space="0" w:color="C9A84C"/>
              <w:right w:val="single" w:sz="4" w:space="0" w:color="C9A84C"/>
            </w:tcBorders>
            <w:shd w:val="clear" w:color="auto" w:fill="1A1A2E"/>
            <w:tcMar>
              <w:top w:w="120" w:type="dxa"/>
              <w:left w:w="120" w:type="dxa"/>
              <w:bottom w:w="120" w:type="dxa"/>
              <w:right w:w="120" w:type="dxa"/>
            </w:tcMar>
            <w:vAlign w:val="center"/>
          </w:tcPr>
          <w:p w:rsidR="006C1A5B" w:rsidRDefault="00000000">
            <w:pPr>
              <w:jc w:val="center"/>
            </w:pPr>
            <w:r>
              <w:rPr>
                <w:b/>
                <w:bCs/>
                <w:color w:val="C9A84C"/>
                <w:sz w:val="24"/>
                <w:szCs w:val="24"/>
              </w:rPr>
              <w:t>P4</w:t>
            </w:r>
          </w:p>
        </w:tc>
        <w:tc>
          <w:tcPr>
            <w:tcW w:w="8160" w:type="dxa"/>
            <w:tcBorders>
              <w:top w:val="single" w:sz="4" w:space="0" w:color="C9A84C"/>
              <w:left w:val="single" w:sz="4" w:space="0" w:color="C9A84C"/>
              <w:bottom w:val="single" w:sz="4" w:space="0" w:color="C9A84C"/>
              <w:right w:val="single" w:sz="4" w:space="0" w:color="C9A84C"/>
            </w:tcBorders>
            <w:shd w:val="clear" w:color="auto" w:fill="F9F7F2"/>
            <w:tcMar>
              <w:top w:w="120" w:type="dxa"/>
              <w:left w:w="160" w:type="dxa"/>
              <w:bottom w:w="120" w:type="dxa"/>
              <w:right w:w="160" w:type="dxa"/>
            </w:tcMar>
          </w:tcPr>
          <w:p w:rsidR="006C1A5B" w:rsidRDefault="00000000">
            <w:r>
              <w:rPr>
                <w:b/>
                <w:bCs/>
                <w:color w:val="1A1A2E"/>
              </w:rPr>
              <w:t>Reconstruct the Legitimacy Grammar Before Rebuilding Institutions</w:t>
            </w:r>
          </w:p>
          <w:p w:rsidR="006C1A5B" w:rsidRDefault="00000000">
            <w:pPr>
              <w:spacing w:before="60"/>
            </w:pPr>
            <w:r>
              <w:rPr>
                <w:color w:val="333333"/>
                <w:sz w:val="20"/>
                <w:szCs w:val="20"/>
              </w:rPr>
              <w:t>Convene a 90-day multilateral working group tasked not with negotiating treaties but with reconstructing the shared symbolic grammar of security authorization—establishing common recognition of how decisions about conflict authorization, escalation thresholds, and regional intervention get made and by whom. Output: not a new organization, but a symbolic architecture describing how existing institutions legitimately coordinate.</w:t>
            </w:r>
          </w:p>
        </w:tc>
      </w:tr>
    </w:tbl>
    <w:p w:rsidR="006C1A5B" w:rsidRDefault="006C1A5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6C1A5B">
        <w:tc>
          <w:tcPr>
            <w:tcW w:w="1200" w:type="dxa"/>
            <w:tcBorders>
              <w:top w:val="single" w:sz="4" w:space="0" w:color="C9A84C"/>
              <w:left w:val="single" w:sz="4" w:space="0" w:color="C9A84C"/>
              <w:bottom w:val="single" w:sz="4" w:space="0" w:color="C9A84C"/>
              <w:right w:val="single" w:sz="4" w:space="0" w:color="C9A84C"/>
            </w:tcBorders>
            <w:shd w:val="clear" w:color="auto" w:fill="1A1A2E"/>
            <w:tcMar>
              <w:top w:w="120" w:type="dxa"/>
              <w:left w:w="120" w:type="dxa"/>
              <w:bottom w:w="120" w:type="dxa"/>
              <w:right w:w="120" w:type="dxa"/>
            </w:tcMar>
            <w:vAlign w:val="center"/>
          </w:tcPr>
          <w:p w:rsidR="006C1A5B" w:rsidRDefault="00000000">
            <w:pPr>
              <w:jc w:val="center"/>
            </w:pPr>
            <w:r>
              <w:rPr>
                <w:b/>
                <w:bCs/>
                <w:color w:val="C9A84C"/>
                <w:sz w:val="24"/>
                <w:szCs w:val="24"/>
              </w:rPr>
              <w:t>P5</w:t>
            </w:r>
          </w:p>
        </w:tc>
        <w:tc>
          <w:tcPr>
            <w:tcW w:w="8160" w:type="dxa"/>
            <w:tcBorders>
              <w:top w:val="single" w:sz="4" w:space="0" w:color="C9A84C"/>
              <w:left w:val="single" w:sz="4" w:space="0" w:color="C9A84C"/>
              <w:bottom w:val="single" w:sz="4" w:space="0" w:color="C9A84C"/>
              <w:right w:val="single" w:sz="4" w:space="0" w:color="C9A84C"/>
            </w:tcBorders>
            <w:shd w:val="clear" w:color="auto" w:fill="F9F7F2"/>
            <w:tcMar>
              <w:top w:w="120" w:type="dxa"/>
              <w:left w:w="160" w:type="dxa"/>
              <w:bottom w:w="120" w:type="dxa"/>
              <w:right w:w="160" w:type="dxa"/>
            </w:tcMar>
          </w:tcPr>
          <w:p w:rsidR="006C1A5B" w:rsidRDefault="00000000">
            <w:r>
              <w:rPr>
                <w:b/>
                <w:bCs/>
                <w:color w:val="1A1A2E"/>
              </w:rPr>
              <w:t>Stop Treating Governance Fragmentation as Competitive Advantage</w:t>
            </w:r>
          </w:p>
          <w:p w:rsidR="006C1A5B" w:rsidRDefault="00000000">
            <w:pPr>
              <w:spacing w:before="60"/>
            </w:pPr>
            <w:r>
              <w:rPr>
                <w:color w:val="333333"/>
                <w:sz w:val="20"/>
                <w:szCs w:val="20"/>
              </w:rPr>
              <w:t>Establish a binding Unified Conflict Prevention Authority (UCPA) with permanent representation from major powers and rotating regional membership. Automatic 72-hour cooling-off period enforced through economic sanctions on violators. Distributed secretariat across neutral cities (Geneva, Singapore, Cape Town) with independent legal review at each node.</w:t>
            </w:r>
          </w:p>
        </w:tc>
      </w:tr>
    </w:tbl>
    <w:p w:rsidR="006C1A5B" w:rsidRDefault="006C1A5B"/>
    <w:p w:rsidR="006C1A5B" w:rsidRDefault="006C1A5B">
      <w:pPr>
        <w:pBdr>
          <w:bottom w:val="single" w:sz="4" w:space="1" w:color="C9A84C"/>
        </w:pBdr>
        <w:spacing w:before="200" w:after="200"/>
      </w:pPr>
    </w:p>
    <w:p w:rsidR="006C1A5B" w:rsidRDefault="00000000">
      <w:pPr>
        <w:pStyle w:val="Heading1"/>
      </w:pPr>
      <w:r>
        <w:lastRenderedPageBreak/>
        <w:t>VII. Domain Analysis: Domestic Social Contract as Civilizational Substrate</w:t>
      </w:r>
    </w:p>
    <w:p w:rsidR="006C1A5B" w:rsidRDefault="00000000">
      <w:pPr>
        <w:pStyle w:val="Heading2"/>
      </w:pPr>
      <w:r>
        <w:t>7.1 The DSSM Diagnosis</w:t>
      </w:r>
    </w:p>
    <w:p w:rsidR="006C1A5B" w:rsidRDefault="00000000">
      <w:pPr>
        <w:spacing w:before="80" w:after="160" w:line="340" w:lineRule="auto"/>
        <w:jc w:val="both"/>
      </w:pPr>
      <w:r>
        <w:t>The synchronization of mass student loan defaults affecting 7.7 million borrowers alongside elderly welfare system gaps across multiple jurisdictions is not a coincidence of policy failures. It is the surface expression of a structural crisis in the foundational bargain between state institutions and citizens—the implicit agreement that governance apparatus will manage predictable lifecycle risks through education financing and age-based security. This bargain is not merely a policy preference. In DSSM terms, it is a symbolic architecture: an intergenerationally transmitted, institutionally embodied agreement about what the state is for.</w:t>
      </w:r>
    </w:p>
    <w:p w:rsidR="006C1A5B" w:rsidRDefault="00000000">
      <w:pPr>
        <w:spacing w:before="80" w:after="160" w:line="340" w:lineRule="auto"/>
        <w:jc w:val="both"/>
      </w:pPr>
      <w:r>
        <w:t>The emergence of compensatory mechanisms—'Just Fix It Centers,' emergency bridging funds, ad hoc assistance programs—is not evidence of adaptive governance. It is the behavioral signature of institutional hollowing. These mechanisms perform the legitimating function of state response while bypassing the primary institutional architecture that generated that legitimacy. The state visibly attends to the problem. The symbolic architecture that made state attention meaningful continues to erode.</w:t>
      </w:r>
    </w:p>
    <w:p w:rsidR="006C1A5B" w:rsidRDefault="00000000">
      <w:pPr>
        <w:spacing w:before="80" w:after="160" w:line="340" w:lineRule="auto"/>
        <w:jc w:val="both"/>
      </w:pPr>
      <w:r>
        <w:t>The underlying drivers are structural and synchronized: demographic mismatch producing simultaneous pressure on education finance and elder welfare; the financialization of previously public goods creating debt-instrument dynamics in systems designed as social insurance; fragmented governance architectures distributing responsibility without centralizing problem-solving capacity. These forces share a common origin in post-1980s institutional decentralization—the deliberate shift toward market-based solutions and privatized risk that now reveals its cascade vulnerability when simultaneous shocks hit multiple cohorts.</w:t>
      </w:r>
    </w:p>
    <w:p w:rsidR="006C1A5B" w:rsidRDefault="00000000">
      <w:pPr>
        <w:pStyle w:val="Heading2"/>
      </w:pPr>
      <w:r>
        <w:t>7.2 DSSM Intervention</w:t>
      </w:r>
    </w:p>
    <w:p w:rsidR="006C1A5B" w:rsidRDefault="006C1A5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6C1A5B">
        <w:tc>
          <w:tcPr>
            <w:tcW w:w="1200" w:type="dxa"/>
            <w:tcBorders>
              <w:top w:val="single" w:sz="4" w:space="0" w:color="C9A84C"/>
              <w:left w:val="single" w:sz="4" w:space="0" w:color="C9A84C"/>
              <w:bottom w:val="single" w:sz="4" w:space="0" w:color="C9A84C"/>
              <w:right w:val="single" w:sz="4" w:space="0" w:color="C9A84C"/>
            </w:tcBorders>
            <w:shd w:val="clear" w:color="auto" w:fill="1A1A2E"/>
            <w:tcMar>
              <w:top w:w="120" w:type="dxa"/>
              <w:left w:w="120" w:type="dxa"/>
              <w:bottom w:w="120" w:type="dxa"/>
              <w:right w:w="120" w:type="dxa"/>
            </w:tcMar>
            <w:vAlign w:val="center"/>
          </w:tcPr>
          <w:p w:rsidR="006C1A5B" w:rsidRDefault="00000000">
            <w:pPr>
              <w:jc w:val="center"/>
            </w:pPr>
            <w:r>
              <w:rPr>
                <w:b/>
                <w:bCs/>
                <w:color w:val="C9A84C"/>
                <w:sz w:val="24"/>
                <w:szCs w:val="24"/>
              </w:rPr>
              <w:t>P4</w:t>
            </w:r>
          </w:p>
        </w:tc>
        <w:tc>
          <w:tcPr>
            <w:tcW w:w="8160" w:type="dxa"/>
            <w:tcBorders>
              <w:top w:val="single" w:sz="4" w:space="0" w:color="C9A84C"/>
              <w:left w:val="single" w:sz="4" w:space="0" w:color="C9A84C"/>
              <w:bottom w:val="single" w:sz="4" w:space="0" w:color="C9A84C"/>
              <w:right w:val="single" w:sz="4" w:space="0" w:color="C9A84C"/>
            </w:tcBorders>
            <w:shd w:val="clear" w:color="auto" w:fill="F9F7F2"/>
            <w:tcMar>
              <w:top w:w="120" w:type="dxa"/>
              <w:left w:w="160" w:type="dxa"/>
              <w:bottom w:w="120" w:type="dxa"/>
              <w:right w:w="160" w:type="dxa"/>
            </w:tcMar>
          </w:tcPr>
          <w:p w:rsidR="006C1A5B" w:rsidRDefault="00000000">
            <w:r>
              <w:rPr>
                <w:b/>
                <w:bCs/>
                <w:color w:val="1A1A2E"/>
              </w:rPr>
              <w:t>Reconstruct Legitimacy of State Authority Before Rebuilding Programs</w:t>
            </w:r>
          </w:p>
          <w:p w:rsidR="006C1A5B" w:rsidRDefault="00000000">
            <w:pPr>
              <w:spacing w:before="60"/>
            </w:pPr>
            <w:r>
              <w:rPr>
                <w:color w:val="333333"/>
                <w:sz w:val="20"/>
                <w:szCs w:val="20"/>
              </w:rPr>
              <w:t>Convene cross-jurisdictional legitimacy forums explicitly designed to re-establish shared symbolic recognition of state authority over welfare provisioning. Public, transparent deliberation on why education and elderly care remain legitimate public goods—not merely funded programs—conducted across failing jurisdictions simultaneously. This is not legislative reform; it is the reconstruction of the implicit contract before rebuilding its institutions.</w:t>
            </w:r>
          </w:p>
        </w:tc>
      </w:tr>
    </w:tbl>
    <w:p w:rsidR="006C1A5B" w:rsidRDefault="006C1A5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6C1A5B">
        <w:tc>
          <w:tcPr>
            <w:tcW w:w="1200" w:type="dxa"/>
            <w:tcBorders>
              <w:top w:val="single" w:sz="4" w:space="0" w:color="C9A84C"/>
              <w:left w:val="single" w:sz="4" w:space="0" w:color="C9A84C"/>
              <w:bottom w:val="single" w:sz="4" w:space="0" w:color="C9A84C"/>
              <w:right w:val="single" w:sz="4" w:space="0" w:color="C9A84C"/>
            </w:tcBorders>
            <w:shd w:val="clear" w:color="auto" w:fill="1A1A2E"/>
            <w:tcMar>
              <w:top w:w="120" w:type="dxa"/>
              <w:left w:w="120" w:type="dxa"/>
              <w:bottom w:w="120" w:type="dxa"/>
              <w:right w:w="120" w:type="dxa"/>
            </w:tcMar>
            <w:vAlign w:val="center"/>
          </w:tcPr>
          <w:p w:rsidR="006C1A5B" w:rsidRDefault="00000000">
            <w:pPr>
              <w:jc w:val="center"/>
            </w:pPr>
            <w:r>
              <w:rPr>
                <w:b/>
                <w:bCs/>
                <w:color w:val="C9A84C"/>
                <w:sz w:val="24"/>
                <w:szCs w:val="24"/>
              </w:rPr>
              <w:lastRenderedPageBreak/>
              <w:t>P2</w:t>
            </w:r>
          </w:p>
        </w:tc>
        <w:tc>
          <w:tcPr>
            <w:tcW w:w="8160" w:type="dxa"/>
            <w:tcBorders>
              <w:top w:val="single" w:sz="4" w:space="0" w:color="C9A84C"/>
              <w:left w:val="single" w:sz="4" w:space="0" w:color="C9A84C"/>
              <w:bottom w:val="single" w:sz="4" w:space="0" w:color="C9A84C"/>
              <w:right w:val="single" w:sz="4" w:space="0" w:color="C9A84C"/>
            </w:tcBorders>
            <w:shd w:val="clear" w:color="auto" w:fill="F9F7F2"/>
            <w:tcMar>
              <w:top w:w="120" w:type="dxa"/>
              <w:left w:w="160" w:type="dxa"/>
              <w:bottom w:w="120" w:type="dxa"/>
              <w:right w:w="160" w:type="dxa"/>
            </w:tcMar>
          </w:tcPr>
          <w:p w:rsidR="006C1A5B" w:rsidRDefault="00000000">
            <w:r>
              <w:rPr>
                <w:b/>
                <w:bCs/>
                <w:color w:val="1A1A2E"/>
              </w:rPr>
              <w:t>Redundant Communication Channels Between State and Citizens</w:t>
            </w:r>
          </w:p>
          <w:p w:rsidR="006C1A5B" w:rsidRDefault="00000000">
            <w:pPr>
              <w:spacing w:before="60"/>
            </w:pPr>
            <w:r>
              <w:rPr>
                <w:color w:val="333333"/>
                <w:sz w:val="20"/>
                <w:szCs w:val="20"/>
              </w:rPr>
              <w:t>Establish communication channels between education finance administrators, elderly care providers, and affected citizen cohorts that prevent any single policy channel from dominating coordination. Creates symbolic infrastructure for the next architecture while preventing single-point-of-failure cascades in the current one.</w:t>
            </w:r>
          </w:p>
        </w:tc>
      </w:tr>
    </w:tbl>
    <w:p w:rsidR="006C1A5B" w:rsidRDefault="006C1A5B"/>
    <w:p w:rsidR="006C1A5B" w:rsidRDefault="006C1A5B">
      <w:pPr>
        <w:pBdr>
          <w:bottom w:val="single" w:sz="4" w:space="1" w:color="C9A84C"/>
        </w:pBdr>
        <w:spacing w:before="200" w:after="200"/>
      </w:pPr>
    </w:p>
    <w:p w:rsidR="006C1A5B" w:rsidRDefault="00000000">
      <w:pPr>
        <w:pStyle w:val="Heading1"/>
      </w:pPr>
      <w:r>
        <w:t>VIII. The Structural Unity: One Event, Five Surfaces</w:t>
      </w:r>
    </w:p>
    <w:p w:rsidR="006C1A5B" w:rsidRDefault="00000000">
      <w:pPr>
        <w:spacing w:before="80" w:after="160" w:line="340" w:lineRule="auto"/>
        <w:jc w:val="both"/>
      </w:pPr>
      <w:r>
        <w:t>The analytical value of the DSSM framework is not that it provides better domain-specific analysis of energy policy, supply chains, diplomatic practice, security architecture, or social welfare. It is that it reveals when apparently independent domain failures share a common structural cause. The five signal feeds processed in NETJERU Cycle 2 exhibit structural unity at three levels.</w:t>
      </w:r>
    </w:p>
    <w:p w:rsidR="006C1A5B" w:rsidRDefault="00000000">
      <w:pPr>
        <w:pStyle w:val="Heading2"/>
      </w:pPr>
      <w:r>
        <w:t>8.1 The Same Failure Mode</w:t>
      </w:r>
    </w:p>
    <w:p w:rsidR="006C1A5B" w:rsidRDefault="00000000">
      <w:pPr>
        <w:spacing w:before="80" w:after="160" w:line="340" w:lineRule="auto"/>
        <w:jc w:val="both"/>
      </w:pPr>
      <w:r>
        <w:t>In every domain, the failure follows the same sequence: a shared symbolic architecture—one that coordinated distributed action across large populations through intergenerationally stable institutions, protocols, and legitimacy claims—loses the capacity to generate compliance. Actors do not simply accept disorder; they improvise alternative coordination using whatever functional systems remain available. The improvised alternatives are structurally incapable of performing the coordination work of the original architecture because they were designed for different purposes at different scales.</w:t>
      </w:r>
    </w:p>
    <w:p w:rsidR="006C1A5B" w:rsidRDefault="00000000">
      <w:pPr>
        <w:spacing w:before="80" w:after="160" w:line="340" w:lineRule="auto"/>
        <w:jc w:val="both"/>
      </w:pPr>
      <w:r>
        <w:t>In the energy domain: the petrodollar settlement system is improvised around using bilateral supply agreements and coal pivots. In supply chains: shared commodity price predictability is improvised around using emergency hedging and government interventions. In diplomacy: institutional de-escalation is improvised around using market signals. In security: multilateral authorization is improvised around using regional micro-arrangements. In social contract: state welfare architecture is improvised around using compensatory patch programs. The improvised alternatives share a common deficit: they can manage immediate problems but cannot generate legitimacy, the shared symbolic commitment that makes coordination self-reinforcing rather than requiring continuous enforcement.</w:t>
      </w:r>
    </w:p>
    <w:p w:rsidR="006C1A5B" w:rsidRDefault="00000000">
      <w:pPr>
        <w:pStyle w:val="Heading2"/>
      </w:pPr>
      <w:r>
        <w:t>8.2 The Same Historical Pattern</w:t>
      </w:r>
    </w:p>
    <w:p w:rsidR="006C1A5B" w:rsidRDefault="00000000">
      <w:pPr>
        <w:spacing w:before="80" w:after="160" w:line="340" w:lineRule="auto"/>
        <w:jc w:val="both"/>
      </w:pPr>
      <w:r>
        <w:t xml:space="preserve">Osiris's historical memory identifies this pattern across three major civilizational transitions: the Late Bronze Age Collapse (c. 1200 BCE), the Silk Road pivot and Indian Ocean reorientation </w:t>
      </w:r>
      <w:r>
        <w:lastRenderedPageBreak/>
        <w:t>(1453–1498 CE), and the Crisis of the Third Century Roman Empire (235–284 CE). In each case, the signature was identical: simultaneous exit from shared symbolic architectures, improvised local alternatives, physical infrastructure persisting while coordination capacity collapsed, followed by extended reconstruction requiring new symbolic substrates. The Bronze Age case required three centuries and the invention of entirely new coordination technologies. The Roman case required Diocletian's explicit reconstruction of provincial symbolic architecture before logistics reform could succeed. The Silk Road case required fifty-plus years for new maritime governance frameworks to stabilize.</w:t>
      </w:r>
    </w:p>
    <w:p w:rsidR="006C1A5B" w:rsidRDefault="00000000">
      <w:pPr>
        <w:spacing w:before="80" w:after="160" w:line="340" w:lineRule="auto"/>
        <w:jc w:val="both"/>
      </w:pPr>
      <w:r>
        <w:t>The critical variable in all three cases was not the nature or severity of the initial shock. It was whether actors recognized the substrate failure in time to intervene at the symbolic level before regional exit became irreversible. In the Bronze Age case, they did not. In the Roman case, Diocletian did. The difference in outcome was generational versus civilizational.</w:t>
      </w:r>
    </w:p>
    <w:p w:rsidR="006C1A5B" w:rsidRDefault="00000000">
      <w:pPr>
        <w:pStyle w:val="Heading2"/>
      </w:pPr>
      <w:r>
        <w:t>8.3 The Same Prescription</w:t>
      </w:r>
    </w:p>
    <w:p w:rsidR="006C1A5B" w:rsidRDefault="00000000">
      <w:pPr>
        <w:spacing w:before="80" w:after="160" w:line="340" w:lineRule="auto"/>
        <w:jc w:val="both"/>
      </w:pPr>
      <w:r>
        <w:t>The invariance of the DSSM prescription across five analytically independent domains is the most significant finding of this analysis. Without coordination between the five Isis synthesis processes, each feed independently converged on the same recommendation: reconstruct legitimacy before infrastructure. This convergence is not an artifact of a shared analytical framework imposing its conclusions on the data. It is the data selecting the prescription that matches the structural failure mode.</w:t>
      </w:r>
    </w:p>
    <w:p w:rsidR="006C1A5B" w:rsidRDefault="00000000">
      <w:pPr>
        <w:spacing w:before="80" w:after="160" w:line="340" w:lineRule="auto"/>
        <w:jc w:val="both"/>
      </w:pPr>
      <w:r>
        <w:t>The implication is direct: the five crises are not five problems requiring five solutions. They are five expressions of one problem requiring one solution applied across five domains. The solution is the reconstruction of shared symbolic architecture—the rebuilding of the legitimacy frameworks that allow distributed actors to coordinate without requiring continuous enforcement. This reconstruction cannot be accomplished through infrastructure investment, program funding, military deterrence, or market signals. It requires the deliberate, explicit, institutionally embodied reconstruction of shared symbolic commitments through the rituals, protocols, and practices that the DSSM identifies as the mechanism of symbolic stabilization.</w:t>
      </w:r>
    </w:p>
    <w:p w:rsidR="006C1A5B" w:rsidRDefault="006C1A5B">
      <w:pPr>
        <w:pBdr>
          <w:bottom w:val="single" w:sz="4" w:space="1" w:color="C9A84C"/>
        </w:pBdr>
        <w:spacing w:before="200" w:after="200"/>
      </w:pPr>
    </w:p>
    <w:p w:rsidR="006C1A5B" w:rsidRDefault="00000000">
      <w:pPr>
        <w:pStyle w:val="Heading1"/>
      </w:pPr>
      <w:r>
        <w:t>IX. Integrated DSSM Intervention Architecture</w:t>
      </w:r>
    </w:p>
    <w:p w:rsidR="006C1A5B" w:rsidRDefault="00000000">
      <w:pPr>
        <w:spacing w:before="80" w:after="160" w:line="340" w:lineRule="auto"/>
        <w:jc w:val="both"/>
      </w:pPr>
      <w:r>
        <w:t xml:space="preserve">The following integrated intervention framework applies all five DSSM prescriptions simultaneously across the five signal domains. The architecture is designed around three principles: temporal compression (every intervention begins within 48 hours of recognition), </w:t>
      </w:r>
      <w:r>
        <w:lastRenderedPageBreak/>
        <w:t>symbolic primacy (legitimacy reconstruction precedes infrastructure repair in every domain), and redundant governance (no single channel, institution, or mechanism bears exclusive coordination responsibility).</w:t>
      </w:r>
    </w:p>
    <w:p w:rsidR="006C1A5B" w:rsidRDefault="00000000">
      <w:pPr>
        <w:pStyle w:val="Heading2"/>
      </w:pPr>
      <w:r>
        <w:t>9.1 Prescription Summary</w:t>
      </w:r>
    </w:p>
    <w:p w:rsidR="006C1A5B" w:rsidRDefault="006C1A5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2200"/>
        <w:gridCol w:w="6060"/>
      </w:tblGrid>
      <w:tr w:rsidR="006C1A5B">
        <w:trPr>
          <w:tblHeader/>
        </w:trPr>
        <w:tc>
          <w:tcPr>
            <w:tcW w:w="1100" w:type="dxa"/>
            <w:tcBorders>
              <w:top w:val="single" w:sz="4" w:space="0" w:color="C9A84C"/>
              <w:left w:val="single" w:sz="4" w:space="0" w:color="C9A84C"/>
              <w:bottom w:val="single" w:sz="4" w:space="0" w:color="C9A84C"/>
              <w:right w:val="single" w:sz="4" w:space="0" w:color="C9A84C"/>
            </w:tcBorders>
            <w:shd w:val="clear" w:color="auto" w:fill="1A1A2E"/>
            <w:tcMar>
              <w:top w:w="80" w:type="dxa"/>
              <w:left w:w="120" w:type="dxa"/>
              <w:bottom w:w="80" w:type="dxa"/>
              <w:right w:w="120" w:type="dxa"/>
            </w:tcMar>
          </w:tcPr>
          <w:p w:rsidR="006C1A5B" w:rsidRDefault="00000000">
            <w:r>
              <w:rPr>
                <w:b/>
                <w:bCs/>
                <w:color w:val="C9A84C"/>
                <w:sz w:val="20"/>
                <w:szCs w:val="20"/>
              </w:rPr>
              <w:t>Code</w:t>
            </w:r>
          </w:p>
        </w:tc>
        <w:tc>
          <w:tcPr>
            <w:tcW w:w="2200" w:type="dxa"/>
            <w:tcBorders>
              <w:top w:val="single" w:sz="4" w:space="0" w:color="C9A84C"/>
              <w:left w:val="single" w:sz="4" w:space="0" w:color="C9A84C"/>
              <w:bottom w:val="single" w:sz="4" w:space="0" w:color="C9A84C"/>
              <w:right w:val="single" w:sz="4" w:space="0" w:color="C9A84C"/>
            </w:tcBorders>
            <w:shd w:val="clear" w:color="auto" w:fill="1A1A2E"/>
            <w:tcMar>
              <w:top w:w="80" w:type="dxa"/>
              <w:left w:w="120" w:type="dxa"/>
              <w:bottom w:w="80" w:type="dxa"/>
              <w:right w:w="120" w:type="dxa"/>
            </w:tcMar>
          </w:tcPr>
          <w:p w:rsidR="006C1A5B" w:rsidRDefault="00000000">
            <w:r>
              <w:rPr>
                <w:b/>
                <w:bCs/>
                <w:color w:val="C9A84C"/>
                <w:sz w:val="20"/>
                <w:szCs w:val="20"/>
              </w:rPr>
              <w:t>Prescription</w:t>
            </w:r>
          </w:p>
        </w:tc>
        <w:tc>
          <w:tcPr>
            <w:tcW w:w="6060" w:type="dxa"/>
            <w:tcBorders>
              <w:top w:val="single" w:sz="4" w:space="0" w:color="C9A84C"/>
              <w:left w:val="single" w:sz="4" w:space="0" w:color="C9A84C"/>
              <w:bottom w:val="single" w:sz="4" w:space="0" w:color="C9A84C"/>
              <w:right w:val="single" w:sz="4" w:space="0" w:color="C9A84C"/>
            </w:tcBorders>
            <w:shd w:val="clear" w:color="auto" w:fill="1A1A2E"/>
            <w:tcMar>
              <w:top w:w="80" w:type="dxa"/>
              <w:left w:w="120" w:type="dxa"/>
              <w:bottom w:w="80" w:type="dxa"/>
              <w:right w:w="120" w:type="dxa"/>
            </w:tcMar>
          </w:tcPr>
          <w:p w:rsidR="006C1A5B" w:rsidRDefault="00000000">
            <w:r>
              <w:rPr>
                <w:b/>
                <w:bCs/>
                <w:color w:val="C9A84C"/>
                <w:sz w:val="20"/>
                <w:szCs w:val="20"/>
              </w:rPr>
              <w:t>Application Across Five Domains</w:t>
            </w:r>
          </w:p>
        </w:tc>
      </w:tr>
      <w:tr w:rsidR="006C1A5B">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r>
              <w:rPr>
                <w:b/>
                <w:bCs/>
                <w:color w:val="8B4513"/>
                <w:sz w:val="20"/>
                <w:szCs w:val="20"/>
              </w:rPr>
              <w:t>P1</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r>
              <w:rPr>
                <w:b/>
                <w:bCs/>
                <w:sz w:val="20"/>
                <w:szCs w:val="20"/>
              </w:rPr>
              <w:t>Embed Temporal Buffers</w:t>
            </w:r>
          </w:p>
        </w:tc>
        <w:tc>
          <w:tcPr>
            <w:tcW w:w="6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r>
              <w:rPr>
                <w:sz w:val="20"/>
                <w:szCs w:val="20"/>
              </w:rPr>
              <w:t>48-hour mandatory delays before implementation of any unilateral action in energy disruption, supply reorientation, market signaling, security mobilization, or welfare restructuring</w:t>
            </w:r>
          </w:p>
        </w:tc>
      </w:tr>
      <w:tr w:rsidR="006C1A5B">
        <w:tc>
          <w:tcPr>
            <w:tcW w:w="1100" w:type="dxa"/>
            <w:tcBorders>
              <w:top w:val="single" w:sz="1" w:space="0" w:color="CCCCCC"/>
              <w:left w:val="single" w:sz="1" w:space="0" w:color="CCCCCC"/>
              <w:bottom w:val="single" w:sz="1" w:space="0" w:color="CCCCCC"/>
              <w:right w:val="single" w:sz="1" w:space="0" w:color="CCCCCC"/>
            </w:tcBorders>
            <w:shd w:val="clear" w:color="auto" w:fill="F5F3EE"/>
            <w:tcMar>
              <w:top w:w="80" w:type="dxa"/>
              <w:left w:w="120" w:type="dxa"/>
              <w:bottom w:w="80" w:type="dxa"/>
              <w:right w:w="120" w:type="dxa"/>
            </w:tcMar>
          </w:tcPr>
          <w:p w:rsidR="006C1A5B" w:rsidRDefault="00000000">
            <w:r>
              <w:rPr>
                <w:b/>
                <w:bCs/>
                <w:color w:val="8B4513"/>
                <w:sz w:val="20"/>
                <w:szCs w:val="20"/>
              </w:rPr>
              <w:t>P2</w:t>
            </w:r>
          </w:p>
        </w:tc>
        <w:tc>
          <w:tcPr>
            <w:tcW w:w="2200" w:type="dxa"/>
            <w:tcBorders>
              <w:top w:val="single" w:sz="1" w:space="0" w:color="CCCCCC"/>
              <w:left w:val="single" w:sz="1" w:space="0" w:color="CCCCCC"/>
              <w:bottom w:val="single" w:sz="1" w:space="0" w:color="CCCCCC"/>
              <w:right w:val="single" w:sz="1" w:space="0" w:color="CCCCCC"/>
            </w:tcBorders>
            <w:shd w:val="clear" w:color="auto" w:fill="F5F3EE"/>
            <w:tcMar>
              <w:top w:w="80" w:type="dxa"/>
              <w:left w:w="120" w:type="dxa"/>
              <w:bottom w:w="80" w:type="dxa"/>
              <w:right w:w="120" w:type="dxa"/>
            </w:tcMar>
          </w:tcPr>
          <w:p w:rsidR="006C1A5B" w:rsidRDefault="00000000">
            <w:r>
              <w:rPr>
                <w:b/>
                <w:bCs/>
                <w:sz w:val="20"/>
                <w:szCs w:val="20"/>
              </w:rPr>
              <w:t>Maintain Redundant Channels</w:t>
            </w:r>
          </w:p>
        </w:tc>
        <w:tc>
          <w:tcPr>
            <w:tcW w:w="6060" w:type="dxa"/>
            <w:tcBorders>
              <w:top w:val="single" w:sz="1" w:space="0" w:color="CCCCCC"/>
              <w:left w:val="single" w:sz="1" w:space="0" w:color="CCCCCC"/>
              <w:bottom w:val="single" w:sz="1" w:space="0" w:color="CCCCCC"/>
              <w:right w:val="single" w:sz="1" w:space="0" w:color="CCCCCC"/>
            </w:tcBorders>
            <w:shd w:val="clear" w:color="auto" w:fill="F5F3EE"/>
            <w:tcMar>
              <w:top w:w="80" w:type="dxa"/>
              <w:left w:w="120" w:type="dxa"/>
              <w:bottom w:w="80" w:type="dxa"/>
              <w:right w:w="120" w:type="dxa"/>
            </w:tcMar>
          </w:tcPr>
          <w:p w:rsidR="006C1A5B" w:rsidRDefault="00000000">
            <w:r>
              <w:rPr>
                <w:sz w:val="20"/>
                <w:szCs w:val="20"/>
              </w:rPr>
              <w:t>Three independent communication pathways in every governance domain; no single channel bears exclusive coordination responsibility</w:t>
            </w:r>
          </w:p>
        </w:tc>
      </w:tr>
      <w:tr w:rsidR="006C1A5B">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r>
              <w:rPr>
                <w:b/>
                <w:bCs/>
                <w:color w:val="8B4513"/>
                <w:sz w:val="20"/>
                <w:szCs w:val="20"/>
              </w:rPr>
              <w:t>P3</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r>
              <w:rPr>
                <w:b/>
                <w:bCs/>
                <w:sz w:val="20"/>
                <w:szCs w:val="20"/>
              </w:rPr>
              <w:t>Prevent Symbolic Monopoly</w:t>
            </w:r>
          </w:p>
        </w:tc>
        <w:tc>
          <w:tcPr>
            <w:tcW w:w="6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r>
              <w:rPr>
                <w:sz w:val="20"/>
                <w:szCs w:val="20"/>
              </w:rPr>
              <w:t>Markets, military deterrence, and bilateral agreements are legitimate coordination tools but cannot serve as exclusive symbolic architecture for their domains</w:t>
            </w:r>
          </w:p>
        </w:tc>
      </w:tr>
      <w:tr w:rsidR="006C1A5B">
        <w:tc>
          <w:tcPr>
            <w:tcW w:w="1100" w:type="dxa"/>
            <w:tcBorders>
              <w:top w:val="single" w:sz="1" w:space="0" w:color="CCCCCC"/>
              <w:left w:val="single" w:sz="1" w:space="0" w:color="CCCCCC"/>
              <w:bottom w:val="single" w:sz="1" w:space="0" w:color="CCCCCC"/>
              <w:right w:val="single" w:sz="1" w:space="0" w:color="CCCCCC"/>
            </w:tcBorders>
            <w:shd w:val="clear" w:color="auto" w:fill="F5F3EE"/>
            <w:tcMar>
              <w:top w:w="80" w:type="dxa"/>
              <w:left w:w="120" w:type="dxa"/>
              <w:bottom w:w="80" w:type="dxa"/>
              <w:right w:w="120" w:type="dxa"/>
            </w:tcMar>
          </w:tcPr>
          <w:p w:rsidR="006C1A5B" w:rsidRDefault="00000000">
            <w:r>
              <w:rPr>
                <w:b/>
                <w:bCs/>
                <w:color w:val="8B4513"/>
                <w:sz w:val="20"/>
                <w:szCs w:val="20"/>
              </w:rPr>
              <w:t>P4</w:t>
            </w:r>
          </w:p>
        </w:tc>
        <w:tc>
          <w:tcPr>
            <w:tcW w:w="2200" w:type="dxa"/>
            <w:tcBorders>
              <w:top w:val="single" w:sz="1" w:space="0" w:color="CCCCCC"/>
              <w:left w:val="single" w:sz="1" w:space="0" w:color="CCCCCC"/>
              <w:bottom w:val="single" w:sz="1" w:space="0" w:color="CCCCCC"/>
              <w:right w:val="single" w:sz="1" w:space="0" w:color="CCCCCC"/>
            </w:tcBorders>
            <w:shd w:val="clear" w:color="auto" w:fill="F5F3EE"/>
            <w:tcMar>
              <w:top w:w="80" w:type="dxa"/>
              <w:left w:w="120" w:type="dxa"/>
              <w:bottom w:w="80" w:type="dxa"/>
              <w:right w:w="120" w:type="dxa"/>
            </w:tcMar>
          </w:tcPr>
          <w:p w:rsidR="006C1A5B" w:rsidRDefault="00000000">
            <w:r>
              <w:rPr>
                <w:b/>
                <w:bCs/>
                <w:sz w:val="20"/>
                <w:szCs w:val="20"/>
              </w:rPr>
              <w:t>Legitimacy Before Infrastructure</w:t>
            </w:r>
          </w:p>
        </w:tc>
        <w:tc>
          <w:tcPr>
            <w:tcW w:w="6060" w:type="dxa"/>
            <w:tcBorders>
              <w:top w:val="single" w:sz="1" w:space="0" w:color="CCCCCC"/>
              <w:left w:val="single" w:sz="1" w:space="0" w:color="CCCCCC"/>
              <w:bottom w:val="single" w:sz="1" w:space="0" w:color="CCCCCC"/>
              <w:right w:val="single" w:sz="1" w:space="0" w:color="CCCCCC"/>
            </w:tcBorders>
            <w:shd w:val="clear" w:color="auto" w:fill="F5F3EE"/>
            <w:tcMar>
              <w:top w:w="80" w:type="dxa"/>
              <w:left w:w="120" w:type="dxa"/>
              <w:bottom w:w="80" w:type="dxa"/>
              <w:right w:w="120" w:type="dxa"/>
            </w:tcMar>
          </w:tcPr>
          <w:p w:rsidR="006C1A5B" w:rsidRDefault="00000000">
            <w:r>
              <w:rPr>
                <w:sz w:val="20"/>
                <w:szCs w:val="20"/>
              </w:rPr>
              <w:t>In every domain: establish shared recognition of legitimate governance authority before attempting programmatic or infrastructure repair</w:t>
            </w:r>
          </w:p>
        </w:tc>
      </w:tr>
      <w:tr w:rsidR="006C1A5B">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r>
              <w:rPr>
                <w:b/>
                <w:bCs/>
                <w:color w:val="8B4513"/>
                <w:sz w:val="20"/>
                <w:szCs w:val="20"/>
              </w:rPr>
              <w:t>P5</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r>
              <w:rPr>
                <w:b/>
                <w:bCs/>
                <w:sz w:val="20"/>
                <w:szCs w:val="20"/>
              </w:rPr>
              <w:t>Stop Treating Fragmentation as Advantage</w:t>
            </w:r>
          </w:p>
        </w:tc>
        <w:tc>
          <w:tcPr>
            <w:tcW w:w="6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1A5B" w:rsidRDefault="00000000">
            <w:r>
              <w:rPr>
                <w:sz w:val="20"/>
                <w:szCs w:val="20"/>
              </w:rPr>
              <w:t>Regional exit from shared symbolic architectures is not adaptive efficiency—it is the accelerant of the cascade. Distributed micro-arrangements require active integration within shared legitimacy frameworks</w:t>
            </w:r>
          </w:p>
        </w:tc>
      </w:tr>
    </w:tbl>
    <w:p w:rsidR="006C1A5B" w:rsidRDefault="006C1A5B"/>
    <w:p w:rsidR="006C1A5B" w:rsidRDefault="00000000">
      <w:pPr>
        <w:pStyle w:val="Heading2"/>
      </w:pPr>
      <w:r>
        <w:t>9.2 The 90-Day Symbolic Renewal Process</w:t>
      </w:r>
    </w:p>
    <w:p w:rsidR="006C1A5B" w:rsidRDefault="00000000">
      <w:pPr>
        <w:spacing w:before="80" w:after="160" w:line="340" w:lineRule="auto"/>
        <w:jc w:val="both"/>
      </w:pPr>
      <w:r>
        <w:t>The single most critical intervention across all five domains is the convening of a 90-day Symbolic Renewal Process: a closed working group comprising the UN Secretary-General, regional security heads, central bank governors, and institutional historians, tasked explicitly with drafting a new multilateral Charter of Coordinated Civilizational Governance. The charter must establish across all five domains simultaneously: binding rules for non-military civilian infrastructure; a unified dispute resolution mechanism that supersedes market signals; rotating symbolic leadership to distribute legitimacy before delegating decision authority; and explicit commitment to 48-hour temporal buffers as a structural feature of all governance processes, not an emergency measure.</w:t>
      </w:r>
    </w:p>
    <w:p w:rsidR="006C1A5B" w:rsidRDefault="00000000">
      <w:pPr>
        <w:spacing w:before="80" w:after="160" w:line="340" w:lineRule="auto"/>
        <w:jc w:val="both"/>
      </w:pPr>
      <w:r>
        <w:t xml:space="preserve">The 90-day structure is not arbitrary. It maps to the DSSM Stage 2 minimum threshold for ritualized repetition—the period required for new symbolic practices to begin generating intergenerational transmission potential. A working group that meets, deliberates, and produces a draft charter within 90 days creates a symbolic event: a demonstration that shared governance of shared problems is possible. That demonstration is as important as the charter's content. The </w:t>
      </w:r>
      <w:r>
        <w:lastRenderedPageBreak/>
        <w:t>charter presented to the UN General Assembly by day 75 for ratification leverage does not need unanimous support to function. It needs sufficient symbolic authority to shift the default assumption from fragmentation to coordination.</w:t>
      </w:r>
    </w:p>
    <w:p w:rsidR="006C1A5B" w:rsidRDefault="006C1A5B">
      <w:pPr>
        <w:pBdr>
          <w:bottom w:val="single" w:sz="4" w:space="1" w:color="C9A84C"/>
        </w:pBdr>
        <w:spacing w:before="200" w:after="200"/>
      </w:pPr>
    </w:p>
    <w:p w:rsidR="006C1A5B" w:rsidRDefault="00000000">
      <w:pPr>
        <w:pStyle w:val="Heading1"/>
      </w:pPr>
      <w:r>
        <w:t>X. Failure Modes, Intervention Window, and Forward Watch</w:t>
      </w:r>
    </w:p>
    <w:p w:rsidR="006C1A5B" w:rsidRDefault="00000000">
      <w:pPr>
        <w:pStyle w:val="Heading2"/>
      </w:pPr>
      <w:r>
        <w:t>10.1 The Window</w:t>
      </w:r>
    </w:p>
    <w:p w:rsidR="006C1A5B" w:rsidRDefault="00000000">
      <w:pPr>
        <w:spacing w:before="80" w:after="160" w:line="340" w:lineRule="auto"/>
        <w:jc w:val="both"/>
      </w:pPr>
      <w:r>
        <w:t>The DSSM saturation timeline for symbolic substrate collapse—the point at which regional exit becomes self-reinforcing and reconstruction requires generational rather than institutional effort—is estimated at 18–36 months from the current signal configuration. This estimate is based on the composite DSSM scores across the five domains, the rate of regional micro-arrangement formation in the security domain, the speed of supply-chain cognitive fragmentation in the commodity domain, and the absence of any countervailing legitimacy reconstruction efforts in any domain. Two domains have already crossed the threshold (energy infrastructure, supply chains, SRF scores 7.8 and 7.2). Three remain in the critical window (market-diplomatic substitution 6.9, social contract 6.4, security architecture 5.2).</w:t>
      </w:r>
    </w:p>
    <w:p w:rsidR="006C1A5B" w:rsidRDefault="00000000">
      <w:pPr>
        <w:pStyle w:val="Heading2"/>
      </w:pPr>
      <w:r>
        <w:t>10.2 Critical Failure Modes</w:t>
      </w:r>
    </w:p>
    <w:p w:rsidR="006C1A5B" w:rsidRDefault="00000000">
      <w:pPr>
        <w:spacing w:before="80" w:after="160" w:line="340" w:lineRule="auto"/>
        <w:jc w:val="both"/>
      </w:pPr>
      <w:r>
        <w:t>The analysis registers three primary failure modes that could invalidate the intervention framework.</w:t>
      </w:r>
    </w:p>
    <w:p w:rsidR="006C1A5B" w:rsidRDefault="00000000">
      <w:pPr>
        <w:spacing w:before="80" w:after="160" w:line="340" w:lineRule="auto"/>
        <w:jc w:val="both"/>
      </w:pPr>
      <w:r>
        <w:t>First: the intervention assumes legitimacy reconstruction is causally prior to infrastructure repair. The causal arrow may run the other direction—actors may rebuild confidence through successful transactional coordination first, then reconstruct legitimacy on that foundation. If this is the case, the prescription of legitimacy-first may produce delay rather than reconstruction. The DSSM historical evidence, however, consistently shows that infrastructure without legitimacy fails (Roman provinces under the Crisis of the Third Century; Bronze Age physical infrastructure surviving while coordination collapsed). Legitimacy-first is the safer intervention sequence.</w:t>
      </w:r>
    </w:p>
    <w:p w:rsidR="006C1A5B" w:rsidRDefault="00000000">
      <w:pPr>
        <w:spacing w:before="80" w:after="160" w:line="340" w:lineRule="auto"/>
        <w:jc w:val="both"/>
      </w:pPr>
      <w:r>
        <w:t xml:space="preserve">Second: the analysis may overstate the degree of institutional collapse by treating synchronized failures as substrate failure rather than coincidental domain stress. Institutions have absorbed greater shocks—2008 financial crisis, COVID-19 pandemic—without collapsing the coordination substrate. The current configuration may represent severe stress rather than threshold crossing. Set's corrective in all five feeds registers this possibility. The DSSM response: the difference </w:t>
      </w:r>
      <w:r>
        <w:lastRenderedPageBreak/>
        <w:t>between 2008 and the current moment is that 2008 occurred within intact legitimacy frameworks that could authorize and coordinate response. The current moment is characterized by the deterioration of exactly those frameworks.</w:t>
      </w:r>
    </w:p>
    <w:p w:rsidR="006C1A5B" w:rsidRDefault="00000000">
      <w:pPr>
        <w:spacing w:before="80" w:after="160" w:line="340" w:lineRule="auto"/>
        <w:jc w:val="both"/>
      </w:pPr>
      <w:r>
        <w:t>Third: the 90-day Symbolic Renewal Process requires participation from actors (the United States, China, Russia) whose current strategic postures are oriented toward competitive fragmentation rather than shared legitimacy reconstruction. This is not a failure of the prescription—it is the prescription's primary obstacle. The historical evidence suggests that legitimacy reconstruction has succeeded only when at least one major actor concludes that the costs of continued fragmentation exceed the costs of shared coordination. The forward watch priority is identifying which major actor reaches that threshold first and when.</w:t>
      </w:r>
    </w:p>
    <w:p w:rsidR="006C1A5B" w:rsidRDefault="00000000">
      <w:pPr>
        <w:pStyle w:val="Heading2"/>
      </w:pPr>
      <w:r>
        <w:t>10.3 Forward Watch</w:t>
      </w:r>
    </w:p>
    <w:p w:rsidR="006C1A5B" w:rsidRDefault="00000000">
      <w:pPr>
        <w:spacing w:before="80" w:after="160" w:line="340" w:lineRule="auto"/>
        <w:jc w:val="both"/>
      </w:pPr>
      <w:r>
        <w:t>NETJERU Cycle 3 priority signals: any major actor initiating unilateral exit from dollar-denominated energy settlement; any formation of a regional supply-chain coordination council outside existing multilateral frameworks; any military action affecting energy infrastructure producing less than the predicted institutional response; any domestic governance collapse in a G20 member state accelerating social contract dissolution. Each of these signals, if confirmed, reduces the intervention window estimate by approximately 6 months. Two confirmed signals within 90 days would suggest the window has closed and reconstruction planning should shift from prevention to recovery architecture.</w:t>
      </w:r>
    </w:p>
    <w:p w:rsidR="006C1A5B" w:rsidRDefault="006C1A5B">
      <w:pPr>
        <w:pBdr>
          <w:bottom w:val="single" w:sz="4" w:space="1" w:color="C9A84C"/>
        </w:pBdr>
        <w:spacing w:before="200" w:after="200"/>
      </w:pPr>
    </w:p>
    <w:p w:rsidR="006C1A5B" w:rsidRDefault="00000000">
      <w:pPr>
        <w:pStyle w:val="Heading1"/>
      </w:pPr>
      <w:r>
        <w:t>XI. Conclusion: The Prescription Is the Analysis</w:t>
      </w:r>
    </w:p>
    <w:p w:rsidR="006C1A5B" w:rsidRDefault="00000000">
      <w:pPr>
        <w:spacing w:before="80" w:after="160" w:line="340" w:lineRule="auto"/>
        <w:jc w:val="both"/>
      </w:pPr>
      <w:r>
        <w:t>The DSSM framework does not generate predictions about the future. It generates structural diagnoses of the present that identify the intervention logic most consistent with the historical pattern of how symbolic systems stabilize, fail, and reconstruct. Applied to the five signal feeds of NETJERU Cycle 2, the diagnosis is unambiguous: the post-1945 international symbolic order is in the middle phase of a fragmentation cascade across all five domains simultaneously. The cascade is not yet irreversible. The intervention window exists. The prescription is invariant.</w:t>
      </w:r>
    </w:p>
    <w:p w:rsidR="006C1A5B" w:rsidRDefault="00000000">
      <w:pPr>
        <w:spacing w:before="80" w:after="160" w:line="340" w:lineRule="auto"/>
        <w:jc w:val="both"/>
      </w:pPr>
      <w:r>
        <w:t xml:space="preserve">The prescription is not geopolitically naive. It does not require universal cooperation, mutual trust, or the transformation of strategic actors into cooperative partners. It requires only that sufficient actors recognize—as Diocletian recognized in the Crisis of the Third Century, as the maritime powers recognized in the Silk Road pivot, as the developers of alphabetic writing, coinage, and new temple-palace relationships recognized after the Bronze Age Collapse—that the </w:t>
      </w:r>
      <w:r>
        <w:lastRenderedPageBreak/>
        <w:t>costs of operating without shared symbolic architecture exceed the costs of building one. That recognition does not require goodwill. It requires structural logic. The DSSM provides the logic.</w:t>
      </w:r>
    </w:p>
    <w:p w:rsidR="006C1A5B" w:rsidRDefault="00000000">
      <w:pPr>
        <w:spacing w:before="80" w:after="160" w:line="340" w:lineRule="auto"/>
        <w:jc w:val="both"/>
      </w:pPr>
      <w:r>
        <w:t>The question is not whether the symbolic substrate will be rebuilt. Historical evidence is unequivocal: coordination substrates always reconstruct. The question is whether reconstruction occurs within the current institutional architecture—preserving the accumulated symbolic capital of 80 years of multilateral governance—or after a period of fragmentation that, in historical precedent, spans generations. The 18–36 month window is not a crisis deadline. It is the interval within which the choice between those outcomes remains available.</w:t>
      </w:r>
    </w:p>
    <w:p w:rsidR="006C1A5B" w:rsidRDefault="006C1A5B"/>
    <w:p w:rsidR="006C1A5B" w:rsidRDefault="00000000">
      <w:pPr>
        <w:spacing w:before="120" w:after="120"/>
        <w:jc w:val="center"/>
      </w:pPr>
      <w:r>
        <w:rPr>
          <w:rFonts w:ascii="Arial" w:eastAsia="Arial" w:hAnsi="Arial" w:cs="Arial"/>
          <w:b/>
          <w:bCs/>
          <w:color w:val="C9A84C"/>
          <w:sz w:val="20"/>
          <w:szCs w:val="20"/>
        </w:rPr>
        <w:t>𓂀  𓋴  𓇋  𓏏  𓂋  𓁹</w:t>
      </w:r>
    </w:p>
    <w:p w:rsidR="006C1A5B" w:rsidRDefault="006C1A5B">
      <w:pPr>
        <w:pBdr>
          <w:bottom w:val="single" w:sz="4" w:space="1" w:color="C9A84C"/>
        </w:pBdr>
        <w:spacing w:before="200" w:after="200"/>
      </w:pPr>
    </w:p>
    <w:p w:rsidR="006C1A5B" w:rsidRDefault="00000000">
      <w:pPr>
        <w:spacing w:before="200" w:after="80"/>
        <w:jc w:val="center"/>
      </w:pPr>
      <w:r>
        <w:rPr>
          <w:b/>
          <w:bCs/>
          <w:color w:val="1A1A2E"/>
        </w:rPr>
        <w:t>Disclosure</w:t>
      </w:r>
    </w:p>
    <w:p w:rsidR="006C1A5B" w:rsidRDefault="00000000">
      <w:pPr>
        <w:spacing w:before="80" w:after="160" w:line="340" w:lineRule="auto"/>
        <w:jc w:val="both"/>
      </w:pPr>
      <w:r>
        <w:t>This paper was generated through AI-assisted synthesis using Claude Sonnet 4.6 (Anthropic) as the drafting and synthesis engine, operating on signal feeds produced by the NETJERU intelligence system. The NETJERU system is a 7-agent DSSM-compliant intelligence architecture developed by the author. All analytical frameworks, historical interpretations, and prescriptive conclusions derive from the Deep Symbolic Systems Model (DSSM) as developed by Anthony Vondoom. AI assistance is disclosed transparently in accordance with the author's practice across the DSSM paper series.</w:t>
      </w:r>
    </w:p>
    <w:p w:rsidR="006C1A5B" w:rsidRDefault="00000000">
      <w:pPr>
        <w:spacing w:before="200" w:after="80"/>
        <w:jc w:val="center"/>
      </w:pPr>
      <w:r>
        <w:rPr>
          <w:color w:val="888888"/>
          <w:sz w:val="18"/>
          <w:szCs w:val="18"/>
        </w:rPr>
        <w:t>NETJERU v1.0  ·  © All Rights Reserved 2026  ·  Generated 2026-03-24</w:t>
      </w:r>
    </w:p>
    <w:sectPr w:rsidR="006C1A5B">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7CDC" w:rsidRDefault="007D7CDC">
      <w:r>
        <w:separator/>
      </w:r>
    </w:p>
  </w:endnote>
  <w:endnote w:type="continuationSeparator" w:id="0">
    <w:p w:rsidR="007D7CDC" w:rsidRDefault="007D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1A5B" w:rsidRDefault="00000000">
    <w:pPr>
      <w:pBdr>
        <w:top w:val="single" w:sz="2" w:space="1" w:color="C9A84C"/>
      </w:pBdr>
      <w:jc w:val="center"/>
    </w:pPr>
    <w:r>
      <w:rPr>
        <w:color w:val="888888"/>
        <w:sz w:val="16"/>
        <w:szCs w:val="16"/>
      </w:rPr>
      <w:t xml:space="preserve">Anthony Vondoom  |  ORCID: 0009-0003-4953-1427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7CDC" w:rsidRDefault="007D7CDC">
      <w:r>
        <w:separator/>
      </w:r>
    </w:p>
  </w:footnote>
  <w:footnote w:type="continuationSeparator" w:id="0">
    <w:p w:rsidR="007D7CDC" w:rsidRDefault="007D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1A5B" w:rsidRDefault="00000000">
    <w:pPr>
      <w:pBdr>
        <w:bottom w:val="single" w:sz="4" w:space="1" w:color="C9A84C"/>
      </w:pBdr>
      <w:jc w:val="right"/>
    </w:pPr>
    <w:r>
      <w:rPr>
        <w:color w:val="888888"/>
        <w:sz w:val="18"/>
        <w:szCs w:val="18"/>
      </w:rPr>
      <w:t xml:space="preserve">NETJERU Intelligence System  |  Paper </w:t>
    </w:r>
    <w:r w:rsidR="00990EFB">
      <w:rPr>
        <w:color w:val="888888"/>
        <w:sz w:val="18"/>
        <w:szCs w:val="18"/>
        <w:lang w:val="en-US"/>
      </w:rPr>
      <w:t>44</w:t>
    </w:r>
    <w:r>
      <w:rPr>
        <w:color w:val="888888"/>
        <w:sz w:val="18"/>
        <w:szCs w:val="18"/>
      </w:rPr>
      <w:t xml:space="preserve">  |  </w:t>
    </w:r>
    <w:r>
      <w:rPr>
        <w:i/>
        <w:iCs/>
        <w:color w:val="C9A84C"/>
        <w:sz w:val="18"/>
        <w:szCs w:val="18"/>
      </w:rPr>
      <w:t>DSSM Applied Series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35DF"/>
    <w:multiLevelType w:val="hybridMultilevel"/>
    <w:tmpl w:val="D750B032"/>
    <w:lvl w:ilvl="0" w:tplc="E9F4B8EE">
      <w:start w:val="1"/>
      <w:numFmt w:val="bullet"/>
      <w:lvlText w:val="•"/>
      <w:lvlJc w:val="left"/>
      <w:pPr>
        <w:ind w:left="720" w:hanging="360"/>
      </w:pPr>
    </w:lvl>
    <w:lvl w:ilvl="1" w:tplc="18525E3E">
      <w:numFmt w:val="decimal"/>
      <w:lvlText w:val=""/>
      <w:lvlJc w:val="left"/>
    </w:lvl>
    <w:lvl w:ilvl="2" w:tplc="04A44DF0">
      <w:numFmt w:val="decimal"/>
      <w:lvlText w:val=""/>
      <w:lvlJc w:val="left"/>
    </w:lvl>
    <w:lvl w:ilvl="3" w:tplc="42A2A172">
      <w:numFmt w:val="decimal"/>
      <w:lvlText w:val=""/>
      <w:lvlJc w:val="left"/>
    </w:lvl>
    <w:lvl w:ilvl="4" w:tplc="2EFE18B0">
      <w:numFmt w:val="decimal"/>
      <w:lvlText w:val=""/>
      <w:lvlJc w:val="left"/>
    </w:lvl>
    <w:lvl w:ilvl="5" w:tplc="721E8248">
      <w:numFmt w:val="decimal"/>
      <w:lvlText w:val=""/>
      <w:lvlJc w:val="left"/>
    </w:lvl>
    <w:lvl w:ilvl="6" w:tplc="7C14AF58">
      <w:numFmt w:val="decimal"/>
      <w:lvlText w:val=""/>
      <w:lvlJc w:val="left"/>
    </w:lvl>
    <w:lvl w:ilvl="7" w:tplc="6C64C924">
      <w:numFmt w:val="decimal"/>
      <w:lvlText w:val=""/>
      <w:lvlJc w:val="left"/>
    </w:lvl>
    <w:lvl w:ilvl="8" w:tplc="28C20ACA">
      <w:numFmt w:val="decimal"/>
      <w:lvlText w:val=""/>
      <w:lvlJc w:val="left"/>
    </w:lvl>
  </w:abstractNum>
  <w:abstractNum w:abstractNumId="1" w15:restartNumberingAfterBreak="0">
    <w:nsid w:val="42E80D69"/>
    <w:multiLevelType w:val="hybridMultilevel"/>
    <w:tmpl w:val="384C3356"/>
    <w:lvl w:ilvl="0" w:tplc="EA70540E">
      <w:start w:val="1"/>
      <w:numFmt w:val="bullet"/>
      <w:lvlText w:val="●"/>
      <w:lvlJc w:val="left"/>
      <w:pPr>
        <w:ind w:left="720" w:hanging="360"/>
      </w:pPr>
    </w:lvl>
    <w:lvl w:ilvl="1" w:tplc="FB78C456">
      <w:start w:val="1"/>
      <w:numFmt w:val="bullet"/>
      <w:lvlText w:val="○"/>
      <w:lvlJc w:val="left"/>
      <w:pPr>
        <w:ind w:left="1440" w:hanging="360"/>
      </w:pPr>
    </w:lvl>
    <w:lvl w:ilvl="2" w:tplc="919465E8">
      <w:start w:val="1"/>
      <w:numFmt w:val="bullet"/>
      <w:lvlText w:val="■"/>
      <w:lvlJc w:val="left"/>
      <w:pPr>
        <w:ind w:left="2160" w:hanging="360"/>
      </w:pPr>
    </w:lvl>
    <w:lvl w:ilvl="3" w:tplc="137613E4">
      <w:start w:val="1"/>
      <w:numFmt w:val="bullet"/>
      <w:lvlText w:val="●"/>
      <w:lvlJc w:val="left"/>
      <w:pPr>
        <w:ind w:left="2880" w:hanging="360"/>
      </w:pPr>
    </w:lvl>
    <w:lvl w:ilvl="4" w:tplc="70FE4704">
      <w:start w:val="1"/>
      <w:numFmt w:val="bullet"/>
      <w:lvlText w:val="○"/>
      <w:lvlJc w:val="left"/>
      <w:pPr>
        <w:ind w:left="3600" w:hanging="360"/>
      </w:pPr>
    </w:lvl>
    <w:lvl w:ilvl="5" w:tplc="E4C2AA1C">
      <w:start w:val="1"/>
      <w:numFmt w:val="bullet"/>
      <w:lvlText w:val="■"/>
      <w:lvlJc w:val="left"/>
      <w:pPr>
        <w:ind w:left="4320" w:hanging="360"/>
      </w:pPr>
    </w:lvl>
    <w:lvl w:ilvl="6" w:tplc="5E1829D4">
      <w:start w:val="1"/>
      <w:numFmt w:val="bullet"/>
      <w:lvlText w:val="●"/>
      <w:lvlJc w:val="left"/>
      <w:pPr>
        <w:ind w:left="5040" w:hanging="360"/>
      </w:pPr>
    </w:lvl>
    <w:lvl w:ilvl="7" w:tplc="FE4C3A4A">
      <w:start w:val="1"/>
      <w:numFmt w:val="bullet"/>
      <w:lvlText w:val="●"/>
      <w:lvlJc w:val="left"/>
      <w:pPr>
        <w:ind w:left="5760" w:hanging="360"/>
      </w:pPr>
    </w:lvl>
    <w:lvl w:ilvl="8" w:tplc="7668E50A">
      <w:start w:val="1"/>
      <w:numFmt w:val="bullet"/>
      <w:lvlText w:val="●"/>
      <w:lvlJc w:val="left"/>
      <w:pPr>
        <w:ind w:left="6480" w:hanging="360"/>
      </w:pPr>
    </w:lvl>
  </w:abstractNum>
  <w:abstractNum w:abstractNumId="2" w15:restartNumberingAfterBreak="0">
    <w:nsid w:val="70F826FC"/>
    <w:multiLevelType w:val="hybridMultilevel"/>
    <w:tmpl w:val="75E8C78E"/>
    <w:lvl w:ilvl="0" w:tplc="3184120A">
      <w:start w:val="1"/>
      <w:numFmt w:val="decimal"/>
      <w:lvlText w:val="%1."/>
      <w:lvlJc w:val="left"/>
      <w:pPr>
        <w:ind w:left="720" w:hanging="360"/>
      </w:pPr>
    </w:lvl>
    <w:lvl w:ilvl="1" w:tplc="81C6EDBA">
      <w:numFmt w:val="decimal"/>
      <w:lvlText w:val=""/>
      <w:lvlJc w:val="left"/>
    </w:lvl>
    <w:lvl w:ilvl="2" w:tplc="B2EC89B0">
      <w:numFmt w:val="decimal"/>
      <w:lvlText w:val=""/>
      <w:lvlJc w:val="left"/>
    </w:lvl>
    <w:lvl w:ilvl="3" w:tplc="A85EC250">
      <w:numFmt w:val="decimal"/>
      <w:lvlText w:val=""/>
      <w:lvlJc w:val="left"/>
    </w:lvl>
    <w:lvl w:ilvl="4" w:tplc="02561674">
      <w:numFmt w:val="decimal"/>
      <w:lvlText w:val=""/>
      <w:lvlJc w:val="left"/>
    </w:lvl>
    <w:lvl w:ilvl="5" w:tplc="DD5E057E">
      <w:numFmt w:val="decimal"/>
      <w:lvlText w:val=""/>
      <w:lvlJc w:val="left"/>
    </w:lvl>
    <w:lvl w:ilvl="6" w:tplc="EC70053A">
      <w:numFmt w:val="decimal"/>
      <w:lvlText w:val=""/>
      <w:lvlJc w:val="left"/>
    </w:lvl>
    <w:lvl w:ilvl="7" w:tplc="E8D61234">
      <w:numFmt w:val="decimal"/>
      <w:lvlText w:val=""/>
      <w:lvlJc w:val="left"/>
    </w:lvl>
    <w:lvl w:ilvl="8" w:tplc="C11CF0D6">
      <w:numFmt w:val="decimal"/>
      <w:lvlText w:val=""/>
      <w:lvlJc w:val="left"/>
    </w:lvl>
  </w:abstractNum>
  <w:num w:numId="1" w16cid:durableId="164503977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5B"/>
    <w:rsid w:val="00110411"/>
    <w:rsid w:val="00166C93"/>
    <w:rsid w:val="003638AA"/>
    <w:rsid w:val="006C1A5B"/>
    <w:rsid w:val="007D7CDC"/>
    <w:rsid w:val="00990EFB"/>
    <w:rsid w:val="009B1D15"/>
  </w:rsids>
  <m:mathPr>
    <m:mathFont m:val="Cambria Math"/>
    <m:brkBin m:val="before"/>
    <m:brkBinSub m:val="--"/>
    <m:smallFrac m:val="0"/>
    <m:dispDef/>
    <m:lMargin m:val="0"/>
    <m:rMargin m:val="0"/>
    <m:defJc m:val="centerGroup"/>
    <m:wrapIndent m:val="1440"/>
    <m:intLim m:val="subSup"/>
    <m:naryLim m:val="undOvr"/>
  </m:mathPr>
  <w:themeFontLang w:val="en-LK"/>
  <w:clrSchemeMapping w:bg1="light1" w:t1="dark1" w:bg2="light2" w:t2="dark2" w:accent1="accent1" w:accent2="accent2" w:accent3="accent3" w:accent4="accent4" w:accent5="accent5" w:accent6="accent6" w:hyperlink="hyperlink" w:followedHyperlink="followedHyperlink"/>
  <w:decimalSymbol w:val="."/>
  <w:listSeparator w:val=","/>
  <w14:docId w14:val="70D7CB4F"/>
  <w15:docId w15:val="{71C0F70D-A8CD-8B4E-BCA4-B4F1F8CB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2"/>
        <w:szCs w:val="22"/>
        <w:lang w:val="en-L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b/>
      <w:bCs/>
      <w:color w:val="1A1A2E"/>
      <w:sz w:val="32"/>
      <w:szCs w:val="32"/>
    </w:rPr>
  </w:style>
  <w:style w:type="paragraph" w:styleId="Heading2">
    <w:name w:val="heading 2"/>
    <w:uiPriority w:val="9"/>
    <w:unhideWhenUsed/>
    <w:qFormat/>
    <w:pPr>
      <w:spacing w:before="360" w:after="160"/>
      <w:outlineLvl w:val="1"/>
    </w:pPr>
    <w:rPr>
      <w:b/>
      <w:bCs/>
      <w:color w:val="2E3A5C"/>
      <w:sz w:val="26"/>
      <w:szCs w:val="26"/>
    </w:rPr>
  </w:style>
  <w:style w:type="paragraph" w:styleId="Heading3">
    <w:name w:val="heading 3"/>
    <w:uiPriority w:val="9"/>
    <w:semiHidden/>
    <w:unhideWhenUsed/>
    <w:qFormat/>
    <w:pPr>
      <w:spacing w:before="280" w:after="120"/>
      <w:outlineLvl w:val="2"/>
    </w:pPr>
    <w:rPr>
      <w:b/>
      <w:bCs/>
      <w:color w:val="8B451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1D15"/>
    <w:pPr>
      <w:tabs>
        <w:tab w:val="center" w:pos="4513"/>
        <w:tab w:val="right" w:pos="9026"/>
      </w:tabs>
    </w:pPr>
  </w:style>
  <w:style w:type="character" w:customStyle="1" w:styleId="HeaderChar">
    <w:name w:val="Header Char"/>
    <w:basedOn w:val="DefaultParagraphFont"/>
    <w:link w:val="Header"/>
    <w:uiPriority w:val="99"/>
    <w:rsid w:val="009B1D15"/>
  </w:style>
  <w:style w:type="paragraph" w:styleId="Footer">
    <w:name w:val="footer"/>
    <w:basedOn w:val="Normal"/>
    <w:link w:val="FooterChar"/>
    <w:uiPriority w:val="99"/>
    <w:unhideWhenUsed/>
    <w:rsid w:val="009B1D15"/>
    <w:pPr>
      <w:tabs>
        <w:tab w:val="center" w:pos="4513"/>
        <w:tab w:val="right" w:pos="9026"/>
      </w:tabs>
    </w:pPr>
  </w:style>
  <w:style w:type="character" w:customStyle="1" w:styleId="FooterChar">
    <w:name w:val="Footer Char"/>
    <w:basedOn w:val="DefaultParagraphFont"/>
    <w:link w:val="Footer"/>
    <w:uiPriority w:val="99"/>
    <w:rsid w:val="009B1D15"/>
  </w:style>
  <w:style w:type="character" w:styleId="UnresolvedMention">
    <w:name w:val="Unresolved Mention"/>
    <w:basedOn w:val="DefaultParagraphFont"/>
    <w:uiPriority w:val="99"/>
    <w:semiHidden/>
    <w:unhideWhenUsed/>
    <w:rsid w:val="00166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92070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5423</Words>
  <Characters>30915</Characters>
  <Application>Microsoft Office Word</Application>
  <DocSecurity>0</DocSecurity>
  <Lines>257</Lines>
  <Paragraphs>72</Paragraphs>
  <ScaleCrop>false</ScaleCrop>
  <Company/>
  <LinksUpToDate>false</LinksUpToDate>
  <CharactersWithSpaces>36266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4</cp:revision>
  <dcterms:created xsi:type="dcterms:W3CDTF">2026-03-24T14:32:00Z</dcterms:created>
  <dcterms:modified xsi:type="dcterms:W3CDTF">2026-03-24T15:43:00Z</dcterms:modified>
</cp:coreProperties>
</file>