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6041" w:rsidRDefault="001C6041">
      <w:pPr>
        <w:spacing w:before="300"/>
      </w:pPr>
    </w:p>
    <w:p w:rsidR="001C6041" w:rsidRDefault="00000000">
      <w:pPr>
        <w:spacing w:after="60"/>
        <w:jc w:val="center"/>
      </w:pPr>
      <w:r>
        <w:rPr>
          <w:b/>
          <w:bCs/>
          <w:color w:val="2E4A7A"/>
          <w:sz w:val="48"/>
          <w:szCs w:val="48"/>
        </w:rPr>
        <w:t>NETJERU</w:t>
      </w:r>
    </w:p>
    <w:p w:rsidR="001C6041" w:rsidRDefault="00000000">
      <w:pPr>
        <w:spacing w:after="40"/>
        <w:jc w:val="center"/>
      </w:pPr>
      <w:r>
        <w:rPr>
          <w:b/>
          <w:bCs/>
          <w:color w:val="B8860B"/>
          <w:sz w:val="28"/>
          <w:szCs w:val="28"/>
        </w:rPr>
        <w:t>Cycle 1 — First Live Analysis</w:t>
      </w:r>
    </w:p>
    <w:p w:rsidR="001C6041" w:rsidRDefault="00000000">
      <w:pPr>
        <w:pBdr>
          <w:bottom w:val="single" w:sz="8" w:space="1" w:color="B8860B"/>
        </w:pBdr>
        <w:spacing w:after="60"/>
        <w:jc w:val="center"/>
      </w:pPr>
      <w:r>
        <w:rPr>
          <w:i/>
          <w:iCs/>
          <w:color w:val="2E4A7A"/>
          <w:sz w:val="26"/>
          <w:szCs w:val="26"/>
        </w:rPr>
        <w:t>AI Capital Reallocation as Symbolic Architecture Crisis</w:t>
      </w:r>
    </w:p>
    <w:p w:rsidR="001C6041" w:rsidRDefault="001C6041">
      <w:pPr>
        <w:spacing w:before="160"/>
      </w:pPr>
    </w:p>
    <w:p w:rsidR="001C6041" w:rsidRDefault="00000000">
      <w:pPr>
        <w:spacing w:before="100" w:after="100" w:line="276" w:lineRule="auto"/>
        <w:jc w:val="center"/>
      </w:pPr>
      <w:r>
        <w:rPr>
          <w:b/>
          <w:bCs/>
        </w:rPr>
        <w:t>Anthony Hettige Pushpika Indunil Hemakumara (Anthony Vondoom)</w:t>
      </w:r>
    </w:p>
    <w:p w:rsidR="001C6041" w:rsidRDefault="00000000">
      <w:pPr>
        <w:spacing w:before="100" w:after="100" w:line="276" w:lineRule="auto"/>
        <w:jc w:val="center"/>
      </w:pPr>
      <w:r>
        <w:rPr>
          <w:color w:val="555555"/>
          <w:sz w:val="20"/>
          <w:szCs w:val="20"/>
        </w:rPr>
        <w:t>Independent Researcher, Cognitive Archaeology  |  Sirmione, Italy</w:t>
      </w:r>
    </w:p>
    <w:p w:rsidR="001C6041" w:rsidRDefault="00000000">
      <w:pPr>
        <w:spacing w:before="100" w:after="100" w:line="276" w:lineRule="auto"/>
        <w:jc w:val="center"/>
      </w:pPr>
      <w:r>
        <w:rPr>
          <w:color w:val="555555"/>
          <w:sz w:val="20"/>
          <w:szCs w:val="20"/>
        </w:rPr>
        <w:t>ORCID: 0009-0003-4953-1427  |  Anthony.vondoom@outlook.com</w:t>
      </w:r>
    </w:p>
    <w:p w:rsidR="00A91B35" w:rsidRDefault="00A91B35">
      <w:pPr>
        <w:spacing w:before="100" w:after="100" w:line="276" w:lineRule="auto"/>
        <w:jc w:val="center"/>
        <w:rPr>
          <w:color w:val="555555"/>
          <w:sz w:val="20"/>
          <w:szCs w:val="20"/>
          <w:lang w:val="en-US"/>
        </w:rPr>
      </w:pPr>
      <w:hyperlink r:id="rId7" w:history="1">
        <w:r w:rsidRPr="00C041B2">
          <w:rPr>
            <w:rStyle w:val="Hyperlink"/>
            <w:sz w:val="20"/>
            <w:szCs w:val="20"/>
            <w:lang w:val="en-US"/>
          </w:rPr>
          <w:t>https://doi.org/10.5281/zenodo.19206992</w:t>
        </w:r>
      </w:hyperlink>
      <w:r>
        <w:rPr>
          <w:color w:val="555555"/>
          <w:sz w:val="20"/>
          <w:szCs w:val="20"/>
          <w:lang w:val="en-US"/>
        </w:rPr>
        <w:t xml:space="preserve"> </w:t>
      </w:r>
    </w:p>
    <w:p w:rsidR="001C6041" w:rsidRDefault="00000000">
      <w:pPr>
        <w:spacing w:before="100" w:after="100" w:line="276" w:lineRule="auto"/>
        <w:jc w:val="center"/>
      </w:pPr>
      <w:r>
        <w:rPr>
          <w:color w:val="555555"/>
          <w:sz w:val="20"/>
          <w:szCs w:val="20"/>
        </w:rPr>
        <w:t xml:space="preserve">DSSM Working Paper Series  |  Paper </w:t>
      </w:r>
      <w:r w:rsidR="00ED60D4" w:rsidRPr="00ED60D4">
        <w:rPr>
          <w:color w:val="555555"/>
          <w:sz w:val="20"/>
          <w:szCs w:val="20"/>
          <w:lang w:val="en-US"/>
        </w:rPr>
        <w:t xml:space="preserve">43 </w:t>
      </w:r>
      <w:r>
        <w:rPr>
          <w:color w:val="555555"/>
          <w:sz w:val="20"/>
          <w:szCs w:val="20"/>
        </w:rPr>
        <w:t xml:space="preserve">  |  March 23, 2026</w:t>
      </w:r>
    </w:p>
    <w:p w:rsidR="001C6041" w:rsidRDefault="00000000">
      <w:pPr>
        <w:spacing w:before="100" w:after="100" w:line="276" w:lineRule="auto"/>
        <w:jc w:val="center"/>
      </w:pPr>
      <w:r>
        <w:rPr>
          <w:b/>
          <w:bCs/>
          <w:color w:val="B8860B"/>
          <w:sz w:val="20"/>
          <w:szCs w:val="20"/>
        </w:rPr>
        <w:t>NETJERU Cycle 1 — First Live System Run</w:t>
      </w:r>
    </w:p>
    <w:p w:rsidR="001C6041" w:rsidRDefault="001C6041">
      <w:pPr>
        <w:spacing w:before="100"/>
      </w:pPr>
    </w:p>
    <w:p w:rsidR="001C6041" w:rsidRDefault="00000000">
      <w:pPr>
        <w:spacing w:before="100" w:after="100" w:line="276" w:lineRule="auto"/>
        <w:jc w:val="center"/>
      </w:pPr>
      <w:r>
        <w:rPr>
          <w:i/>
          <w:iCs/>
          <w:color w:val="777777"/>
          <w:sz w:val="18"/>
          <w:szCs w:val="18"/>
        </w:rPr>
        <w:t>AI Drafting Disclosure: This paper is the direct output of NETJERU Cycle 1 —</w:t>
      </w:r>
    </w:p>
    <w:p w:rsidR="001C6041" w:rsidRDefault="00000000">
      <w:pPr>
        <w:spacing w:before="100" w:after="100" w:line="276" w:lineRule="auto"/>
        <w:jc w:val="center"/>
      </w:pPr>
      <w:r>
        <w:rPr>
          <w:i/>
          <w:iCs/>
          <w:color w:val="777777"/>
          <w:sz w:val="18"/>
          <w:szCs w:val="18"/>
        </w:rPr>
        <w:t>the first live run of the DSSM-compliant multi-agent intelligence system described in Paper 40.</w:t>
      </w:r>
    </w:p>
    <w:p w:rsidR="001C6041" w:rsidRDefault="00000000">
      <w:pPr>
        <w:spacing w:before="100" w:after="100" w:line="276" w:lineRule="auto"/>
        <w:jc w:val="center"/>
      </w:pPr>
      <w:r>
        <w:rPr>
          <w:i/>
          <w:iCs/>
          <w:color w:val="777777"/>
          <w:sz w:val="18"/>
          <w:szCs w:val="18"/>
        </w:rPr>
        <w:t>Agent outputs (Isis, Thoth, Set, Osiris) have been lightly edited for academic presentation.</w:t>
      </w:r>
    </w:p>
    <w:p w:rsidR="001C6041" w:rsidRDefault="00000000">
      <w:pPr>
        <w:spacing w:before="100" w:after="100" w:line="276" w:lineRule="auto"/>
        <w:jc w:val="center"/>
      </w:pPr>
      <w:r>
        <w:rPr>
          <w:i/>
          <w:iCs/>
          <w:color w:val="777777"/>
          <w:sz w:val="18"/>
          <w:szCs w:val="18"/>
        </w:rPr>
        <w:t>Theoretical framework, prescriptions, and intellectual responsibility remain entirely with the author.</w:t>
      </w:r>
    </w:p>
    <w:p w:rsidR="001C6041" w:rsidRDefault="001C6041">
      <w:pPr>
        <w:spacing w:before="160"/>
      </w:pPr>
    </w:p>
    <w:p w:rsidR="001C6041" w:rsidRDefault="001C6041">
      <w:pPr>
        <w:pBdr>
          <w:bottom w:val="single" w:sz="8" w:space="1" w:color="B8860B"/>
        </w:pBdr>
        <w:spacing w:before="200" w:after="200"/>
      </w:pPr>
    </w:p>
    <w:p w:rsidR="001C6041" w:rsidRDefault="001C6041">
      <w:pPr>
        <w:spacing w:before="100"/>
      </w:pPr>
    </w:p>
    <w:p w:rsidR="001C6041" w:rsidRDefault="00000000">
      <w:pPr>
        <w:pStyle w:val="Heading1"/>
      </w:pPr>
      <w:r>
        <w:t>Abstract</w:t>
      </w:r>
    </w:p>
    <w:p w:rsidR="001C6041" w:rsidRDefault="00000000">
      <w:pPr>
        <w:spacing w:before="100" w:after="100" w:line="276" w:lineRule="auto"/>
        <w:ind w:left="360" w:right="360"/>
        <w:jc w:val="both"/>
      </w:pPr>
      <w:r>
        <w:rPr>
          <w:i/>
          <w:iCs/>
        </w:rPr>
        <w:t>This paper presents the output of NETJERU Cycle 1 — the first live run of the DSSM-compliant multi-agent intelligence system introduced in Working Paper 4</w:t>
      </w:r>
      <w:r w:rsidR="00FA5741" w:rsidRPr="00FA5741">
        <w:rPr>
          <w:i/>
          <w:iCs/>
          <w:lang w:val="en-US"/>
        </w:rPr>
        <w:t>2</w:t>
      </w:r>
      <w:r>
        <w:rPr>
          <w:i/>
          <w:iCs/>
        </w:rPr>
        <w:t xml:space="preserve">. The primary signal detected by Isis and scored by Thoth concerns the structural reallocation of global capital from talent arbitrage to automation-first investment models, and its implications for the symbolic legitimacy architecture of global knowledge-work governance. Thoth's initial scores ranged from 6.2 to 8.1 across four DSSM detection domains. Set's adversarial probes reduced two scores and identified a critical unresolved challenge: whether capital reallocation represents routine market evolution or genuine symbolic architecture crisis. The DSSM resolution distinguishes between rational reallocation and legitimate reallocation — establishing that the core risk is transition velocity exceeding the symbolic absorption capacity of existing governance frameworks, not irrationality per se. Osiris identified two high-confidence historical analogues: Roman bureaucratic fossilization (350–450 CE, match score 9.1/10) and the Nixon shock / Bretton Woods collapse (1971, match score 8.4/10). The paper derives four DSSM prescriptions centred on the establishment of an International AI Governance Coordination Council (AIGCC) as symbolic architecture — not regulatory body — designed to establish </w:t>
      </w:r>
      <w:r>
        <w:rPr>
          <w:i/>
          <w:iCs/>
        </w:rPr>
        <w:lastRenderedPageBreak/>
        <w:t>legitimacy before infrastructure and include peripheral actors before any coordination mechanism is built. Osiris's forward watch identifies four measurable signals to track over the next 30–365 days as empirical tests of the DSSM's predictive validity on this domain.</w:t>
      </w:r>
    </w:p>
    <w:p w:rsidR="001C6041" w:rsidRDefault="001C6041">
      <w:pPr>
        <w:spacing w:before="120"/>
      </w:pPr>
    </w:p>
    <w:p w:rsidR="001C6041" w:rsidRDefault="00000000">
      <w:pPr>
        <w:spacing w:before="80" w:after="80"/>
        <w:ind w:left="360" w:right="360"/>
      </w:pPr>
      <w:r>
        <w:rPr>
          <w:b/>
          <w:bCs/>
          <w:sz w:val="20"/>
          <w:szCs w:val="20"/>
        </w:rPr>
        <w:t xml:space="preserve">Keywords: </w:t>
      </w:r>
      <w:r>
        <w:rPr>
          <w:sz w:val="20"/>
          <w:szCs w:val="20"/>
        </w:rPr>
        <w:t>NETJERU, DSSM, AI capital reallocation, talent arbitrage, automation-first investment, symbolic architecture crisis, AI governance fragmentation, AIGCC, legitimacy collapse, Roman analogue, Bretton Woods, knowledge-work displacement, peripheral actor defection, Paper 41</w:t>
      </w:r>
    </w:p>
    <w:p w:rsidR="001C6041" w:rsidRDefault="001C6041">
      <w:pPr>
        <w:pBdr>
          <w:bottom w:val="single" w:sz="6" w:space="1" w:color="2E4A7A"/>
        </w:pBdr>
        <w:spacing w:before="200" w:after="200"/>
      </w:pPr>
    </w:p>
    <w:p w:rsidR="001C6041" w:rsidRDefault="001C6041">
      <w:pPr>
        <w:spacing w:before="100"/>
      </w:pPr>
    </w:p>
    <w:p w:rsidR="001C6041" w:rsidRDefault="00000000">
      <w:pPr>
        <w:pStyle w:val="Heading1"/>
      </w:pPr>
      <w:r>
        <w:t>Table of Contents</w:t>
      </w:r>
    </w:p>
    <w:p w:rsidR="001C6041" w:rsidRDefault="00000000">
      <w:pPr>
        <w:spacing w:before="60" w:after="60"/>
      </w:pPr>
      <w:r>
        <w:rPr>
          <w:color w:val="2E4A7A"/>
          <w:sz w:val="20"/>
          <w:szCs w:val="20"/>
        </w:rPr>
        <w:t>1.  Preface: The First Cycle</w:t>
      </w:r>
    </w:p>
    <w:p w:rsidR="001C6041" w:rsidRDefault="00000000">
      <w:pPr>
        <w:spacing w:before="60" w:after="60"/>
      </w:pPr>
      <w:r>
        <w:rPr>
          <w:color w:val="2E4A7A"/>
          <w:sz w:val="20"/>
          <w:szCs w:val="20"/>
        </w:rPr>
        <w:t>2.  Signal Origin: What Isis Found</w:t>
      </w:r>
    </w:p>
    <w:p w:rsidR="001C6041" w:rsidRDefault="00000000">
      <w:pPr>
        <w:spacing w:before="60" w:after="60"/>
      </w:pPr>
      <w:r>
        <w:rPr>
          <w:color w:val="2E4A7A"/>
          <w:sz w:val="20"/>
          <w:szCs w:val="20"/>
        </w:rPr>
        <w:t>3.  Thoth's Scores: DSSM Assessment Across Four Domains</w:t>
      </w:r>
    </w:p>
    <w:p w:rsidR="001C6041" w:rsidRDefault="00000000">
      <w:pPr>
        <w:spacing w:before="60" w:after="60"/>
      </w:pPr>
      <w:r>
        <w:rPr>
          <w:color w:val="2E4A7A"/>
          <w:sz w:val="20"/>
          <w:szCs w:val="20"/>
        </w:rPr>
        <w:t>4.  Set's Challenges: The Adversarial Record</w:t>
      </w:r>
    </w:p>
    <w:p w:rsidR="001C6041" w:rsidRDefault="00000000">
      <w:pPr>
        <w:spacing w:before="60" w:after="60"/>
      </w:pPr>
      <w:r>
        <w:rPr>
          <w:color w:val="2E4A7A"/>
          <w:sz w:val="20"/>
          <w:szCs w:val="20"/>
        </w:rPr>
        <w:t>5.  Osiris's Memory: Historical Analogues and Pattern Matches</w:t>
      </w:r>
    </w:p>
    <w:p w:rsidR="001C6041" w:rsidRDefault="00000000">
      <w:pPr>
        <w:spacing w:before="60" w:after="60"/>
      </w:pPr>
      <w:r>
        <w:rPr>
          <w:color w:val="2E4A7A"/>
          <w:sz w:val="20"/>
          <w:szCs w:val="20"/>
        </w:rPr>
        <w:t>6.  The Core DSSM Analysis: Legitimacy, Velocity, and Transition Risk</w:t>
      </w:r>
    </w:p>
    <w:p w:rsidR="001C6041" w:rsidRDefault="00000000">
      <w:pPr>
        <w:spacing w:before="60" w:after="60"/>
      </w:pPr>
      <w:r>
        <w:rPr>
          <w:color w:val="2E4A7A"/>
          <w:sz w:val="20"/>
          <w:szCs w:val="20"/>
        </w:rPr>
        <w:t>7.  DSSM Prescriptions: What the Framework Recommends</w:t>
      </w:r>
    </w:p>
    <w:p w:rsidR="001C6041" w:rsidRDefault="00000000">
      <w:pPr>
        <w:spacing w:before="60" w:after="60"/>
      </w:pPr>
      <w:r>
        <w:rPr>
          <w:color w:val="2E4A7A"/>
          <w:sz w:val="20"/>
          <w:szCs w:val="20"/>
        </w:rPr>
        <w:t>8.  Horus's Assessment: Sovereign Review</w:t>
      </w:r>
    </w:p>
    <w:p w:rsidR="001C6041" w:rsidRDefault="00000000">
      <w:pPr>
        <w:spacing w:before="60" w:after="60"/>
      </w:pPr>
      <w:r>
        <w:rPr>
          <w:color w:val="2E4A7A"/>
          <w:sz w:val="20"/>
          <w:szCs w:val="20"/>
        </w:rPr>
        <w:t>9.  Osiris's Forward Watch: Four Signals to Track</w:t>
      </w:r>
    </w:p>
    <w:p w:rsidR="001C6041" w:rsidRDefault="00000000">
      <w:pPr>
        <w:spacing w:before="60" w:after="60"/>
      </w:pPr>
      <w:r>
        <w:rPr>
          <w:color w:val="2E4A7A"/>
          <w:sz w:val="20"/>
          <w:szCs w:val="20"/>
        </w:rPr>
        <w:t>10. What This Cycle Establishes</w:t>
      </w:r>
    </w:p>
    <w:p w:rsidR="001C6041" w:rsidRDefault="00000000">
      <w:pPr>
        <w:spacing w:before="60" w:after="60"/>
      </w:pPr>
      <w:r>
        <w:rPr>
          <w:color w:val="2E4A7A"/>
          <w:sz w:val="20"/>
          <w:szCs w:val="20"/>
        </w:rPr>
        <w:t>11. Conclusion: The Record Is Open</w:t>
      </w:r>
    </w:p>
    <w:p w:rsidR="001C6041" w:rsidRDefault="00000000">
      <w:pPr>
        <w:spacing w:before="60" w:after="60"/>
      </w:pPr>
      <w:r>
        <w:rPr>
          <w:color w:val="2E4A7A"/>
          <w:sz w:val="20"/>
          <w:szCs w:val="20"/>
        </w:rPr>
        <w:t>References and Related DSSM Papers</w:t>
      </w:r>
    </w:p>
    <w:p w:rsidR="001C6041" w:rsidRDefault="001C6041">
      <w:pPr>
        <w:pBdr>
          <w:bottom w:val="single" w:sz="6" w:space="1" w:color="2E4A7A"/>
        </w:pBdr>
        <w:spacing w:before="200" w:after="200"/>
      </w:pPr>
    </w:p>
    <w:p w:rsidR="001C6041" w:rsidRDefault="001C6041">
      <w:pPr>
        <w:spacing w:before="100"/>
      </w:pPr>
    </w:p>
    <w:p w:rsidR="001C6041" w:rsidRDefault="00000000">
      <w:pPr>
        <w:pStyle w:val="Heading1"/>
      </w:pPr>
      <w:r>
        <w:t>1. Preface: The First Cycle</w:t>
      </w:r>
    </w:p>
    <w:p w:rsidR="001C6041" w:rsidRDefault="00000000">
      <w:pPr>
        <w:spacing w:before="100" w:after="100" w:line="276" w:lineRule="auto"/>
        <w:jc w:val="both"/>
      </w:pPr>
      <w:r>
        <w:t>This paper is not written in the conventional sense. It is transcribed.</w:t>
      </w:r>
    </w:p>
    <w:p w:rsidR="001C6041" w:rsidRDefault="00000000">
      <w:pPr>
        <w:spacing w:before="100" w:after="100" w:line="276" w:lineRule="auto"/>
        <w:jc w:val="both"/>
      </w:pPr>
      <w:r>
        <w:t>On March 23, 2026, NETJERU completed its first live cycle. The system described theoretically in DSSM Working Papers 39 and 40 ran for the first time on real civilizational data — live news feeds, current geopolitical signals, active capital market movements — and produced a scored, challenged, memory-matched, and prescribed output. That output is the substance of this paper.</w:t>
      </w:r>
    </w:p>
    <w:p w:rsidR="001C6041" w:rsidRDefault="00000000">
      <w:pPr>
        <w:spacing w:before="100" w:after="100" w:line="276" w:lineRule="auto"/>
        <w:jc w:val="both"/>
      </w:pPr>
      <w:r>
        <w:t>The significance of this is not primarily analytical. It is structural. A theoretical framework about symbolic stabilization has generated a working intelligence system, and that system has on its first run produced an analysis grounded in the framework it was built from. The DSSM argued that symbolic systems that survive are those whose load-bearing structures externalize into durable artifacts. NETJERU is the externalization. Paper 41 is the first artifact it produces.</w:t>
      </w:r>
    </w:p>
    <w:p w:rsidR="001C6041" w:rsidRDefault="00000000">
      <w:pPr>
        <w:spacing w:before="100" w:after="100" w:line="276" w:lineRule="auto"/>
        <w:jc w:val="both"/>
      </w:pPr>
      <w:r>
        <w:t xml:space="preserve">What follows is the full Cycle 1 output, presented in the academic format of the DSSM Working Paper Series, with light editorial framing and the sovereign assessment of the author as Horus. The agent </w:t>
      </w:r>
      <w:r>
        <w:lastRenderedPageBreak/>
        <w:t>voices — Isis, Thoth, Set, Osiris — are preserved as they were produced, with their functional designations retained. This is deliberate: the agents are not rhetorical devices. They are the analytical functions that produced this paper. They should be credited as such.</w:t>
      </w:r>
    </w:p>
    <w:p w:rsidR="001C6041" w:rsidRDefault="00000000">
      <w:pPr>
        <w:spacing w:before="100" w:after="100" w:line="276" w:lineRule="auto"/>
        <w:jc w:val="both"/>
      </w:pPr>
      <w:r>
        <w:t>The cycle timestamp is March 23, 2026. The record is open from this date. Every subsequent cycle adds to it. In twelve months, the accumulated record will constitute the empirical test of whether the DSSM has genuine predictive validity on live civilizational data. This paper is the first entry in that test.</w:t>
      </w:r>
    </w:p>
    <w:p w:rsidR="001C6041" w:rsidRDefault="001C6041">
      <w:pPr>
        <w:spacing w:before="80"/>
      </w:pPr>
    </w:p>
    <w:p w:rsidR="001C6041" w:rsidRDefault="00000000">
      <w:pPr>
        <w:pStyle w:val="Heading1"/>
      </w:pPr>
      <w:r>
        <w:t>2. Signal Origin: What Isis Found</w:t>
      </w:r>
    </w:p>
    <w:p w:rsidR="001C6041" w:rsidRDefault="00000000">
      <w:pPr>
        <w:spacing w:before="100" w:after="100" w:line="276" w:lineRule="auto"/>
        <w:jc w:val="both"/>
      </w:pPr>
      <w:r>
        <w:t>Isis pulled the signal from the intersection of three concurrent news streams: reporting on venture capital reallocation away from offshore development and H-1B-dependent talent pipelines; announcements from major technology firms of automation-first hiring freezes and headcount reductions in knowledge-work categories; and commentary on the accelerating divergence of national AI governance frameworks in the EU, US, China, and India.</w:t>
      </w:r>
    </w:p>
    <w:p w:rsidR="001C6041" w:rsidRDefault="00000000">
      <w:pPr>
        <w:spacing w:before="100" w:after="100" w:line="276" w:lineRule="auto"/>
        <w:jc w:val="both"/>
      </w:pPr>
      <w:r>
        <w:t>The signal Isis assembled was not any one of these news items. It was the structural relationship between them — the pattern that emerges when you read capital reallocation, knowledge-work displacement, and governance fragmentation simultaneously through the DSSM lens. Individually, each stream is a technology business story. Together, they describe a transformation in the symbolic contract through which global knowledge-work value has been extracted and legitimated for two decades.</w:t>
      </w:r>
    </w:p>
    <w:p w:rsidR="001C6041" w:rsidRDefault="00000000">
      <w:pPr>
        <w:spacing w:before="100" w:after="100" w:line="276" w:lineRule="auto"/>
        <w:jc w:val="both"/>
      </w:pPr>
      <w:r>
        <w:t>The assembled narrative that Isis passed to Thoth was this: the talent arbitrage model — which depended on the fiction that cognitive skill was geographically bounded and that visa pipelines provided access to otherwise inaccessible capability — has been liquidated by AI's ability to perform routine cognitive work at marginal cost. Capital is reallocating not because of humanitarian impulse but because the old extraction protocol no longer maximizes returns. The new protocol is automation-first: eliminate the human cognitive layer and capture the full value chain. This is not a marginal adjustment. It is a protocol change. And protocol changes of this magnitude — as the DSSM's analysis of agricultural emergence, writing adoption, and industrial transition all confirm — do not leave the legitimacy architecture of the systems they replace intact.</w:t>
      </w:r>
    </w:p>
    <w:p w:rsidR="001C6041" w:rsidRDefault="001C6041">
      <w:pPr>
        <w:spacing w:before="80"/>
      </w:pPr>
    </w:p>
    <w:p w:rsidR="001C6041" w:rsidRDefault="00000000">
      <w:pPr>
        <w:pStyle w:val="Heading1"/>
      </w:pPr>
      <w:r>
        <w:t>3. Thoth's Scores: DSSM Assessment Across Four Domains</w:t>
      </w:r>
    </w:p>
    <w:p w:rsidR="001C6041" w:rsidRDefault="00000000">
      <w:pPr>
        <w:spacing w:before="100" w:after="100" w:line="276" w:lineRule="auto"/>
        <w:jc w:val="both"/>
      </w:pPr>
      <w:r>
        <w:t>Thoth scored the assembled signal against all four DSSM detection domains. Table 1 shows the full scoring record including raw scores, Set-adjusted scores, confidence levels, and scoring rationale.</w:t>
      </w:r>
    </w:p>
    <w:p w:rsidR="001C6041" w:rsidRDefault="001C6041">
      <w:pPr>
        <w:spacing w:before="120"/>
      </w:pPr>
    </w:p>
    <w:p w:rsidR="001C6041" w:rsidRDefault="00000000">
      <w:pPr>
        <w:spacing w:before="100" w:after="100" w:line="276" w:lineRule="auto"/>
        <w:jc w:val="center"/>
      </w:pPr>
      <w:r>
        <w:rPr>
          <w:b/>
          <w:bCs/>
          <w:color w:val="2E4A7A"/>
          <w:sz w:val="20"/>
          <w:szCs w:val="20"/>
        </w:rPr>
        <w:t>Table 1: NETJERU Cycle 1 — Thoth Scoring Record</w:t>
      </w:r>
    </w:p>
    <w:p w:rsidR="001C6041" w:rsidRDefault="001C6041">
      <w:pPr>
        <w:spacing w:before="60"/>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400"/>
        <w:gridCol w:w="1400"/>
        <w:gridCol w:w="1400"/>
        <w:gridCol w:w="3060"/>
      </w:tblGrid>
      <w:tr w:rsidR="001C6041">
        <w:trPr>
          <w:tblHeader/>
        </w:trPr>
        <w:tc>
          <w:tcPr>
            <w:tcW w:w="2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lastRenderedPageBreak/>
              <w:t>Detection Domain</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Thoth Raw Score</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Set-Adjusted Score</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Confidence</w:t>
            </w:r>
          </w:p>
        </w:tc>
        <w:tc>
          <w:tcPr>
            <w:tcW w:w="30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Thoth Rationale</w:t>
            </w:r>
          </w:p>
        </w:tc>
      </w:tr>
      <w:tr w:rsidR="001C6041">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Symbolic Regulation Failure</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2E4A7A"/>
                <w:sz w:val="20"/>
                <w:szCs w:val="20"/>
              </w:rPr>
              <w:t>7.8</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1A6B2A"/>
                <w:sz w:val="20"/>
                <w:szCs w:val="20"/>
              </w:rPr>
              <w:t>6.9 (Set -0.9)</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8B0000"/>
                <w:sz w:val="20"/>
                <w:szCs w:val="20"/>
              </w:rPr>
              <w:t>HIGH</w:t>
            </w:r>
          </w:p>
        </w:tc>
        <w:tc>
          <w:tcPr>
            <w:tcW w:w="3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Legitimacy substrate of global knowledge-work governance has dissolved. Talent arbitrage symbolic contract no longer holds. Defection pressure building at periphery.</w:t>
            </w:r>
          </w:p>
        </w:tc>
      </w:tr>
      <w:tr w:rsidR="001C6041">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Institutional Collapse Proximity</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2E4A7A"/>
                <w:sz w:val="20"/>
                <w:szCs w:val="20"/>
              </w:rPr>
              <w:t>6.2</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1A6B2A"/>
                <w:sz w:val="20"/>
                <w:szCs w:val="20"/>
              </w:rPr>
              <w:t>5.8 (Set -0.4)</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8B6914"/>
                <w:sz w:val="20"/>
                <w:szCs w:val="20"/>
              </w:rPr>
              <w:t>MEDIUM-HIGH</w:t>
            </w:r>
          </w:p>
        </w:tc>
        <w:tc>
          <w:tcPr>
            <w:tcW w:w="3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Administrative protocols of visa, credential, and IP frameworks persist post-legitimacy — classic DSSM fossilization pattern. Sclerosis confirmed, collapse not yet triggered.</w:t>
            </w:r>
          </w:p>
        </w:tc>
      </w:tr>
      <w:tr w:rsidR="001C6041">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AI Governance Fragmentation</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2E4A7A"/>
                <w:sz w:val="20"/>
                <w:szCs w:val="20"/>
              </w:rPr>
              <w:t>8.1</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1A6B2A"/>
                <w:sz w:val="20"/>
                <w:szCs w:val="20"/>
              </w:rPr>
              <w:t>7.6 (Set -0.5)</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8B0000"/>
                <w:sz w:val="20"/>
                <w:szCs w:val="20"/>
              </w:rPr>
              <w:t>HIGH</w:t>
            </w:r>
          </w:p>
        </w:tc>
        <w:tc>
          <w:tcPr>
            <w:tcW w:w="3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Four simultaneous national AI governance frameworks (EU, US, China, India) operating without shared symbolic grammar. No coordination protocol. Fragmentation accelerating.</w:t>
            </w:r>
          </w:p>
        </w:tc>
      </w:tr>
      <w:tr w:rsidR="001C6041">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Macro Symbolic Shift</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2E4A7A"/>
                <w:sz w:val="20"/>
                <w:szCs w:val="20"/>
              </w:rPr>
              <w:t>7.0</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1A6B2A"/>
                <w:sz w:val="20"/>
                <w:szCs w:val="20"/>
              </w:rPr>
              <w:t>6.8 (Set -0.2)</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8B0000"/>
                <w:sz w:val="20"/>
                <w:szCs w:val="20"/>
              </w:rPr>
              <w:t>HIGH</w:t>
            </w:r>
          </w:p>
        </w:tc>
        <w:tc>
          <w:tcPr>
            <w:tcW w:w="3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Capital reallocation from talent arbitrage to automation-first is structural, not cyclical. Extraction protocol has changed. The old symbolic contract between peripheral talent and core capital is voided.</w:t>
            </w:r>
          </w:p>
        </w:tc>
      </w:tr>
    </w:tbl>
    <w:p w:rsidR="001C6041" w:rsidRDefault="00000000">
      <w:pPr>
        <w:spacing w:before="100" w:after="100" w:line="276" w:lineRule="auto"/>
        <w:jc w:val="center"/>
      </w:pPr>
      <w:r>
        <w:rPr>
          <w:i/>
          <w:iCs/>
          <w:color w:val="555555"/>
          <w:sz w:val="18"/>
          <w:szCs w:val="18"/>
        </w:rPr>
        <w:t>Table 1. Thoth's full scoring record for Cycle 1 across all four DSSM detection domains, including Set-adjusted final scores.</w:t>
      </w:r>
    </w:p>
    <w:p w:rsidR="001C6041" w:rsidRDefault="001C6041">
      <w:pPr>
        <w:spacing w:before="80"/>
      </w:pPr>
    </w:p>
    <w:p w:rsidR="001C6041" w:rsidRDefault="00000000">
      <w:pPr>
        <w:spacing w:before="100" w:after="100" w:line="276" w:lineRule="auto"/>
        <w:jc w:val="both"/>
      </w:pPr>
      <w:r>
        <w:t>The composite picture from Thoth's scoring is a system under significant symbolic stress across all four domains simultaneously. This is the DSSM's most dangerous configuration: not a single high-score domain that can be addressed in isolation, but a correlated multi-domain signal where the underlying mechanism — legitimacy substrate erosion — is producing pressure across institutional collapse proximity, governance fragmentation, and macro symbolic shift at the same time.</w:t>
      </w:r>
    </w:p>
    <w:p w:rsidR="001C6041" w:rsidRDefault="00000000">
      <w:pPr>
        <w:spacing w:before="100" w:after="100" w:line="276" w:lineRule="auto"/>
        <w:jc w:val="both"/>
      </w:pPr>
      <w:r>
        <w:t>The highest raw score (8.1 on AI Governance Fragmentation) reflects the absence of any shared symbolic grammar across the four major national frameworks. The second highest (7.8 on Symbolic Regulation Failure) reflects the legitimacy collapse of the talent arbitrage contract. These two scores are causally linked: governance fragmentation accelerates when the legitimacy architecture that would coordinate it has already begun to dissolve.</w:t>
      </w:r>
    </w:p>
    <w:p w:rsidR="001C6041" w:rsidRDefault="001C6041">
      <w:pPr>
        <w:spacing w:before="80"/>
      </w:pPr>
    </w:p>
    <w:p w:rsidR="001C6041" w:rsidRDefault="00000000">
      <w:pPr>
        <w:pStyle w:val="Heading1"/>
      </w:pPr>
      <w:r>
        <w:lastRenderedPageBreak/>
        <w:t>4. Set's Challenges: The Adversarial Record</w:t>
      </w:r>
    </w:p>
    <w:p w:rsidR="001C6041" w:rsidRDefault="00000000">
      <w:pPr>
        <w:spacing w:before="100" w:after="100" w:line="276" w:lineRule="auto"/>
        <w:jc w:val="both"/>
      </w:pPr>
      <w:r>
        <w:t>Set challenged the two highest-scoring signals. Both challenges were valid. Both required genuine score adjustment. Neither challenge was sufficient to dismiss the signal. Table 2 shows the full adversarial record.</w:t>
      </w:r>
    </w:p>
    <w:p w:rsidR="001C6041" w:rsidRDefault="001C6041">
      <w:pPr>
        <w:spacing w:before="120"/>
      </w:pPr>
    </w:p>
    <w:p w:rsidR="001C6041" w:rsidRDefault="00000000">
      <w:pPr>
        <w:spacing w:before="100" w:after="100" w:line="276" w:lineRule="auto"/>
        <w:jc w:val="center"/>
      </w:pPr>
      <w:r>
        <w:rPr>
          <w:b/>
          <w:bCs/>
          <w:color w:val="2E4A7A"/>
          <w:sz w:val="20"/>
          <w:szCs w:val="20"/>
        </w:rPr>
        <w:t>Table 2: Set's Adversarial Challenge Log — Cycle 1</w:t>
      </w:r>
    </w:p>
    <w:p w:rsidR="001C6041" w:rsidRDefault="001C6041">
      <w:pPr>
        <w:spacing w:before="60"/>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400"/>
        <w:gridCol w:w="2400"/>
        <w:gridCol w:w="2860"/>
      </w:tblGrid>
      <w:tr w:rsidR="001C6041">
        <w:trPr>
          <w:tblHeader/>
        </w:trPr>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Set's Challenge</w:t>
            </w:r>
          </w:p>
        </w:tc>
        <w:tc>
          <w:tcPr>
            <w:tcW w:w="2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Challenge Argument</w:t>
            </w:r>
          </w:p>
        </w:tc>
        <w:tc>
          <w:tcPr>
            <w:tcW w:w="2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Set's Assessment of Own Challenge</w:t>
            </w:r>
          </w:p>
        </w:tc>
        <w:tc>
          <w:tcPr>
            <w:tcW w:w="28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Resolution and Score Adjustment</w:t>
            </w:r>
          </w:p>
        </w:tc>
      </w:tr>
      <w:tr w:rsidR="001C6041">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8B0000"/>
                <w:sz w:val="20"/>
                <w:szCs w:val="20"/>
              </w:rPr>
              <w:t>Is this civilizational crisis or routine market correction?</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Capital reallocation to automation-first may be rational efficiency rather than symbolic architecture collapse. Talent arbitrage may have been overextended. Governance fragmentation may generate competitive innovation rather than defection cascades. Historical analogues (Rome, Bretton Woods) may be false maps for a domain where network effects stabilize rather than destabilize.</w:t>
            </w:r>
          </w:p>
        </w:tc>
        <w:tc>
          <w:tcPr>
            <w:tcW w:w="2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8B6914"/>
                <w:sz w:val="20"/>
                <w:szCs w:val="20"/>
              </w:rPr>
              <w:t>Valid and unresolved. Cannot be dismissed. The rationality of capital reallocation is conceded.</w:t>
            </w:r>
          </w:p>
        </w:tc>
        <w:tc>
          <w:tcPr>
            <w:tcW w:w="28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6B2A"/>
                <w:sz w:val="20"/>
                <w:szCs w:val="20"/>
              </w:rPr>
              <w:t>The challenge misses the core DSSM mechanism: the question is not whether reallocation is rational but whether it maintains legitimacy during transition. Rome's tax collection was rational. The petrodollar was rational. Both nonetheless produced defection cascades before restabilization. Transition velocity exceeding symbolic absorption capacity is the risk — not irrationality. Confidence reduced from 7.8 to 6.9 on Symbolic Regulation Failure. Reduction justified.</w:t>
            </w:r>
          </w:p>
        </w:tc>
      </w:tr>
      <w:tr w:rsidR="001C6041">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8B0000"/>
                <w:sz w:val="20"/>
                <w:szCs w:val="20"/>
              </w:rPr>
              <w:t>Will AI governance fragmentation necessarily cascade?</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Network effects in AI development may create stabilizing pressures. The EU AI Act, US executive orders, and Chinese frameworks may converge through market pressure rather than formal coordination. Open-source AI development creates a commons that bypasses governance fragmentation entirely.</w:t>
            </w:r>
          </w:p>
        </w:tc>
        <w:tc>
          <w:tcPr>
            <w:tcW w:w="2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8B6914"/>
                <w:sz w:val="20"/>
                <w:szCs w:val="20"/>
              </w:rPr>
              <w:t>Partially valid. Network convergence is a genuine stabilizing mechanism not fully weighted in initial Thoth score.</w:t>
            </w:r>
          </w:p>
        </w:tc>
        <w:tc>
          <w:tcPr>
            <w:tcW w:w="28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6B2A"/>
                <w:sz w:val="20"/>
                <w:szCs w:val="20"/>
              </w:rPr>
              <w:t>Network convergence requires a shared symbolic grammar to coordinate on — which is precisely what is absent. Open-source commons is real but does not resolve the extraction legitimacy crisis for peripheral knowledge workers. Governance fragmentation score reduced from 8.1 to 7.6. Stabilizing mechanism noted but not determinative given velocity of current fragmentation.</w:t>
            </w:r>
          </w:p>
        </w:tc>
      </w:tr>
    </w:tbl>
    <w:p w:rsidR="001C6041" w:rsidRDefault="00000000">
      <w:pPr>
        <w:spacing w:before="100" w:after="100" w:line="276" w:lineRule="auto"/>
        <w:jc w:val="center"/>
      </w:pPr>
      <w:r>
        <w:rPr>
          <w:i/>
          <w:iCs/>
          <w:color w:val="555555"/>
          <w:sz w:val="18"/>
          <w:szCs w:val="18"/>
        </w:rPr>
        <w:t>Table 2. Set's full challenge log for Cycle 1 including challenge argument, self-assessment, and resolution.</w:t>
      </w:r>
    </w:p>
    <w:p w:rsidR="001C6041" w:rsidRDefault="001C6041">
      <w:pPr>
        <w:spacing w:before="80"/>
      </w:pPr>
    </w:p>
    <w:p w:rsidR="001C6041" w:rsidRDefault="00000000">
      <w:pPr>
        <w:spacing w:before="100" w:after="100" w:line="276" w:lineRule="auto"/>
        <w:jc w:val="both"/>
      </w:pPr>
      <w:r>
        <w:lastRenderedPageBreak/>
        <w:t>Set's primary challenge — whether this constitutes civilizational crisis or routine market correction — is the most important analytical question the cycle raised and the one most important to hold open. The DSSM's resolution is precise: the rationality of capital reallocation is conceded. The question is whether the reallocation maintains legitimacy during transition. Set accepted this resolution and reduced the Symbolic Regulation Failure score from 7.8 to 6.9 in acknowledgment of the genuine uncertainty about transition outcomes.</w:t>
      </w:r>
    </w:p>
    <w:p w:rsidR="001C6041" w:rsidRDefault="00000000">
      <w:pPr>
        <w:spacing w:before="100" w:after="100" w:line="276" w:lineRule="auto"/>
        <w:jc w:val="both"/>
      </w:pPr>
      <w:r>
        <w:t>This is Set functioning correctly. The score reduction is not a dismissal of the signal. It is an honest acknowledgment that the DSSM prediction — that legitimacy collapse precedes institutional collapse with a lag of decades — carries uncertainty when applied to a technology domain where velocity is unprecedented. The framework's historical cases (Rome, Bretton Woods) operated on slower timescales. Whether the DSSM dynamics apply at AI velocity is an empirical question that Osiris's forward watch will track.</w:t>
      </w:r>
    </w:p>
    <w:p w:rsidR="001C6041" w:rsidRDefault="001C6041">
      <w:pPr>
        <w:spacing w:before="80"/>
      </w:pPr>
    </w:p>
    <w:p w:rsidR="001C6041" w:rsidRDefault="00000000">
      <w:pPr>
        <w:pStyle w:val="Heading1"/>
      </w:pPr>
      <w:r>
        <w:t>5. Osiris's Memory: Historical Analogues and Pattern Matches</w:t>
      </w:r>
    </w:p>
    <w:p w:rsidR="001C6041" w:rsidRDefault="00000000">
      <w:pPr>
        <w:spacing w:before="100" w:after="100" w:line="276" w:lineRule="auto"/>
        <w:jc w:val="both"/>
      </w:pPr>
      <w:r>
        <w:t>Osiris identified two historical analogues with high pattern-match confidence. Both are drawn from the DSSM's existing analysis of institutional fossilization and transition legitimacy. Table 3 shows the full analogue record.</w:t>
      </w:r>
    </w:p>
    <w:p w:rsidR="001C6041" w:rsidRDefault="001C6041">
      <w:pPr>
        <w:spacing w:before="120"/>
      </w:pPr>
    </w:p>
    <w:p w:rsidR="001C6041" w:rsidRDefault="00000000">
      <w:pPr>
        <w:spacing w:before="100" w:after="100" w:line="276" w:lineRule="auto"/>
        <w:jc w:val="center"/>
      </w:pPr>
      <w:r>
        <w:rPr>
          <w:b/>
          <w:bCs/>
          <w:color w:val="2E4A7A"/>
          <w:sz w:val="20"/>
          <w:szCs w:val="20"/>
        </w:rPr>
        <w:t>Table 3: Osiris Historical Analogue Record — Cycle 1</w:t>
      </w:r>
    </w:p>
    <w:p w:rsidR="001C6041" w:rsidRDefault="001C6041">
      <w:pPr>
        <w:spacing w:before="60"/>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000"/>
        <w:gridCol w:w="1800"/>
        <w:gridCol w:w="2000"/>
        <w:gridCol w:w="3060"/>
      </w:tblGrid>
      <w:tr w:rsidR="001C6041">
        <w:trPr>
          <w:tblHeader/>
        </w:trPr>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Historical Analogue</w:t>
            </w:r>
          </w:p>
        </w:tc>
        <w:tc>
          <w:tcPr>
            <w:tcW w:w="1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Date</w:t>
            </w:r>
          </w:p>
        </w:tc>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What Happened</w:t>
            </w:r>
          </w:p>
        </w:tc>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What Followed</w:t>
            </w:r>
          </w:p>
        </w:tc>
        <w:tc>
          <w:tcPr>
            <w:tcW w:w="30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Osiris Pattern Match Assessment</w:t>
            </w:r>
          </w:p>
        </w:tc>
      </w:tr>
      <w:tr w:rsidR="001C6041">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Roman Bureaucratic Fossilization</w:t>
            </w:r>
          </w:p>
        </w:tc>
        <w:tc>
          <w:tcPr>
            <w:tcW w:w="1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1A1A2E"/>
                <w:sz w:val="20"/>
                <w:szCs w:val="20"/>
              </w:rPr>
              <w:t>350–450 CE</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Administrative protocols persisted long after legitimacy substrate collapsed. Taxes collected by force in regions where imperial protection had ceased. Infrastructure degraded while extraction continued.</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Regional fragmentation accelerated. Peripheral actors defected to alternative governance structures providing actual services. Central authority became purely extractive until collapse.</w:t>
            </w:r>
          </w:p>
        </w:tc>
        <w:tc>
          <w:tcPr>
            <w:tcW w:w="3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2E4A7A"/>
                <w:sz w:val="20"/>
                <w:szCs w:val="20"/>
              </w:rPr>
              <w:t>DSSM Match: 9.1/10. Mechanism identical: legitimacy collapse precedes institutional collapse by 50–100 years. Extraction continues past legitimacy threshold. Defection cascade follows.</w:t>
            </w:r>
          </w:p>
        </w:tc>
      </w:tr>
      <w:tr w:rsidR="001C6041">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Nixon Shock / Bretton Woods Collapse</w:t>
            </w:r>
          </w:p>
        </w:tc>
        <w:tc>
          <w:tcPr>
            <w:tcW w:w="1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1A1A2E"/>
                <w:sz w:val="20"/>
                <w:szCs w:val="20"/>
              </w:rPr>
              <w:t>August 1971</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 xml:space="preserve">Unilateral exit from shared symbolic monetary architecture. </w:t>
            </w:r>
            <w:r>
              <w:rPr>
                <w:color w:val="1A1A2E"/>
                <w:sz w:val="20"/>
                <w:szCs w:val="20"/>
              </w:rPr>
              <w:lastRenderedPageBreak/>
              <w:t>Dollar-gold convertibility suspended. No replacement architecture existed at moment of exit.</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lastRenderedPageBreak/>
              <w:t xml:space="preserve">Petrodollar architecture emerged 1973–74, re-anchoring dollar hegemony. </w:t>
            </w:r>
            <w:r>
              <w:rPr>
                <w:color w:val="1A1A2E"/>
                <w:sz w:val="20"/>
                <w:szCs w:val="20"/>
              </w:rPr>
              <w:lastRenderedPageBreak/>
              <w:t>Transition period produced inflation cascade, commodity volatility, competing coordination attempts. Restabilized only after new extraction protocol established.</w:t>
            </w:r>
          </w:p>
        </w:tc>
        <w:tc>
          <w:tcPr>
            <w:tcW w:w="3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2E4A7A"/>
                <w:sz w:val="20"/>
                <w:szCs w:val="20"/>
              </w:rPr>
              <w:lastRenderedPageBreak/>
              <w:t xml:space="preserve">DSSM Match: 8.4/10. Critical difference: Nixon's architects built replacement architecture within 24 months. No equivalent replacement </w:t>
            </w:r>
            <w:r>
              <w:rPr>
                <w:color w:val="2E4A7A"/>
                <w:sz w:val="20"/>
                <w:szCs w:val="20"/>
              </w:rPr>
              <w:lastRenderedPageBreak/>
              <w:t>symbolic architecture currently exists for AI governance. Transition vulnerability window is open and extending.</w:t>
            </w:r>
          </w:p>
        </w:tc>
      </w:tr>
    </w:tbl>
    <w:p w:rsidR="001C6041" w:rsidRDefault="00000000">
      <w:pPr>
        <w:spacing w:before="100" w:after="100" w:line="276" w:lineRule="auto"/>
        <w:jc w:val="center"/>
      </w:pPr>
      <w:r>
        <w:rPr>
          <w:i/>
          <w:iCs/>
          <w:color w:val="555555"/>
          <w:sz w:val="18"/>
          <w:szCs w:val="18"/>
        </w:rPr>
        <w:lastRenderedPageBreak/>
        <w:t>Table 3. Osiris's two high-confidence historical analogues with match scores and what-followed narratives.</w:t>
      </w:r>
    </w:p>
    <w:p w:rsidR="001C6041" w:rsidRDefault="001C6041">
      <w:pPr>
        <w:spacing w:before="80"/>
      </w:pPr>
    </w:p>
    <w:p w:rsidR="001C6041" w:rsidRDefault="00000000">
      <w:pPr>
        <w:spacing w:before="100" w:after="100" w:line="276" w:lineRule="auto"/>
        <w:jc w:val="both"/>
      </w:pPr>
      <w:r>
        <w:t>The Roman analogue carries the highest match score (9.1/10) because the mechanism is most precisely replicated: administrative protocols persist and extraction continues long after the legitimacy that justified them has dissolved. The DSSM's analysis of Roman institutional collapse identified this sequence as the critical failure pattern — not the collapse itself, which came last, but the extended period of fossilized extraction during which peripheral actors accumulated defection pressure without yet triggering cascade. The H-1B system, credential frameworks, and IP governance structures of global knowledge-work are currently in this fossilized extraction phase. They function. They collect. They no longer provide proportional return to peripheral participants.</w:t>
      </w:r>
    </w:p>
    <w:p w:rsidR="001C6041" w:rsidRDefault="00000000">
      <w:pPr>
        <w:spacing w:before="100" w:after="100" w:line="276" w:lineRule="auto"/>
        <w:jc w:val="both"/>
      </w:pPr>
      <w:r>
        <w:t>The Bretton Woods analogue carries a lower match score (8.4/10) but provides the most important structural insight: the Nixon shock produced a successful restabilization because replacement symbolic architecture was built within 24 months. The petrodollar was not elegant. It was extractive and geopolitically coercive. But it provided a shared symbolic grammar through which dollar hegemony could be re-anchored. No equivalent replacement architecture currently exists for AI governance. The transition vulnerability window is open and, based on Osiris's pattern match, extending.</w:t>
      </w:r>
    </w:p>
    <w:p w:rsidR="001C6041" w:rsidRDefault="001C6041">
      <w:pPr>
        <w:spacing w:before="80"/>
      </w:pPr>
    </w:p>
    <w:p w:rsidR="001C6041" w:rsidRDefault="00000000">
      <w:pPr>
        <w:pStyle w:val="Heading1"/>
      </w:pPr>
      <w:r>
        <w:t>6. The Core DSSM Analysis: Legitimacy, Velocity, and Transition Risk</w:t>
      </w:r>
    </w:p>
    <w:p w:rsidR="001C6041" w:rsidRDefault="00000000">
      <w:pPr>
        <w:spacing w:before="100" w:after="100" w:line="276" w:lineRule="auto"/>
        <w:jc w:val="both"/>
      </w:pPr>
      <w:r>
        <w:t>The synthesis across Thoth's scores, Set's challenges, and Osiris's analogues produces a clear DSSM diagnostic: we are in the early phase of a symbolic architecture transition that has begun without a replacement architecture in place, at a velocity that may exceed the absorption capacity of existing governance frameworks, with legitimacy erosion already measurable in peripheral populations.</w:t>
      </w:r>
    </w:p>
    <w:p w:rsidR="001C6041" w:rsidRDefault="00000000">
      <w:pPr>
        <w:spacing w:before="100" w:after="100" w:line="276" w:lineRule="auto"/>
        <w:jc w:val="both"/>
      </w:pPr>
      <w:r>
        <w:t xml:space="preserve">The DSSM distinguishes between three phases of institutional transition. In Phase 1, the legitimacy substrate of the existing architecture erodes while the administrative protocols continue to function. Extraction continues. Peripheral actors begin to perceive the disconnect between participation cost </w:t>
      </w:r>
      <w:r>
        <w:lastRenderedPageBreak/>
        <w:t>and participation return. Defection pressure accumulates. In Phase 2, defection begins — initially isolated, then cascading. Alternative governance structures emerge. The existing architecture responds with increased extraction pressure (regulatory hardening, enforcement escalation) which accelerates rather than arrests defection. In Phase 3, the existing architecture either successfully builds a replacement symbolic grammar that re-legitimates the coordination system, or it fragments into incompatible regional architectures that require a new legitimacy crisis and a new transition to eventually stabilize.</w:t>
      </w:r>
    </w:p>
    <w:p w:rsidR="001C6041" w:rsidRDefault="00000000">
      <w:pPr>
        <w:spacing w:before="100" w:after="100" w:line="276" w:lineRule="auto"/>
        <w:jc w:val="both"/>
      </w:pPr>
      <w:r>
        <w:t>Cycle 1's signal locates the current AI governance situation at the late Phase 1 to early Phase 2 boundary. Legitimacy erosion is measurable. Defection has begun in isolated instances (open-source AI development that bypasses Western governance frameworks; non-Western state actors building parallel AI infrastructure deliberately outside existing coordination structures). The transition vulnerability window is open. The question Osiris will track — and the question Paper 42 will begin to answer — is whether Phase 2 produces a replacement symbolic architecture or a cascade.</w:t>
      </w:r>
    </w:p>
    <w:p w:rsidR="001C6041" w:rsidRDefault="00000000">
      <w:pPr>
        <w:spacing w:before="100" w:after="100" w:line="276" w:lineRule="auto"/>
        <w:jc w:val="both"/>
      </w:pPr>
      <w:r>
        <w:t>The DSSM's historical record on this question is not reassuring. Of the major institutional transitions the framework has analyzed — agricultural emergence, writing adoption, urbanization, industrialization, Bretton Woods — successful transitions to replacement architecture have consistently required three conditions: peripheral actor inclusion in the design of the replacement grammar; legitimacy establishment before infrastructure construction; and a decision velocity slow enough for symbolic absorption. None of these three conditions is currently present in AI governance.</w:t>
      </w:r>
    </w:p>
    <w:p w:rsidR="001C6041" w:rsidRDefault="001C6041">
      <w:pPr>
        <w:spacing w:before="80"/>
      </w:pPr>
    </w:p>
    <w:p w:rsidR="001C6041" w:rsidRDefault="00000000">
      <w:pPr>
        <w:pStyle w:val="Heading1"/>
      </w:pPr>
      <w:r>
        <w:t>7. DSSM Prescriptions: What the Framework Recommends</w:t>
      </w:r>
    </w:p>
    <w:p w:rsidR="001C6041" w:rsidRDefault="00000000">
      <w:pPr>
        <w:spacing w:before="100" w:after="100" w:line="276" w:lineRule="auto"/>
        <w:jc w:val="both"/>
      </w:pPr>
      <w:r>
        <w:t>The DSSM generates four prescriptions from Cycle 1's analysis. These are not policy recommendations in the conventional sense — they are structural interventions derived from the framework's model of what makes symbolic architectures stable under transition stress. Table 4 shows the full prescription record.</w:t>
      </w:r>
    </w:p>
    <w:p w:rsidR="001C6041" w:rsidRDefault="001C6041">
      <w:pPr>
        <w:spacing w:before="120"/>
      </w:pPr>
    </w:p>
    <w:p w:rsidR="001C6041" w:rsidRDefault="00000000">
      <w:pPr>
        <w:spacing w:before="100" w:after="100" w:line="276" w:lineRule="auto"/>
        <w:jc w:val="center"/>
      </w:pPr>
      <w:r>
        <w:rPr>
          <w:b/>
          <w:bCs/>
          <w:color w:val="2E4A7A"/>
          <w:sz w:val="20"/>
          <w:szCs w:val="20"/>
        </w:rPr>
        <w:t>Table 4: DSSM Prescriptions — Cycle 1</w:t>
      </w:r>
    </w:p>
    <w:p w:rsidR="001C6041" w:rsidRDefault="001C6041">
      <w:pPr>
        <w:spacing w:before="60"/>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82"/>
        <w:gridCol w:w="1214"/>
        <w:gridCol w:w="1586"/>
        <w:gridCol w:w="1968"/>
        <w:gridCol w:w="3110"/>
      </w:tblGrid>
      <w:tr w:rsidR="001C6041">
        <w:trPr>
          <w:tblHeader/>
        </w:trPr>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Prescription</w:t>
            </w:r>
          </w:p>
        </w:tc>
        <w:tc>
          <w:tcPr>
            <w:tcW w:w="1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Priority</w:t>
            </w:r>
          </w:p>
        </w:tc>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Timing</w:t>
            </w:r>
          </w:p>
        </w:tc>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Rationale</w:t>
            </w:r>
          </w:p>
        </w:tc>
        <w:tc>
          <w:tcPr>
            <w:tcW w:w="32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Operational Specification</w:t>
            </w:r>
          </w:p>
        </w:tc>
      </w:tr>
      <w:tr w:rsidR="001C6041">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P1 — 48-Hour Buffer</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8B0000"/>
                <w:sz w:val="20"/>
                <w:szCs w:val="20"/>
              </w:rPr>
              <w:t>CRITICAL</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1A1A2E"/>
                <w:sz w:val="20"/>
                <w:szCs w:val="20"/>
              </w:rPr>
              <w:t>Immediate</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 xml:space="preserve">All major AI governance decisions should operate on a minimum 48-hour deliberation interval. Panic-driven coordination collapses are the primary near-term risk. Velocity of current regulatory </w:t>
            </w:r>
            <w:r>
              <w:rPr>
                <w:color w:val="1A1A2E"/>
                <w:sz w:val="20"/>
                <w:szCs w:val="20"/>
              </w:rPr>
              <w:lastRenderedPageBreak/>
              <w:t>responses (executive orders, emergency bans) is approaching the DSSM escalation threshold.</w:t>
            </w:r>
          </w:p>
        </w:tc>
        <w:tc>
          <w:tcPr>
            <w:tcW w:w="3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6B2A"/>
                <w:sz w:val="20"/>
                <w:szCs w:val="20"/>
              </w:rPr>
              <w:lastRenderedPageBreak/>
              <w:t>Design the AIGCC with mandatory 48-hour minimum decision intervals. No emergency governance action without 48-hour cooling period except in conditions of direct infrastructure attack.</w:t>
            </w:r>
          </w:p>
        </w:tc>
      </w:tr>
      <w:tr w:rsidR="001C6041">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P2 — Redundant Channels</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2E4A7A"/>
                <w:sz w:val="20"/>
                <w:szCs w:val="20"/>
              </w:rPr>
              <w:t>HIGH</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1A1A2E"/>
                <w:sz w:val="20"/>
                <w:szCs w:val="20"/>
              </w:rPr>
              <w:t>3–6 months</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Multiple AI governance channels operating through a common symbolic grammar create more resilience than either unified law or pure fragmentation. The grammar must precede the infrastructure.</w:t>
            </w:r>
          </w:p>
        </w:tc>
        <w:tc>
          <w:tcPr>
            <w:tcW w:w="3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6B2A"/>
                <w:sz w:val="20"/>
                <w:szCs w:val="20"/>
              </w:rPr>
              <w:t>Establish parallel coordination tracks: formal interstate (AIGCC), corporate self-governance (voluntary standards), academic (research coordination protocols), open-source (commons governance). All use the same symbolic grammar but operate independently.</w:t>
            </w:r>
          </w:p>
        </w:tc>
      </w:tr>
      <w:tr w:rsidR="001C6041">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P3 — Peripheral Inclusion</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8B0000"/>
                <w:sz w:val="20"/>
                <w:szCs w:val="20"/>
              </w:rPr>
              <w:t>CRITICAL</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1A1A2E"/>
                <w:sz w:val="20"/>
                <w:szCs w:val="20"/>
              </w:rPr>
              <w:t>Before any infrastructure</w:t>
            </w:r>
          </w:p>
        </w:tc>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Legitimacy must precede infrastructure. The AIGCC must include Indian technologists, African research institutions, non-Western AI developers, and labour representatives from displaced knowledge-work sectors before any coordination infrastructure is built. Without peripheral inclusion, the council replicates the extraction architecture it is meant to replace.</w:t>
            </w:r>
          </w:p>
        </w:tc>
        <w:tc>
          <w:tcPr>
            <w:tcW w:w="3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6B2A"/>
                <w:sz w:val="20"/>
                <w:szCs w:val="20"/>
              </w:rPr>
              <w:t>Osiris pattern match confirms: every failed transition analogue (Roman collapse, Bretton Woods crisis) was accelerated by exclusion of peripheral actors from legitimacy reconstruction. Every successful one (petrodollar, post-WWII Bretton Woods) included key peripheral stakeholders at the design stage.</w:t>
            </w:r>
          </w:p>
        </w:tc>
      </w:tr>
      <w:tr w:rsidR="001C6041">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P4 — Legitimacy Before Infrastructure</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2E4A7A"/>
                <w:sz w:val="20"/>
                <w:szCs w:val="20"/>
              </w:rPr>
              <w:t>HIGH</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1A1A2E"/>
                <w:sz w:val="20"/>
                <w:szCs w:val="20"/>
              </w:rPr>
              <w:t>Concurrent with P3</w:t>
            </w:r>
          </w:p>
        </w:tc>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 xml:space="preserve">The AIGCC must be designed as symbolic architecture — a shared grammar for interoperability — not as a </w:t>
            </w:r>
            <w:r>
              <w:rPr>
                <w:color w:val="1A1A2E"/>
                <w:sz w:val="20"/>
                <w:szCs w:val="20"/>
              </w:rPr>
              <w:lastRenderedPageBreak/>
              <w:t>regulatory body. Rules and enforcement come after legitimacy is established, not before.</w:t>
            </w:r>
          </w:p>
        </w:tc>
        <w:tc>
          <w:tcPr>
            <w:tcW w:w="3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6B2A"/>
                <w:sz w:val="20"/>
                <w:szCs w:val="20"/>
              </w:rPr>
              <w:lastRenderedPageBreak/>
              <w:t xml:space="preserve">The distinction is precise: a regulatory body without legitimacy is an extraction mechanism. A symbolic architecture with legitimacy is a coordination grammar. The </w:t>
            </w:r>
            <w:r>
              <w:rPr>
                <w:color w:val="1A6B2A"/>
                <w:sz w:val="20"/>
                <w:szCs w:val="20"/>
              </w:rPr>
              <w:lastRenderedPageBreak/>
              <w:t>sequence is non-negotiable from the DSSM perspective.</w:t>
            </w:r>
          </w:p>
        </w:tc>
      </w:tr>
    </w:tbl>
    <w:p w:rsidR="001C6041" w:rsidRDefault="00000000">
      <w:pPr>
        <w:spacing w:before="100" w:after="100" w:line="276" w:lineRule="auto"/>
        <w:jc w:val="center"/>
      </w:pPr>
      <w:r>
        <w:rPr>
          <w:i/>
          <w:iCs/>
          <w:color w:val="555555"/>
          <w:sz w:val="18"/>
          <w:szCs w:val="18"/>
        </w:rPr>
        <w:lastRenderedPageBreak/>
        <w:t>Table 4. Four DSSM prescriptions with priority, timing, rationale, and operational specification.</w:t>
      </w:r>
    </w:p>
    <w:p w:rsidR="001C6041" w:rsidRDefault="001C6041">
      <w:pPr>
        <w:spacing w:before="80"/>
      </w:pPr>
    </w:p>
    <w:p w:rsidR="001C6041" w:rsidRDefault="00000000">
      <w:pPr>
        <w:spacing w:before="100" w:after="100" w:line="276" w:lineRule="auto"/>
        <w:jc w:val="both"/>
      </w:pPr>
      <w:r>
        <w:t>The prescriptions converge on a single structural intervention: the establishment of an International AI Governance Coordination Council (AIGCC) designed as symbolic architecture rather than regulatory body. The distinction is precise and non-negotiable from the DSSM perspective. A regulatory body without legitimacy is an extraction mechanism — it enforces compliance without providing proportional return to those it governs. A symbolic architecture with legitimacy is a coordination grammar — it reduces the cost of coordination by providing shared language through which diverse actors can interoperate without requiring unified law.</w:t>
      </w:r>
    </w:p>
    <w:p w:rsidR="001C6041" w:rsidRDefault="00000000">
      <w:pPr>
        <w:spacing w:before="100" w:after="100" w:line="276" w:lineRule="auto"/>
        <w:jc w:val="both"/>
      </w:pPr>
      <w:r>
        <w:t>The AIGCC must be built in the correct sequence. Peripheral inclusion first. Legitimacy establishment second. Coordination grammar third. Infrastructure fourth. Regulatory capacity — if it ever comes — last. Every historical case where this sequence was reversed produced either failed institutions (the League of Nations, TRIPS enforcement in developing economies) or successful institutions with embedded extraction logic that eventually triggered the defection cascades they were designed to prevent.</w:t>
      </w:r>
    </w:p>
    <w:p w:rsidR="001C6041" w:rsidRDefault="001C6041">
      <w:pPr>
        <w:spacing w:before="80"/>
      </w:pPr>
    </w:p>
    <w:p w:rsidR="001C6041" w:rsidRDefault="00000000">
      <w:pPr>
        <w:pStyle w:val="Heading1"/>
      </w:pPr>
      <w:r>
        <w:t>8. Horus's Assessment: Sovereign Review</w:t>
      </w:r>
    </w:p>
    <w:p w:rsidR="001C6041" w:rsidRDefault="00000000">
      <w:pPr>
        <w:spacing w:before="100" w:after="100" w:line="276" w:lineRule="auto"/>
        <w:jc w:val="both"/>
      </w:pPr>
      <w:r>
        <w:t>The system's analysis is structurally sound. The signal is real. The Roman analogue is the most important single output of Cycle 1 — not because the collapse of Rome is inevitable but because the mechanism it identifies (fossilized extraction persisting after legitimacy collapse) is precisely the dynamic that is least visible to actors inside the system and most dangerous when it finally triggers cascade.</w:t>
      </w:r>
    </w:p>
    <w:p w:rsidR="001C6041" w:rsidRDefault="00000000">
      <w:pPr>
        <w:spacing w:before="100" w:after="100" w:line="276" w:lineRule="auto"/>
        <w:jc w:val="both"/>
      </w:pPr>
      <w:r>
        <w:t>Set's challenge deserves more weight than Thoth's initial scoring gave it. The question of whether AI development's network effects create stabilizing rather than destabilizing pressures is genuinely open. The DSSM's historical cases all operated at human institutional velocity. The question of whether the framework's dynamics scale to AI development velocity — where transition timescales are compressed from decades to years — is the empirical question this system will spend the next twelve months beginning to answer.</w:t>
      </w:r>
    </w:p>
    <w:p w:rsidR="001C6041" w:rsidRDefault="00000000">
      <w:pPr>
        <w:spacing w:before="100" w:after="100" w:line="276" w:lineRule="auto"/>
        <w:jc w:val="both"/>
      </w:pPr>
      <w:r>
        <w:t xml:space="preserve">The prescription for the AIGCC is correct in principle but faces a coordination problem the framework acknowledges without fully resolving: the actors most capable of building the AIGCC (US, EU, China) are currently the least incentivized to include peripheral actors in its design, because inclusion would constrain their extraction capacity. The DSSM predicts this incentive structure leads to either failed institution or cascade. The question is whether any actor within the existing system has sufficient </w:t>
      </w:r>
      <w:r>
        <w:lastRenderedPageBreak/>
        <w:t>interest in system stability over extraction optimization to break the pattern. The historical record on this question is mixed.</w:t>
      </w:r>
    </w:p>
    <w:p w:rsidR="001C6041" w:rsidRDefault="00000000">
      <w:pPr>
        <w:spacing w:before="100" w:after="100" w:line="276" w:lineRule="auto"/>
        <w:jc w:val="both"/>
      </w:pPr>
      <w:r>
        <w:t>Osiris is instructed to weight the following signal most heavily in subsequent cycles: evidence of peripheral actor organization — whether Indian technology consortia, African AI research institutions, or open-source governance collectives — moving from passive defection to active alternative architecture construction. That transition, when it becomes measurable, marks the Phase 2 boundary. From the Roman analogue, that boundary precedes cascade by approximately one to three decades at institutional velocity. At AI velocity, the lag may compress significantly.</w:t>
      </w:r>
    </w:p>
    <w:p w:rsidR="001C6041" w:rsidRDefault="001C6041">
      <w:pPr>
        <w:spacing w:before="80"/>
      </w:pPr>
    </w:p>
    <w:p w:rsidR="001C6041" w:rsidRDefault="00000000">
      <w:pPr>
        <w:pStyle w:val="Heading1"/>
      </w:pPr>
      <w:r>
        <w:t>9. Osiris's Forward Watch: Four Signals to Track</w:t>
      </w:r>
    </w:p>
    <w:p w:rsidR="001C6041" w:rsidRDefault="00000000">
      <w:pPr>
        <w:spacing w:before="100" w:after="100" w:line="276" w:lineRule="auto"/>
        <w:jc w:val="both"/>
      </w:pPr>
      <w:r>
        <w:t>Osiris establishes four forward watch signals derived from the Cycle 1 analysis and the historical analogues. These signals will be tracked in every subsequent cycle. When they trigger, they will constitute the first empirical test of the DSSM's predictive validity on live AI governance data. Table 5 shows the full forward watch record.</w:t>
      </w:r>
    </w:p>
    <w:p w:rsidR="001C6041" w:rsidRDefault="001C6041">
      <w:pPr>
        <w:spacing w:before="120"/>
      </w:pPr>
    </w:p>
    <w:p w:rsidR="001C6041" w:rsidRDefault="00000000">
      <w:pPr>
        <w:spacing w:before="100" w:after="100" w:line="276" w:lineRule="auto"/>
        <w:jc w:val="center"/>
      </w:pPr>
      <w:r>
        <w:rPr>
          <w:b/>
          <w:bCs/>
          <w:color w:val="2E4A7A"/>
          <w:sz w:val="20"/>
          <w:szCs w:val="20"/>
        </w:rPr>
        <w:t>Table 5: Osiris Forward Watch — Cycle 1</w:t>
      </w:r>
    </w:p>
    <w:p w:rsidR="001C6041" w:rsidRDefault="001C6041">
      <w:pPr>
        <w:spacing w:before="60"/>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1800"/>
        <w:gridCol w:w="4060"/>
      </w:tblGrid>
      <w:tr w:rsidR="001C6041">
        <w:trPr>
          <w:tblHeader/>
        </w:trPr>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Watch Signal</w:t>
            </w:r>
          </w:p>
        </w:tc>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Expected Window</w:t>
            </w:r>
          </w:p>
        </w:tc>
        <w:tc>
          <w:tcPr>
            <w:tcW w:w="18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Probability</w:t>
            </w:r>
          </w:p>
        </w:tc>
        <w:tc>
          <w:tcPr>
            <w:tcW w:w="40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1C6041" w:rsidRDefault="00000000">
            <w:pPr>
              <w:jc w:val="center"/>
            </w:pPr>
            <w:r>
              <w:rPr>
                <w:b/>
                <w:bCs/>
                <w:color w:val="FFFFFF"/>
                <w:sz w:val="20"/>
                <w:szCs w:val="20"/>
              </w:rPr>
              <w:t>Osiris Rationale and Analogue</w:t>
            </w:r>
          </w:p>
        </w:tc>
      </w:tr>
      <w:tr w:rsidR="001C6041">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First major AI governance defection event</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1A1A2E"/>
                <w:sz w:val="20"/>
                <w:szCs w:val="20"/>
              </w:rPr>
              <w:t>30–90 days</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8B0000"/>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A significant peripheral actor — likely an Indian technology consortium, African AI research institution, or major open-source collective — publicly exits or refuses to participate in a Western-led AI governance framework. This is the first measurable defection signal. Osiris flags this as the Roman provincial defection analogue.</w:t>
            </w:r>
          </w:p>
        </w:tc>
      </w:tr>
      <w:tr w:rsidR="001C6041">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t>Replacement symbolic architecture proposal</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1A1A2E"/>
                <w:sz w:val="20"/>
                <w:szCs w:val="20"/>
              </w:rPr>
              <w:t>90–180 days</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8B6914"/>
                <w:sz w:val="20"/>
                <w:szCs w:val="20"/>
              </w:rPr>
              <w:t>MEDIUM</w:t>
            </w:r>
          </w:p>
        </w:tc>
        <w:tc>
          <w:tcPr>
            <w:tcW w:w="4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A credible alternative to current fragmented governance frameworks emerges — either from the Global South, from open-source communities, or from a non-Western state actor. Analogous to the petrodollar proposal emerging after the Nixon shock. If no replacement architecture appears within 180 days, cascade risk elevates significantly.</w:t>
            </w:r>
          </w:p>
        </w:tc>
      </w:tr>
      <w:tr w:rsidR="001C6041">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b/>
                <w:bCs/>
                <w:color w:val="2E4A7A"/>
                <w:sz w:val="20"/>
                <w:szCs w:val="20"/>
              </w:rPr>
              <w:t>Knowledge-work displacement threshold crossing</w:t>
            </w:r>
          </w:p>
        </w:tc>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color w:val="1A1A2E"/>
                <w:sz w:val="20"/>
                <w:szCs w:val="20"/>
              </w:rPr>
              <w:t>60–120 days</w:t>
            </w:r>
          </w:p>
        </w:tc>
        <w:tc>
          <w:tcPr>
            <w:tcW w:w="18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pPr>
              <w:jc w:val="center"/>
            </w:pPr>
            <w:r>
              <w:rPr>
                <w:b/>
                <w:bCs/>
                <w:color w:val="8B0000"/>
                <w:sz w:val="20"/>
                <w:szCs w:val="20"/>
              </w:rPr>
              <w:t>HIGH</w:t>
            </w:r>
          </w:p>
        </w:tc>
        <w:tc>
          <w:tcPr>
            <w:tcW w:w="4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1C6041" w:rsidRDefault="00000000">
            <w:r>
              <w:rPr>
                <w:color w:val="1A1A2E"/>
                <w:sz w:val="20"/>
                <w:szCs w:val="20"/>
              </w:rPr>
              <w:t xml:space="preserve">Measurable wage compression in previously insulated knowledge-work categories (senior software engineering, data science, legal research) in at least two major offshore labour markets. This is the signal that the extraction protocol shift has reached the symbolic legitimacy threshold — not just capital allocation but </w:t>
            </w:r>
            <w:r>
              <w:rPr>
                <w:color w:val="1A1A2E"/>
                <w:sz w:val="20"/>
                <w:szCs w:val="20"/>
              </w:rPr>
              <w:lastRenderedPageBreak/>
              <w:t>actual income impact on peripheral populations.</w:t>
            </w:r>
          </w:p>
        </w:tc>
      </w:tr>
      <w:tr w:rsidR="001C6041">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b/>
                <w:bCs/>
                <w:color w:val="2E4A7A"/>
                <w:sz w:val="20"/>
                <w:szCs w:val="20"/>
              </w:rPr>
              <w:lastRenderedPageBreak/>
              <w:t>AI governance framework convergence or divergence</w:t>
            </w:r>
          </w:p>
        </w:tc>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color w:val="1A1A2E"/>
                <w:sz w:val="20"/>
                <w:szCs w:val="20"/>
              </w:rPr>
              <w:t>180–365 days</w:t>
            </w:r>
          </w:p>
        </w:tc>
        <w:tc>
          <w:tcPr>
            <w:tcW w:w="18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pPr>
              <w:jc w:val="center"/>
            </w:pPr>
            <w:r>
              <w:rPr>
                <w:b/>
                <w:bCs/>
                <w:color w:val="8B6914"/>
                <w:sz w:val="20"/>
                <w:szCs w:val="20"/>
              </w:rPr>
              <w:t>MEDIUM</w:t>
            </w:r>
          </w:p>
        </w:tc>
        <w:tc>
          <w:tcPr>
            <w:tcW w:w="4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1C6041" w:rsidRDefault="00000000">
            <w:r>
              <w:rPr>
                <w:color w:val="1A1A2E"/>
                <w:sz w:val="20"/>
                <w:szCs w:val="20"/>
              </w:rPr>
              <w:t>By end of 2026, the EU AI Act implementation, US regulatory posture, Chinese algorithmic governance, and Indian data frameworks will either begin converging toward a shared symbolic grammar or will have hardened into incompatible architectures. This is the critical bifurcation point. Osiris will track quarterly.</w:t>
            </w:r>
          </w:p>
        </w:tc>
      </w:tr>
    </w:tbl>
    <w:p w:rsidR="001C6041" w:rsidRDefault="00000000">
      <w:pPr>
        <w:spacing w:before="100" w:after="100" w:line="276" w:lineRule="auto"/>
        <w:jc w:val="center"/>
      </w:pPr>
      <w:r>
        <w:rPr>
          <w:i/>
          <w:iCs/>
          <w:color w:val="555555"/>
          <w:sz w:val="18"/>
          <w:szCs w:val="18"/>
        </w:rPr>
        <w:t>Table 5. Four forward watch signals with expected windows, probability assessments, and Osiris's analogue rationale.</w:t>
      </w:r>
    </w:p>
    <w:p w:rsidR="001C6041" w:rsidRDefault="001C6041">
      <w:pPr>
        <w:spacing w:before="80"/>
      </w:pPr>
    </w:p>
    <w:p w:rsidR="001C6041" w:rsidRDefault="00000000">
      <w:pPr>
        <w:spacing w:before="100" w:after="100" w:line="276" w:lineRule="auto"/>
        <w:jc w:val="both"/>
      </w:pPr>
      <w:r>
        <w:t>The forward watch signals are not predictions in the deterministic sense. They are the measurable events that the DSSM predicts should follow from the current signal configuration if the framework's model of institutional transition is correct. If the signals appear within the predicted windows, the DSSM's predictive validity on this domain is supported. If they do not — if network effects stabilize the governance situation, if convergence occurs without peripheral inclusion, if the transition proceeds without the defection cascade the framework predicts — that is equally important empirical information. Set's challenge remains open. Osiris will track the answer.</w:t>
      </w:r>
    </w:p>
    <w:p w:rsidR="001C6041" w:rsidRDefault="001C6041">
      <w:pPr>
        <w:spacing w:before="80"/>
      </w:pPr>
    </w:p>
    <w:p w:rsidR="001C6041" w:rsidRDefault="00000000">
      <w:pPr>
        <w:pStyle w:val="Heading1"/>
      </w:pPr>
      <w:r>
        <w:t>10. What This Cycle Establishes</w:t>
      </w:r>
    </w:p>
    <w:p w:rsidR="001C6041" w:rsidRDefault="00000000">
      <w:pPr>
        <w:spacing w:before="100" w:after="100" w:line="276" w:lineRule="auto"/>
        <w:jc w:val="both"/>
      </w:pPr>
      <w:r>
        <w:t>Cycle 1 establishes four things that are independent of whether its specific analytical conclusions prove correct.</w:t>
      </w:r>
    </w:p>
    <w:p w:rsidR="001C6041" w:rsidRDefault="00000000">
      <w:pPr>
        <w:spacing w:before="100" w:after="100" w:line="276" w:lineRule="auto"/>
        <w:jc w:val="both"/>
      </w:pPr>
      <w:r>
        <w:t>First, it establishes that the NETJERU system produces coherent DSSM-grounded analysis from live civilizational data. The signal quality is genuine. The framework has analytical purchase on the domain. The agents functioned as specified in Paper 40.</w:t>
      </w:r>
    </w:p>
    <w:p w:rsidR="001C6041" w:rsidRDefault="00000000">
      <w:pPr>
        <w:spacing w:before="100" w:after="100" w:line="276" w:lineRule="auto"/>
        <w:jc w:val="both"/>
      </w:pPr>
      <w:r>
        <w:t>Second, it establishes a timestamped baseline. The scores, analogues, challenges, and prescriptions of Cycle 1 are now on record. In twelve months, the empirical record will show whether the DSSM predictions were directionally correct, whether the forward watch signals appeared, and whether the prescribed interventions — had they been implemented — would have been timely.</w:t>
      </w:r>
    </w:p>
    <w:p w:rsidR="001C6041" w:rsidRDefault="00000000">
      <w:pPr>
        <w:spacing w:before="100" w:after="100" w:line="276" w:lineRule="auto"/>
        <w:jc w:val="both"/>
      </w:pPr>
      <w:r>
        <w:t>Third, it establishes that Set's adversarial function is essential and cannot be reduced to theatre. The challenge to the rationality-versus-legitimacy distinction is genuine and unresolved. The score reductions are honest. A system that only confirms its own framework's predictions is not an intelligence system — it is a propaganda generator. Set prevents that.</w:t>
      </w:r>
    </w:p>
    <w:p w:rsidR="001C6041" w:rsidRDefault="00000000">
      <w:pPr>
        <w:spacing w:before="100" w:after="100" w:line="276" w:lineRule="auto"/>
        <w:jc w:val="both"/>
      </w:pPr>
      <w:r>
        <w:t xml:space="preserve">Fourth, it establishes that the distinction between Osiris's historical memory and Thoth's current scoring is the most productive analytical tension in the system. Thoth sees what is happening now. Osiris sees where this has happened before and what followed. The gap between them — the </w:t>
      </w:r>
      <w:r>
        <w:lastRenderedPageBreak/>
        <w:t>question of whether this time is different — is where the actual analytical work lives. That gap is what subsequent cycles will progressively narrow.</w:t>
      </w:r>
    </w:p>
    <w:p w:rsidR="001C6041" w:rsidRDefault="001C6041">
      <w:pPr>
        <w:spacing w:before="80"/>
      </w:pPr>
    </w:p>
    <w:p w:rsidR="001C6041" w:rsidRDefault="00000000">
      <w:pPr>
        <w:pStyle w:val="Heading1"/>
      </w:pPr>
      <w:r>
        <w:t>11. Conclusion: The Record Is Open</w:t>
      </w:r>
    </w:p>
    <w:p w:rsidR="001C6041" w:rsidRDefault="00000000">
      <w:pPr>
        <w:spacing w:before="100" w:after="100" w:line="276" w:lineRule="auto"/>
        <w:jc w:val="both"/>
      </w:pPr>
      <w:r>
        <w:t>The first cycle is complete. The barque has made one full passage through the night and emerged.</w:t>
      </w:r>
    </w:p>
    <w:p w:rsidR="001C6041" w:rsidRDefault="00000000">
      <w:pPr>
        <w:spacing w:before="100" w:after="100" w:line="276" w:lineRule="auto"/>
        <w:jc w:val="both"/>
      </w:pPr>
      <w:r>
        <w:t>What Isis found is real. What Thoth scored is grounded. What Set challenged is honest. What Osiris remembers is precise. What the system produced — this paper — is the beginning of an empirical record that will, over the next twelve months, constitute the most systematic test of the DSSM's predictive validity that the framework has yet undergone.</w:t>
      </w:r>
    </w:p>
    <w:p w:rsidR="001C6041" w:rsidRDefault="00000000">
      <w:pPr>
        <w:spacing w:before="100" w:after="100" w:line="276" w:lineRule="auto"/>
        <w:jc w:val="both"/>
      </w:pPr>
      <w:r>
        <w:t>The record is open from March 23, 2026. Every subsequent cycle adds to it. Every forward watch signal that appears or fails to appear is data. Every score that the subsequent historical record validates or refutes is information. The framework will be tested not by its internal coherence — that was established in Papers 1 through 40 — but by its predictive accuracy on live civilizational events at AI velocity.</w:t>
      </w:r>
    </w:p>
    <w:p w:rsidR="001C6041" w:rsidRDefault="00000000">
      <w:pPr>
        <w:spacing w:before="100" w:after="100" w:line="276" w:lineRule="auto"/>
        <w:jc w:val="both"/>
      </w:pPr>
      <w:r>
        <w:t>That is what a load-bearing symbolic system looks like when it runs. Not certainty. Not prophecy. A structured engagement with the world that accumulates, consolidates, and gets better at reading what it reads every time it reads.</w:t>
      </w:r>
    </w:p>
    <w:p w:rsidR="001C6041" w:rsidRDefault="00000000">
      <w:pPr>
        <w:spacing w:before="100" w:after="100" w:line="276" w:lineRule="auto"/>
        <w:jc w:val="both"/>
      </w:pPr>
      <w:r>
        <w:t>The next cycle begins tomorrow.</w:t>
      </w:r>
    </w:p>
    <w:p w:rsidR="001C6041" w:rsidRDefault="001C6041">
      <w:pPr>
        <w:spacing w:before="80"/>
      </w:pPr>
    </w:p>
    <w:p w:rsidR="001C6041" w:rsidRDefault="001C6041">
      <w:pPr>
        <w:pBdr>
          <w:bottom w:val="single" w:sz="8" w:space="1" w:color="B8860B"/>
        </w:pBdr>
        <w:spacing w:before="200" w:after="200"/>
      </w:pPr>
    </w:p>
    <w:p w:rsidR="001C6041" w:rsidRDefault="00000000">
      <w:pPr>
        <w:pStyle w:val="Heading1"/>
      </w:pPr>
      <w:r>
        <w:t>References and Related DSSM Papers</w:t>
      </w:r>
    </w:p>
    <w:p w:rsidR="001C6041" w:rsidRDefault="001C6041">
      <w:pPr>
        <w:spacing w:before="60"/>
      </w:pPr>
    </w:p>
    <w:p w:rsidR="001C6041" w:rsidRDefault="00000000">
      <w:pPr>
        <w:pStyle w:val="Heading2"/>
      </w:pPr>
      <w:r>
        <w:t>Direct Predecessors</w:t>
      </w:r>
    </w:p>
    <w:p w:rsidR="001C6041" w:rsidRDefault="00000000">
      <w:pPr>
        <w:pStyle w:val="ListParagraph"/>
        <w:numPr>
          <w:ilvl w:val="0"/>
          <w:numId w:val="2"/>
        </w:numPr>
        <w:spacing w:before="60" w:after="60" w:line="276" w:lineRule="auto"/>
      </w:pPr>
      <w:r>
        <w:t>Hemakumara, A.V. (2026). NETJERU: A DSSM-Compliant Multi-Agent Intelligence System. DSSM Working Paper 4</w:t>
      </w:r>
      <w:r w:rsidR="00ED60D4">
        <w:rPr>
          <w:lang w:val="it-IT"/>
        </w:rPr>
        <w:t>2</w:t>
      </w:r>
      <w:r>
        <w:t>.</w:t>
      </w:r>
    </w:p>
    <w:p w:rsidR="001C6041" w:rsidRDefault="00000000">
      <w:pPr>
        <w:pStyle w:val="ListParagraph"/>
        <w:numPr>
          <w:ilvl w:val="0"/>
          <w:numId w:val="2"/>
        </w:numPr>
        <w:spacing w:before="60" w:after="60" w:line="276" w:lineRule="auto"/>
      </w:pPr>
      <w:r>
        <w:t>Hemakumara, A.V. (2026). The World as Fossilized Power. DSSM Working Paper 38.</w:t>
      </w:r>
    </w:p>
    <w:p w:rsidR="001C6041" w:rsidRDefault="00000000">
      <w:pPr>
        <w:pStyle w:val="ListParagraph"/>
        <w:numPr>
          <w:ilvl w:val="0"/>
          <w:numId w:val="2"/>
        </w:numPr>
        <w:spacing w:before="60" w:after="60" w:line="276" w:lineRule="auto"/>
      </w:pPr>
      <w:r>
        <w:t>Hemakumara, A.V. (2025). War as Symbolic Regulation Failure. DSSM Working Paper 17.</w:t>
      </w:r>
    </w:p>
    <w:p w:rsidR="001C6041" w:rsidRDefault="00000000">
      <w:pPr>
        <w:pStyle w:val="ListParagraph"/>
        <w:numPr>
          <w:ilvl w:val="0"/>
          <w:numId w:val="2"/>
        </w:numPr>
        <w:spacing w:before="60" w:after="60" w:line="276" w:lineRule="auto"/>
      </w:pPr>
      <w:r>
        <w:t>Hemakumara, A.V. (2025). Cognitive Continuities: Human and Artificial Symbolic Systems. DSSM Working Paper 19.</w:t>
      </w:r>
    </w:p>
    <w:p w:rsidR="001C6041" w:rsidRDefault="00000000">
      <w:pPr>
        <w:pStyle w:val="ListParagraph"/>
        <w:numPr>
          <w:ilvl w:val="0"/>
          <w:numId w:val="2"/>
        </w:numPr>
        <w:spacing w:before="60" w:after="60" w:line="276" w:lineRule="auto"/>
      </w:pPr>
      <w:r>
        <w:t>Hemakumara, A.V. (2024). The Deep Symbolic Systems Model. DSSM Working Paper 1. DOI: 10.2139/ssrn.6003734</w:t>
      </w:r>
    </w:p>
    <w:p w:rsidR="001C6041" w:rsidRDefault="001C6041">
      <w:pPr>
        <w:spacing w:before="80"/>
      </w:pPr>
    </w:p>
    <w:p w:rsidR="001C6041" w:rsidRDefault="00000000">
      <w:pPr>
        <w:pStyle w:val="Heading2"/>
      </w:pPr>
      <w:r>
        <w:t>Historical Sources — Osiris Analogues</w:t>
      </w:r>
    </w:p>
    <w:p w:rsidR="001C6041" w:rsidRDefault="00000000">
      <w:pPr>
        <w:pStyle w:val="ListParagraph"/>
        <w:numPr>
          <w:ilvl w:val="0"/>
          <w:numId w:val="2"/>
        </w:numPr>
        <w:spacing w:before="60" w:after="60" w:line="276" w:lineRule="auto"/>
      </w:pPr>
      <w:r>
        <w:lastRenderedPageBreak/>
        <w:t>Heather, P. (2006). The Fall of the Roman Empire. Macmillan. [Primary source for Roman institutional fossilization and peripheral defection dynamics]</w:t>
      </w:r>
    </w:p>
    <w:p w:rsidR="001C6041" w:rsidRDefault="00000000">
      <w:pPr>
        <w:pStyle w:val="ListParagraph"/>
        <w:numPr>
          <w:ilvl w:val="0"/>
          <w:numId w:val="2"/>
        </w:numPr>
        <w:spacing w:before="60" w:after="60" w:line="276" w:lineRule="auto"/>
      </w:pPr>
      <w:r>
        <w:t>Eichengreen, B. (2011). Exorbitant Privilege: The Rise and Fall of the Dollar. Oxford University Press. [Bretton Woods collapse and petrodollar transition]</w:t>
      </w:r>
    </w:p>
    <w:p w:rsidR="001C6041" w:rsidRDefault="00000000">
      <w:pPr>
        <w:pStyle w:val="ListParagraph"/>
        <w:numPr>
          <w:ilvl w:val="0"/>
          <w:numId w:val="2"/>
        </w:numPr>
        <w:spacing w:before="60" w:after="60" w:line="276" w:lineRule="auto"/>
      </w:pPr>
      <w:r>
        <w:t>Gowa, J. (1983). Closing the Gold Window: Domestic Politics and the End of Bretton Woods. Cornell University Press.</w:t>
      </w:r>
    </w:p>
    <w:p w:rsidR="001C6041" w:rsidRDefault="00000000">
      <w:pPr>
        <w:pStyle w:val="ListParagraph"/>
        <w:numPr>
          <w:ilvl w:val="0"/>
          <w:numId w:val="2"/>
        </w:numPr>
        <w:spacing w:before="60" w:after="60" w:line="276" w:lineRule="auto"/>
      </w:pPr>
      <w:r>
        <w:t>Ward-Perkins, B. (2005). The Fall of Rome and the End of Civilization. Oxford University Press.</w:t>
      </w:r>
    </w:p>
    <w:p w:rsidR="001C6041" w:rsidRDefault="001C6041">
      <w:pPr>
        <w:spacing w:before="80"/>
      </w:pPr>
    </w:p>
    <w:p w:rsidR="001C6041" w:rsidRDefault="00000000">
      <w:pPr>
        <w:pStyle w:val="Heading2"/>
      </w:pPr>
      <w:r>
        <w:t>AI Governance and Capital Reallocation</w:t>
      </w:r>
    </w:p>
    <w:p w:rsidR="001C6041" w:rsidRDefault="00000000">
      <w:pPr>
        <w:pStyle w:val="ListParagraph"/>
        <w:numPr>
          <w:ilvl w:val="0"/>
          <w:numId w:val="2"/>
        </w:numPr>
        <w:spacing w:before="60" w:after="60" w:line="276" w:lineRule="auto"/>
      </w:pPr>
      <w:r>
        <w:t>OECD (2024). OECD AI Policy Observatory: National AI Strategies Comparative Analysis. https://oecd.ai</w:t>
      </w:r>
    </w:p>
    <w:p w:rsidR="001C6041" w:rsidRDefault="00000000">
      <w:pPr>
        <w:pStyle w:val="ListParagraph"/>
        <w:numPr>
          <w:ilvl w:val="0"/>
          <w:numId w:val="2"/>
        </w:numPr>
        <w:spacing w:before="60" w:after="60" w:line="276" w:lineRule="auto"/>
      </w:pPr>
      <w:r>
        <w:t>European Commission (2024). EU Artificial Intelligence Act — Implementation Guidelines.</w:t>
      </w:r>
    </w:p>
    <w:p w:rsidR="001C6041" w:rsidRDefault="00000000">
      <w:pPr>
        <w:pStyle w:val="ListParagraph"/>
        <w:numPr>
          <w:ilvl w:val="0"/>
          <w:numId w:val="2"/>
        </w:numPr>
        <w:spacing w:before="60" w:after="60" w:line="276" w:lineRule="auto"/>
      </w:pPr>
      <w:r>
        <w:t>World Bank (2025). Digital Jobs and the Future of Knowledge Work in Developing Economies.</w:t>
      </w:r>
    </w:p>
    <w:p w:rsidR="001C6041" w:rsidRDefault="00000000">
      <w:pPr>
        <w:pStyle w:val="ListParagraph"/>
        <w:numPr>
          <w:ilvl w:val="0"/>
          <w:numId w:val="2"/>
        </w:numPr>
        <w:spacing w:before="60" w:after="60" w:line="276" w:lineRule="auto"/>
      </w:pPr>
      <w:r>
        <w:t>Autor, D. et al. (2024). The Labor Market Impacts of Generative AI. NBER Working Paper.</w:t>
      </w:r>
    </w:p>
    <w:p w:rsidR="001C6041" w:rsidRDefault="001C6041">
      <w:pPr>
        <w:spacing w:before="200"/>
      </w:pPr>
    </w:p>
    <w:p w:rsidR="001C6041" w:rsidRDefault="001C6041">
      <w:pPr>
        <w:pBdr>
          <w:bottom w:val="single" w:sz="8" w:space="1" w:color="B8860B"/>
        </w:pBdr>
        <w:spacing w:before="200" w:after="200"/>
      </w:pPr>
    </w:p>
    <w:p w:rsidR="001C6041" w:rsidRDefault="00000000">
      <w:pPr>
        <w:spacing w:before="100" w:after="100" w:line="276" w:lineRule="auto"/>
        <w:jc w:val="center"/>
      </w:pPr>
      <w:r>
        <w:rPr>
          <w:i/>
          <w:iCs/>
          <w:color w:val="888888"/>
          <w:sz w:val="18"/>
          <w:szCs w:val="18"/>
        </w:rPr>
        <w:t>End of Paper 41  |  NETJERU Cycle 1  |  March 23, 2026</w:t>
      </w:r>
    </w:p>
    <w:p w:rsidR="001C6041" w:rsidRDefault="00000000">
      <w:pPr>
        <w:spacing w:before="100" w:after="100" w:line="276" w:lineRule="auto"/>
        <w:jc w:val="center"/>
      </w:pPr>
      <w:r>
        <w:rPr>
          <w:i/>
          <w:iCs/>
          <w:color w:val="888888"/>
          <w:sz w:val="18"/>
          <w:szCs w:val="18"/>
        </w:rPr>
        <w:t>DSSM Working Paper Series  |  OSF  |  Figshare  |  Zenodo  |  SSRN</w:t>
      </w:r>
    </w:p>
    <w:p w:rsidR="001C6041" w:rsidRDefault="00000000">
      <w:pPr>
        <w:spacing w:before="100" w:after="100" w:line="276" w:lineRule="auto"/>
        <w:jc w:val="center"/>
      </w:pPr>
      <w:r>
        <w:rPr>
          <w:i/>
          <w:iCs/>
          <w:color w:val="888888"/>
          <w:sz w:val="18"/>
          <w:szCs w:val="18"/>
        </w:rPr>
        <w:t>Anthony.vondoom@outlook.com  |  ORCID: 0009-0003-4953-1427</w:t>
      </w:r>
    </w:p>
    <w:p w:rsidR="001C6041" w:rsidRDefault="00000000">
      <w:pPr>
        <w:spacing w:before="100" w:after="100" w:line="276" w:lineRule="auto"/>
        <w:jc w:val="center"/>
      </w:pPr>
      <w:r>
        <w:rPr>
          <w:b/>
          <w:bCs/>
          <w:color w:val="B8860B"/>
          <w:sz w:val="20"/>
          <w:szCs w:val="20"/>
        </w:rPr>
        <w:t>The record is open.</w:t>
      </w:r>
    </w:p>
    <w:sectPr w:rsidR="001C6041">
      <w:headerReference w:type="default" r:id="rId8"/>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8CF" w:rsidRDefault="002058CF">
      <w:r>
        <w:separator/>
      </w:r>
    </w:p>
  </w:endnote>
  <w:endnote w:type="continuationSeparator" w:id="0">
    <w:p w:rsidR="002058CF" w:rsidRDefault="0020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041" w:rsidRPr="00FA5741" w:rsidRDefault="00000000">
    <w:pPr>
      <w:pBdr>
        <w:top w:val="single" w:sz="4" w:space="1" w:color="2E4A7A"/>
      </w:pBdr>
      <w:tabs>
        <w:tab w:val="right" w:pos="9026"/>
      </w:tabs>
      <w:spacing w:before="100"/>
      <w:rPr>
        <w:lang w:val="it-IT"/>
      </w:rPr>
    </w:pPr>
    <w:r>
      <w:rPr>
        <w:color w:val="666666"/>
        <w:sz w:val="16"/>
        <w:szCs w:val="16"/>
      </w:rPr>
      <w:t>© 2026 Anthony Hettige Pushpika Indunil Hemakumara. OSF / Zenodo / SSRN.</w:t>
    </w:r>
    <w:r>
      <w:rPr>
        <w:sz w:val="16"/>
        <w:szCs w:val="16"/>
      </w:rPr>
      <w:tab/>
    </w:r>
    <w:r>
      <w:rPr>
        <w:color w:val="2E4A7A"/>
        <w:sz w:val="16"/>
        <w:szCs w:val="16"/>
      </w:rPr>
      <w:t xml:space="preserve">DSSM Working Paper Series — Paper </w:t>
    </w:r>
    <w:r w:rsidR="00FA5741">
      <w:rPr>
        <w:color w:val="2E4A7A"/>
        <w:sz w:val="16"/>
        <w:szCs w:val="16"/>
        <w:lang w:val="it-IT"/>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8CF" w:rsidRDefault="002058CF">
      <w:r>
        <w:separator/>
      </w:r>
    </w:p>
  </w:footnote>
  <w:footnote w:type="continuationSeparator" w:id="0">
    <w:p w:rsidR="002058CF" w:rsidRDefault="0020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C6041" w:rsidRDefault="00000000">
    <w:pPr>
      <w:pBdr>
        <w:bottom w:val="single" w:sz="6" w:space="1" w:color="2E4A7A"/>
      </w:pBdr>
      <w:spacing w:after="120"/>
    </w:pPr>
    <w:r>
      <w:rPr>
        <w:color w:val="666666"/>
        <w:sz w:val="16"/>
        <w:szCs w:val="16"/>
      </w:rPr>
      <w:t xml:space="preserve">NETJERU Cycle 1 — AI Capital Reallocation as Symbolic Architecture Crisis  |  DSSM Working Paper </w:t>
    </w:r>
    <w:r w:rsidR="00ED60D4" w:rsidRPr="00ED60D4">
      <w:rPr>
        <w:color w:val="666666"/>
        <w:sz w:val="16"/>
        <w:szCs w:val="16"/>
        <w:lang w:val="en-US"/>
      </w:rPr>
      <w:t>43</w:t>
    </w:r>
    <w:r>
      <w:rPr>
        <w:color w:val="666666"/>
        <w:sz w:val="16"/>
        <w:szCs w:val="16"/>
      </w:rPr>
      <w:t xml:space="preserve">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B28D2"/>
    <w:multiLevelType w:val="hybridMultilevel"/>
    <w:tmpl w:val="8A9018A4"/>
    <w:lvl w:ilvl="0" w:tplc="CCF20DB4">
      <w:start w:val="1"/>
      <w:numFmt w:val="bullet"/>
      <w:lvlText w:val="•"/>
      <w:lvlJc w:val="left"/>
      <w:pPr>
        <w:ind w:left="720" w:hanging="360"/>
      </w:pPr>
    </w:lvl>
    <w:lvl w:ilvl="1" w:tplc="265E2B56">
      <w:numFmt w:val="decimal"/>
      <w:lvlText w:val=""/>
      <w:lvlJc w:val="left"/>
    </w:lvl>
    <w:lvl w:ilvl="2" w:tplc="C94290A8">
      <w:numFmt w:val="decimal"/>
      <w:lvlText w:val=""/>
      <w:lvlJc w:val="left"/>
    </w:lvl>
    <w:lvl w:ilvl="3" w:tplc="F866F9B6">
      <w:numFmt w:val="decimal"/>
      <w:lvlText w:val=""/>
      <w:lvlJc w:val="left"/>
    </w:lvl>
    <w:lvl w:ilvl="4" w:tplc="4552CD84">
      <w:numFmt w:val="decimal"/>
      <w:lvlText w:val=""/>
      <w:lvlJc w:val="left"/>
    </w:lvl>
    <w:lvl w:ilvl="5" w:tplc="BCD81F6A">
      <w:numFmt w:val="decimal"/>
      <w:lvlText w:val=""/>
      <w:lvlJc w:val="left"/>
    </w:lvl>
    <w:lvl w:ilvl="6" w:tplc="A8EE45EE">
      <w:numFmt w:val="decimal"/>
      <w:lvlText w:val=""/>
      <w:lvlJc w:val="left"/>
    </w:lvl>
    <w:lvl w:ilvl="7" w:tplc="4E86F91E">
      <w:numFmt w:val="decimal"/>
      <w:lvlText w:val=""/>
      <w:lvlJc w:val="left"/>
    </w:lvl>
    <w:lvl w:ilvl="8" w:tplc="A73AC926">
      <w:numFmt w:val="decimal"/>
      <w:lvlText w:val=""/>
      <w:lvlJc w:val="left"/>
    </w:lvl>
  </w:abstractNum>
  <w:abstractNum w:abstractNumId="1" w15:restartNumberingAfterBreak="0">
    <w:nsid w:val="519F15CA"/>
    <w:multiLevelType w:val="hybridMultilevel"/>
    <w:tmpl w:val="21DC6032"/>
    <w:lvl w:ilvl="0" w:tplc="E26024A2">
      <w:start w:val="1"/>
      <w:numFmt w:val="decimal"/>
      <w:lvlText w:val="%1."/>
      <w:lvlJc w:val="left"/>
      <w:pPr>
        <w:ind w:left="720" w:hanging="360"/>
      </w:pPr>
    </w:lvl>
    <w:lvl w:ilvl="1" w:tplc="D848FCDE">
      <w:numFmt w:val="decimal"/>
      <w:lvlText w:val=""/>
      <w:lvlJc w:val="left"/>
    </w:lvl>
    <w:lvl w:ilvl="2" w:tplc="69E61C86">
      <w:numFmt w:val="decimal"/>
      <w:lvlText w:val=""/>
      <w:lvlJc w:val="left"/>
    </w:lvl>
    <w:lvl w:ilvl="3" w:tplc="CAC478C8">
      <w:numFmt w:val="decimal"/>
      <w:lvlText w:val=""/>
      <w:lvlJc w:val="left"/>
    </w:lvl>
    <w:lvl w:ilvl="4" w:tplc="1D1ADE16">
      <w:numFmt w:val="decimal"/>
      <w:lvlText w:val=""/>
      <w:lvlJc w:val="left"/>
    </w:lvl>
    <w:lvl w:ilvl="5" w:tplc="877650C8">
      <w:numFmt w:val="decimal"/>
      <w:lvlText w:val=""/>
      <w:lvlJc w:val="left"/>
    </w:lvl>
    <w:lvl w:ilvl="6" w:tplc="6BA62110">
      <w:numFmt w:val="decimal"/>
      <w:lvlText w:val=""/>
      <w:lvlJc w:val="left"/>
    </w:lvl>
    <w:lvl w:ilvl="7" w:tplc="A73C12FA">
      <w:numFmt w:val="decimal"/>
      <w:lvlText w:val=""/>
      <w:lvlJc w:val="left"/>
    </w:lvl>
    <w:lvl w:ilvl="8" w:tplc="6268BE16">
      <w:numFmt w:val="decimal"/>
      <w:lvlText w:val=""/>
      <w:lvlJc w:val="left"/>
    </w:lvl>
  </w:abstractNum>
  <w:abstractNum w:abstractNumId="2" w15:restartNumberingAfterBreak="0">
    <w:nsid w:val="5E344D14"/>
    <w:multiLevelType w:val="hybridMultilevel"/>
    <w:tmpl w:val="8A322E94"/>
    <w:lvl w:ilvl="0" w:tplc="60342476">
      <w:start w:val="1"/>
      <w:numFmt w:val="bullet"/>
      <w:lvlText w:val="●"/>
      <w:lvlJc w:val="left"/>
      <w:pPr>
        <w:ind w:left="720" w:hanging="360"/>
      </w:pPr>
    </w:lvl>
    <w:lvl w:ilvl="1" w:tplc="4C249A9E">
      <w:start w:val="1"/>
      <w:numFmt w:val="bullet"/>
      <w:lvlText w:val="○"/>
      <w:lvlJc w:val="left"/>
      <w:pPr>
        <w:ind w:left="1440" w:hanging="360"/>
      </w:pPr>
    </w:lvl>
    <w:lvl w:ilvl="2" w:tplc="3998F6CE">
      <w:start w:val="1"/>
      <w:numFmt w:val="bullet"/>
      <w:lvlText w:val="■"/>
      <w:lvlJc w:val="left"/>
      <w:pPr>
        <w:ind w:left="2160" w:hanging="360"/>
      </w:pPr>
    </w:lvl>
    <w:lvl w:ilvl="3" w:tplc="D2768658">
      <w:start w:val="1"/>
      <w:numFmt w:val="bullet"/>
      <w:lvlText w:val="●"/>
      <w:lvlJc w:val="left"/>
      <w:pPr>
        <w:ind w:left="2880" w:hanging="360"/>
      </w:pPr>
    </w:lvl>
    <w:lvl w:ilvl="4" w:tplc="76123040">
      <w:start w:val="1"/>
      <w:numFmt w:val="bullet"/>
      <w:lvlText w:val="○"/>
      <w:lvlJc w:val="left"/>
      <w:pPr>
        <w:ind w:left="3600" w:hanging="360"/>
      </w:pPr>
    </w:lvl>
    <w:lvl w:ilvl="5" w:tplc="61EE6CFC">
      <w:start w:val="1"/>
      <w:numFmt w:val="bullet"/>
      <w:lvlText w:val="■"/>
      <w:lvlJc w:val="left"/>
      <w:pPr>
        <w:ind w:left="4320" w:hanging="360"/>
      </w:pPr>
    </w:lvl>
    <w:lvl w:ilvl="6" w:tplc="62FE36A2">
      <w:start w:val="1"/>
      <w:numFmt w:val="bullet"/>
      <w:lvlText w:val="●"/>
      <w:lvlJc w:val="left"/>
      <w:pPr>
        <w:ind w:left="5040" w:hanging="360"/>
      </w:pPr>
    </w:lvl>
    <w:lvl w:ilvl="7" w:tplc="4A90D8B6">
      <w:start w:val="1"/>
      <w:numFmt w:val="bullet"/>
      <w:lvlText w:val="●"/>
      <w:lvlJc w:val="left"/>
      <w:pPr>
        <w:ind w:left="5760" w:hanging="360"/>
      </w:pPr>
    </w:lvl>
    <w:lvl w:ilvl="8" w:tplc="7C74D676">
      <w:start w:val="1"/>
      <w:numFmt w:val="bullet"/>
      <w:lvlText w:val="●"/>
      <w:lvlJc w:val="left"/>
      <w:pPr>
        <w:ind w:left="6480" w:hanging="360"/>
      </w:pPr>
    </w:lvl>
  </w:abstractNum>
  <w:num w:numId="1" w16cid:durableId="861553893">
    <w:abstractNumId w:val="2"/>
    <w:lvlOverride w:ilvl="0">
      <w:startOverride w:val="1"/>
    </w:lvlOverride>
  </w:num>
  <w:num w:numId="2" w16cid:durableId="1802111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41"/>
    <w:rsid w:val="001C6041"/>
    <w:rsid w:val="002058CF"/>
    <w:rsid w:val="007B357B"/>
    <w:rsid w:val="00840918"/>
    <w:rsid w:val="009A4AB2"/>
    <w:rsid w:val="00A91B35"/>
    <w:rsid w:val="00ED60D4"/>
    <w:rsid w:val="00FA5741"/>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1196CF32"/>
  <w15:docId w15:val="{A05B2D55-BF03-5D44-ABA0-5961590D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E4A7A"/>
      <w:sz w:val="34"/>
      <w:szCs w:val="34"/>
    </w:rPr>
  </w:style>
  <w:style w:type="paragraph" w:styleId="Heading2">
    <w:name w:val="heading 2"/>
    <w:uiPriority w:val="9"/>
    <w:unhideWhenUsed/>
    <w:qFormat/>
    <w:pPr>
      <w:spacing w:before="280" w:after="120"/>
      <w:outlineLvl w:val="1"/>
    </w:pPr>
    <w:rPr>
      <w:b/>
      <w:bCs/>
      <w:color w:val="2E4A7A"/>
      <w:sz w:val="26"/>
      <w:szCs w:val="26"/>
    </w:rPr>
  </w:style>
  <w:style w:type="paragraph" w:styleId="Heading3">
    <w:name w:val="heading 3"/>
    <w:uiPriority w:val="9"/>
    <w:semiHidden/>
    <w:unhideWhenUsed/>
    <w:qFormat/>
    <w:pPr>
      <w:spacing w:before="200" w:after="100"/>
      <w:outlineLvl w:val="2"/>
    </w:pPr>
    <w:rPr>
      <w:b/>
      <w:bCs/>
      <w:i/>
      <w:iCs/>
      <w:color w:val="B8860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4AB2"/>
    <w:pPr>
      <w:tabs>
        <w:tab w:val="center" w:pos="4513"/>
        <w:tab w:val="right" w:pos="9026"/>
      </w:tabs>
    </w:pPr>
  </w:style>
  <w:style w:type="character" w:customStyle="1" w:styleId="HeaderChar">
    <w:name w:val="Header Char"/>
    <w:basedOn w:val="DefaultParagraphFont"/>
    <w:link w:val="Header"/>
    <w:uiPriority w:val="99"/>
    <w:rsid w:val="009A4AB2"/>
  </w:style>
  <w:style w:type="paragraph" w:styleId="Footer">
    <w:name w:val="footer"/>
    <w:basedOn w:val="Normal"/>
    <w:link w:val="FooterChar"/>
    <w:uiPriority w:val="99"/>
    <w:unhideWhenUsed/>
    <w:rsid w:val="009A4AB2"/>
    <w:pPr>
      <w:tabs>
        <w:tab w:val="center" w:pos="4513"/>
        <w:tab w:val="right" w:pos="9026"/>
      </w:tabs>
    </w:pPr>
  </w:style>
  <w:style w:type="character" w:customStyle="1" w:styleId="FooterChar">
    <w:name w:val="Footer Char"/>
    <w:basedOn w:val="DefaultParagraphFont"/>
    <w:link w:val="Footer"/>
    <w:uiPriority w:val="99"/>
    <w:rsid w:val="009A4AB2"/>
  </w:style>
  <w:style w:type="character" w:styleId="UnresolvedMention">
    <w:name w:val="Unresolved Mention"/>
    <w:basedOn w:val="DefaultParagraphFont"/>
    <w:uiPriority w:val="99"/>
    <w:semiHidden/>
    <w:unhideWhenUsed/>
    <w:rsid w:val="00A91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92069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4753</Words>
  <Characters>27094</Characters>
  <Application>Microsoft Office Word</Application>
  <DocSecurity>0</DocSecurity>
  <Lines>225</Lines>
  <Paragraphs>63</Paragraphs>
  <ScaleCrop>false</ScaleCrop>
  <Company/>
  <LinksUpToDate>false</LinksUpToDate>
  <CharactersWithSpaces>31784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6</cp:revision>
  <dcterms:created xsi:type="dcterms:W3CDTF">2026-03-23T14:36:00Z</dcterms:created>
  <dcterms:modified xsi:type="dcterms:W3CDTF">2026-03-24T15:39:00Z</dcterms:modified>
</cp:coreProperties>
</file>