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6260" w:rsidRPr="00D06480" w:rsidRDefault="00956260">
      <w:pPr>
        <w:rPr>
          <w:rFonts w:ascii="Gill Sans MT" w:hAnsi="Gill Sans MT"/>
        </w:rPr>
      </w:pPr>
    </w:p>
    <w:p w:rsidR="00956260" w:rsidRPr="00D06480" w:rsidRDefault="00956260">
      <w:pPr>
        <w:rPr>
          <w:rFonts w:ascii="Gill Sans MT" w:hAnsi="Gill Sans MT"/>
        </w:rPr>
      </w:pPr>
    </w:p>
    <w:p w:rsidR="00956260" w:rsidRPr="00D06480" w:rsidRDefault="00956260">
      <w:pPr>
        <w:rPr>
          <w:rFonts w:ascii="Gill Sans MT" w:hAnsi="Gill Sans MT"/>
        </w:rPr>
      </w:pPr>
    </w:p>
    <w:p w:rsidR="00956260" w:rsidRPr="00D06480" w:rsidRDefault="00956260">
      <w:pPr>
        <w:rPr>
          <w:rFonts w:ascii="Gill Sans MT" w:hAnsi="Gill Sans MT"/>
        </w:rPr>
      </w:pPr>
    </w:p>
    <w:p w:rsidR="00956260" w:rsidRPr="00D06480" w:rsidRDefault="00000000">
      <w:pPr>
        <w:spacing w:after="80" w:line="360" w:lineRule="auto"/>
        <w:jc w:val="center"/>
        <w:rPr>
          <w:rFonts w:ascii="Gill Sans MT" w:hAnsi="Gill Sans MT"/>
        </w:rPr>
      </w:pPr>
      <w:r w:rsidRPr="00D06480">
        <w:rPr>
          <w:rFonts w:ascii="Gill Sans MT" w:hAnsi="Gill Sans MT"/>
          <w:b/>
          <w:bCs/>
          <w:color w:val="000000"/>
          <w:sz w:val="36"/>
          <w:szCs w:val="36"/>
        </w:rPr>
        <w:t>CIVILIZATION IS REHEARSED</w:t>
      </w:r>
    </w:p>
    <w:p w:rsidR="00956260" w:rsidRPr="00D06480" w:rsidRDefault="00000000">
      <w:pPr>
        <w:spacing w:after="400" w:line="360" w:lineRule="auto"/>
        <w:jc w:val="center"/>
        <w:rPr>
          <w:rFonts w:ascii="Gill Sans MT" w:hAnsi="Gill Sans MT"/>
        </w:rPr>
      </w:pPr>
      <w:r w:rsidRPr="00D06480">
        <w:rPr>
          <w:rFonts w:ascii="Gill Sans MT" w:hAnsi="Gill Sans MT"/>
          <w:b/>
          <w:bCs/>
          <w:color w:val="000000"/>
          <w:sz w:val="30"/>
          <w:szCs w:val="30"/>
        </w:rPr>
        <w:t>The Deep Symbolic Systems Model</w:t>
      </w:r>
    </w:p>
    <w:p w:rsidR="00956260" w:rsidRPr="00D06480" w:rsidRDefault="00000000">
      <w:pPr>
        <w:spacing w:after="80" w:line="360" w:lineRule="auto"/>
        <w:jc w:val="center"/>
        <w:rPr>
          <w:rFonts w:ascii="Gill Sans MT" w:hAnsi="Gill Sans MT"/>
        </w:rPr>
      </w:pPr>
      <w:r w:rsidRPr="00D06480">
        <w:rPr>
          <w:rFonts w:ascii="Gill Sans MT" w:hAnsi="Gill Sans MT"/>
          <w:b/>
          <w:bCs/>
          <w:color w:val="000000"/>
          <w:sz w:val="26"/>
          <w:szCs w:val="26"/>
        </w:rPr>
        <w:t>Anthony Vondoom</w:t>
      </w:r>
    </w:p>
    <w:p w:rsidR="00956260" w:rsidRPr="00D06480" w:rsidRDefault="00000000">
      <w:pPr>
        <w:spacing w:after="80" w:line="360" w:lineRule="auto"/>
        <w:jc w:val="center"/>
        <w:rPr>
          <w:rFonts w:ascii="Gill Sans MT" w:hAnsi="Gill Sans MT"/>
        </w:rPr>
      </w:pPr>
      <w:r w:rsidRPr="00D06480">
        <w:rPr>
          <w:rFonts w:ascii="Gill Sans MT" w:hAnsi="Gill Sans MT"/>
          <w:color w:val="000000"/>
          <w:sz w:val="20"/>
          <w:szCs w:val="20"/>
        </w:rPr>
        <w:t>ORCID: 0009-0003-4953-1427</w:t>
      </w:r>
    </w:p>
    <w:p w:rsidR="00956260" w:rsidRPr="00D06480" w:rsidRDefault="00D06480">
      <w:pPr>
        <w:spacing w:after="80" w:line="360" w:lineRule="auto"/>
        <w:jc w:val="center"/>
        <w:rPr>
          <w:rFonts w:ascii="Gill Sans MT" w:hAnsi="Gill Sans MT"/>
        </w:rPr>
      </w:pPr>
      <w:proofErr w:type="spellStart"/>
      <w:r w:rsidRPr="00D06480">
        <w:rPr>
          <w:rFonts w:ascii="Gill Sans MT" w:hAnsi="Gill Sans MT"/>
          <w:color w:val="000000"/>
          <w:sz w:val="20"/>
          <w:szCs w:val="20"/>
          <w:lang w:val="it-IT"/>
        </w:rPr>
        <w:t>Zenodo</w:t>
      </w:r>
      <w:proofErr w:type="spellEnd"/>
      <w:r w:rsidR="00672BFB">
        <w:rPr>
          <w:rFonts w:ascii="Gill Sans MT" w:hAnsi="Gill Sans MT"/>
          <w:color w:val="000000"/>
          <w:sz w:val="20"/>
          <w:szCs w:val="20"/>
          <w:lang w:val="it-IT"/>
        </w:rPr>
        <w:t xml:space="preserve"> </w:t>
      </w:r>
      <w:hyperlink r:id="rId8" w:history="1">
        <w:r w:rsidR="00FF2BFB" w:rsidRPr="009A03B6">
          <w:rPr>
            <w:rStyle w:val="Hyperlink"/>
            <w:rFonts w:ascii="Gill Sans MT" w:hAnsi="Gill Sans MT"/>
            <w:sz w:val="20"/>
            <w:szCs w:val="20"/>
            <w:lang w:val="it-IT"/>
          </w:rPr>
          <w:t>https://doi.org/10.5281/zenodo.19170162</w:t>
        </w:r>
      </w:hyperlink>
      <w:r w:rsidR="00FF2BFB">
        <w:rPr>
          <w:rFonts w:ascii="Gill Sans MT" w:hAnsi="Gill Sans MT"/>
          <w:color w:val="000000"/>
          <w:sz w:val="20"/>
          <w:szCs w:val="20"/>
          <w:lang w:val="it-IT"/>
        </w:rPr>
        <w:t xml:space="preserve"> </w:t>
      </w:r>
      <w:r w:rsidR="00000000" w:rsidRPr="00D06480">
        <w:rPr>
          <w:rFonts w:ascii="Gill Sans MT" w:hAnsi="Gill Sans MT"/>
          <w:i/>
          <w:iCs/>
          <w:color w:val="000000"/>
          <w:sz w:val="22"/>
          <w:szCs w:val="22"/>
        </w:rPr>
        <w:t>| 2026</w:t>
      </w:r>
    </w:p>
    <w:p w:rsidR="00956260" w:rsidRPr="00D06480" w:rsidRDefault="00000000">
      <w:pPr>
        <w:spacing w:after="40" w:line="360" w:lineRule="auto"/>
        <w:jc w:val="center"/>
        <w:rPr>
          <w:rFonts w:ascii="Gill Sans MT" w:hAnsi="Gill Sans MT"/>
        </w:rPr>
      </w:pPr>
      <w:r w:rsidRPr="00D06480">
        <w:rPr>
          <w:rFonts w:ascii="Gill Sans MT" w:hAnsi="Gill Sans MT"/>
          <w:i/>
          <w:iCs/>
          <w:color w:val="000000"/>
          <w:sz w:val="20"/>
          <w:szCs w:val="20"/>
        </w:rPr>
        <w:t>Conceptually grounded in the 39-paper DSSM corpus (2025–2026),</w:t>
      </w:r>
    </w:p>
    <w:p w:rsidR="00956260" w:rsidRPr="00D06480" w:rsidRDefault="00000000">
      <w:pPr>
        <w:spacing w:after="400" w:line="360" w:lineRule="auto"/>
        <w:jc w:val="center"/>
        <w:rPr>
          <w:rFonts w:ascii="Gill Sans MT" w:hAnsi="Gill Sans MT"/>
        </w:rPr>
      </w:pPr>
      <w:r w:rsidRPr="00D06480">
        <w:rPr>
          <w:rFonts w:ascii="Gill Sans MT" w:hAnsi="Gill Sans MT"/>
          <w:i/>
          <w:iCs/>
          <w:color w:val="000000"/>
          <w:sz w:val="20"/>
          <w:szCs w:val="20"/>
        </w:rPr>
        <w:t>published across OSF, Figshare, Zenodo, and SSRN.</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Abstract</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Deep Symbolic Systems Model (DSSM) proposes that human civilization advances not through episodic invention or moral choice, but through the recursive stabilization of embodied practices into durable symbolic systems — rituals that become symbols, symbols that become protocols, protocols that become institutions. This synthesis paper integrates thirty-nine published DSSM papers spanning 2025 to 2026, presenting a unified account of the model's theoretical architecture, methodological instruments, regional evidence base, applied extensions, and falsification conditions.</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paper proceeds in eight movements. It opens with the core theoretical inversion — that monumentality and writing are late-stage externalizations of pre-existing symbolic load, not its origins. It then grounds the framework in neuroscience, tracing the co-evolution of neural architecture and symbolic behavior from early hominins to anatomically modern humans. A comparative synthesis of five macro-regional pathways to symbolic stabilization — Egypt, Mesopotamia, East Asia, Mesoamerica, and the Indus Valley — demonstrates structural convergence despite divergent media and ecologies. Negative cases (Australia, Sub-Saharan Africa, Late Neolithic Europe) are analyzed as scope condition tests, confirming three distinct failure modes of the developmental sequence. The model's applied extensions — from technology as fossilized ritual, through empire as fossilized extraction, to the contemporary AI race as protocol competition — are evaluated against current evidence. The paper closes with a formal statement of falsification conditions and a structured research agenda.</w:t>
      </w:r>
    </w:p>
    <w:p w:rsidR="00956260" w:rsidRPr="00D06480" w:rsidRDefault="00000000">
      <w:pPr>
        <w:spacing w:after="240" w:line="360" w:lineRule="auto"/>
        <w:jc w:val="both"/>
        <w:rPr>
          <w:rFonts w:ascii="Gill Sans MT" w:hAnsi="Gill Sans MT"/>
        </w:rPr>
      </w:pPr>
      <w:r w:rsidRPr="00D06480">
        <w:rPr>
          <w:rFonts w:ascii="Gill Sans MT" w:hAnsi="Gill Sans MT"/>
          <w:color w:val="000000"/>
        </w:rPr>
        <w:t>DSSM is presented as the first fully operationalized, falsifiable, two-dimensionally scored, and negative-case-validated cognitive-archaeological model of civilizational emergence.</w:t>
      </w:r>
    </w:p>
    <w:p w:rsidR="00956260" w:rsidRPr="00D06480" w:rsidRDefault="00000000">
      <w:pPr>
        <w:spacing w:after="240" w:line="360" w:lineRule="auto"/>
        <w:jc w:val="both"/>
        <w:rPr>
          <w:rFonts w:ascii="Gill Sans MT" w:hAnsi="Gill Sans MT"/>
        </w:rPr>
      </w:pPr>
      <w:r w:rsidRPr="00D06480">
        <w:rPr>
          <w:rFonts w:ascii="Gill Sans MT" w:hAnsi="Gill Sans MT"/>
          <w:b/>
          <w:bCs/>
        </w:rPr>
        <w:t xml:space="preserve">Keywords: </w:t>
      </w:r>
      <w:r w:rsidRPr="00D06480">
        <w:rPr>
          <w:rFonts w:ascii="Gill Sans MT" w:hAnsi="Gill Sans MT"/>
        </w:rPr>
        <w:t>Deep Symbolic Systems Model, DSSM, symbolic stabilization, cognitive archaeology, Field Companion Protocol, fossilized ritual, protocol power, civilizational emergence, monumentality, writing as codification, negative cases, falsifiability, neural timescale bridge, community size threshold, applied DSSM</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Table of Contents</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1. Introduction: The Central Inversion</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2. Neural and Cognitive Foundations</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3. Theoretical Architecture of DSSM</w:t>
      </w:r>
    </w:p>
    <w:p w:rsidR="00956260" w:rsidRPr="00D06480" w:rsidRDefault="00000000">
      <w:pPr>
        <w:spacing w:after="80" w:line="360" w:lineRule="auto"/>
        <w:ind w:left="720"/>
        <w:jc w:val="both"/>
        <w:rPr>
          <w:rFonts w:ascii="Gill Sans MT" w:hAnsi="Gill Sans MT"/>
        </w:rPr>
      </w:pPr>
      <w:r w:rsidRPr="00D06480">
        <w:rPr>
          <w:rFonts w:ascii="Gill Sans MT" w:hAnsi="Gill Sans MT"/>
          <w:color w:val="000000"/>
        </w:rPr>
        <w:t xml:space="preserve">   3.1  The Four Criteria</w:t>
      </w:r>
    </w:p>
    <w:p w:rsidR="00956260" w:rsidRPr="00D06480" w:rsidRDefault="00000000">
      <w:pPr>
        <w:spacing w:after="80" w:line="360" w:lineRule="auto"/>
        <w:ind w:left="720"/>
        <w:jc w:val="both"/>
        <w:rPr>
          <w:rFonts w:ascii="Gill Sans MT" w:hAnsi="Gill Sans MT"/>
        </w:rPr>
      </w:pPr>
      <w:r w:rsidRPr="00D06480">
        <w:rPr>
          <w:rFonts w:ascii="Gill Sans MT" w:hAnsi="Gill Sans MT"/>
          <w:color w:val="000000"/>
        </w:rPr>
        <w:t xml:space="preserve">   3.2  The Four Stages</w:t>
      </w:r>
    </w:p>
    <w:p w:rsidR="00956260" w:rsidRPr="00D06480" w:rsidRDefault="00000000">
      <w:pPr>
        <w:spacing w:after="80" w:line="360" w:lineRule="auto"/>
        <w:ind w:left="720"/>
        <w:jc w:val="both"/>
        <w:rPr>
          <w:rFonts w:ascii="Gill Sans MT" w:hAnsi="Gill Sans MT"/>
        </w:rPr>
      </w:pPr>
      <w:r w:rsidRPr="00D06480">
        <w:rPr>
          <w:rFonts w:ascii="Gill Sans MT" w:hAnsi="Gill Sans MT"/>
          <w:color w:val="000000"/>
        </w:rPr>
        <w:t xml:space="preserve">   3.3  The Field Companion Protocol (FCP)</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4. Macro-Regional Evidence</w:t>
      </w:r>
    </w:p>
    <w:p w:rsidR="00956260" w:rsidRPr="00D06480" w:rsidRDefault="00000000">
      <w:pPr>
        <w:spacing w:after="80" w:line="360" w:lineRule="auto"/>
        <w:ind w:left="720"/>
        <w:jc w:val="both"/>
        <w:rPr>
          <w:rFonts w:ascii="Gill Sans MT" w:hAnsi="Gill Sans MT"/>
        </w:rPr>
      </w:pPr>
      <w:r w:rsidRPr="00D06480">
        <w:rPr>
          <w:rFonts w:ascii="Gill Sans MT" w:hAnsi="Gill Sans MT"/>
          <w:color w:val="000000"/>
        </w:rPr>
        <w:t xml:space="preserve">   4.1  Egypt: The Nile Corridor Baseline</w:t>
      </w:r>
    </w:p>
    <w:p w:rsidR="00956260" w:rsidRPr="00D06480" w:rsidRDefault="00000000">
      <w:pPr>
        <w:spacing w:after="80" w:line="360" w:lineRule="auto"/>
        <w:ind w:left="720"/>
        <w:jc w:val="both"/>
        <w:rPr>
          <w:rFonts w:ascii="Gill Sans MT" w:hAnsi="Gill Sans MT"/>
        </w:rPr>
      </w:pPr>
      <w:r w:rsidRPr="00D06480">
        <w:rPr>
          <w:rFonts w:ascii="Gill Sans MT" w:hAnsi="Gill Sans MT"/>
          <w:color w:val="000000"/>
        </w:rPr>
        <w:t xml:space="preserve">   4.2  Mesopotamia: Aggregation and Stress Testing</w:t>
      </w:r>
    </w:p>
    <w:p w:rsidR="00956260" w:rsidRPr="00D06480" w:rsidRDefault="00000000">
      <w:pPr>
        <w:spacing w:after="80" w:line="360" w:lineRule="auto"/>
        <w:ind w:left="720"/>
        <w:jc w:val="both"/>
        <w:rPr>
          <w:rFonts w:ascii="Gill Sans MT" w:hAnsi="Gill Sans MT"/>
        </w:rPr>
      </w:pPr>
      <w:r w:rsidRPr="00D06480">
        <w:rPr>
          <w:rFonts w:ascii="Gill Sans MT" w:hAnsi="Gill Sans MT"/>
          <w:color w:val="000000"/>
        </w:rPr>
        <w:t xml:space="preserve">   4.3  East Asia: Portable Permanence</w:t>
      </w:r>
    </w:p>
    <w:p w:rsidR="00956260" w:rsidRPr="00D06480" w:rsidRDefault="00000000">
      <w:pPr>
        <w:spacing w:after="80" w:line="360" w:lineRule="auto"/>
        <w:ind w:left="720"/>
        <w:jc w:val="both"/>
        <w:rPr>
          <w:rFonts w:ascii="Gill Sans MT" w:hAnsi="Gill Sans MT"/>
        </w:rPr>
      </w:pPr>
      <w:r w:rsidRPr="00D06480">
        <w:rPr>
          <w:rFonts w:ascii="Gill Sans MT" w:hAnsi="Gill Sans MT"/>
          <w:color w:val="000000"/>
        </w:rPr>
        <w:t xml:space="preserve">   4.4  Mesoamerica: Ritual Networks Without Axial Rivers</w:t>
      </w:r>
    </w:p>
    <w:p w:rsidR="00956260" w:rsidRPr="00D06480" w:rsidRDefault="00000000">
      <w:pPr>
        <w:spacing w:after="80" w:line="360" w:lineRule="auto"/>
        <w:ind w:left="720"/>
        <w:jc w:val="both"/>
        <w:rPr>
          <w:rFonts w:ascii="Gill Sans MT" w:hAnsi="Gill Sans MT"/>
        </w:rPr>
      </w:pPr>
      <w:r w:rsidRPr="00D06480">
        <w:rPr>
          <w:rFonts w:ascii="Gill Sans MT" w:hAnsi="Gill Sans MT"/>
          <w:color w:val="000000"/>
        </w:rPr>
        <w:t xml:space="preserve">   4.5  Indus Valley: Infrastructural Embedding</w:t>
      </w:r>
    </w:p>
    <w:p w:rsidR="00956260" w:rsidRPr="00D06480" w:rsidRDefault="00000000">
      <w:pPr>
        <w:spacing w:after="80" w:line="360" w:lineRule="auto"/>
        <w:ind w:left="720"/>
        <w:jc w:val="both"/>
        <w:rPr>
          <w:rFonts w:ascii="Gill Sans MT" w:hAnsi="Gill Sans MT"/>
        </w:rPr>
      </w:pPr>
      <w:r w:rsidRPr="00D06480">
        <w:rPr>
          <w:rFonts w:ascii="Gill Sans MT" w:hAnsi="Gill Sans MT"/>
          <w:color w:val="000000"/>
        </w:rPr>
        <w:t xml:space="preserve">   4.6  Sri Lanka: Symbolic Sufficiency as Control Case</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5. Site-Level Evidence and Special Cases</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6. Writing as Contingent Codification</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7. Extended DSSM: Technology, Power, and Protocol</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8. Applied DSSM: The Contemporary World</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9. Negative Cases and Falsification Conditions</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10. Limitations and Research Agenda</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11. Conclusion</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12. AI Disclosure</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13. Glossary</w:t>
      </w:r>
    </w:p>
    <w:p w:rsidR="00956260" w:rsidRPr="00D06480" w:rsidRDefault="00000000">
      <w:pPr>
        <w:spacing w:after="80" w:line="360" w:lineRule="auto"/>
        <w:jc w:val="both"/>
        <w:rPr>
          <w:rFonts w:ascii="Gill Sans MT" w:hAnsi="Gill Sans MT"/>
        </w:rPr>
      </w:pPr>
      <w:r w:rsidRPr="00D06480">
        <w:rPr>
          <w:rFonts w:ascii="Gill Sans MT" w:hAnsi="Gill Sans MT"/>
          <w:color w:val="000000"/>
        </w:rPr>
        <w:t>References</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1. Introduction: The Central Inversion</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For more than a century, archaeology and social theory have treated the canonical markers of civilization — monumental architecture, writing, surplus agriculture, and centralized administration — as the causes of cultural complexity. Within this framework, symbolic behavior is an output of institutional development, not its precondition. The Deep Symbolic Systems Model (DSSM) inverts this logic entirely.</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DSSM proposes that symbolic systems stabilize long before writing, monumentality, or state formation appear (Vondoom, 2025a). Monumental architecture is not the origin of symbolic complexity; it is its material compression. Writing does not generate meaning; it codifies meaning that was already stabilized through practice, ritual, and spatial repetition across generations. Institutions do not create symbolic authority; they inherit it from pre-existing systems of embodied constraint.</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This inversion is not merely interpretive. It generates testable predictions, specifies falsification conditions, and produces an explanatory framework capable of accounting simultaneously for regional diversity and cross-civilizational convergence. The central claim is both simple and radical: civilization is rehearsed, not invented.</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DSSM corpus — spanning thirty-nine papers published between December 2025 and March 2026 — develops this inversion across deep prehistory, comparative civilizational analysis, technological history, applied geopolitics, and cognitive neuroscience. The present paper synthesizes that corpus into a single unified account, drawing on all primary sources and preserving their falsification architecture.</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argument proceeds from the neurological and evolutionary preconditions of symbolic cognition, through the mechanics of stabilization, across five macro-regional case studies and two PDF-format applied analyses, to the contemporary consequences of protocol power in the geopolitical present. Negative cases — regions where symbolic stabilization failed in specific, predictable ways — are treated not as anomalies but as the model's most important confirmations.</w:t>
      </w:r>
    </w:p>
    <w:p w:rsidR="00956260" w:rsidRDefault="00956260">
      <w:pPr>
        <w:spacing w:before="200"/>
        <w:rPr>
          <w:rFonts w:ascii="Gill Sans MT" w:hAnsi="Gill Sans MT"/>
        </w:rPr>
      </w:pPr>
    </w:p>
    <w:p w:rsidR="00D06480" w:rsidRDefault="00D06480">
      <w:pPr>
        <w:spacing w:before="200"/>
        <w:rPr>
          <w:rFonts w:ascii="Gill Sans MT" w:hAnsi="Gill Sans MT"/>
        </w:rPr>
      </w:pPr>
    </w:p>
    <w:p w:rsidR="00D06480" w:rsidRPr="00D06480" w:rsidRDefault="00D06480">
      <w:pPr>
        <w:spacing w:before="200"/>
        <w:rPr>
          <w:rFonts w:ascii="Gill Sans MT" w:hAnsi="Gill Sans MT"/>
        </w:rPr>
      </w:pP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DSSM CORE MECHANISM</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EMBODIED PRACTICE  </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RITUALIZED REPETITION</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(intergenerational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(spatial constraint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repetition)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cross-media redundancy)</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SYMBOLIC LOAD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(community size &gt; ~500 / transmission fidelity crisis)</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MATERIAL AMPLIFICATION  </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COGNITIVE OFFLOADING</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MONUMENT / WRITING / INSTITUTION  (late-stage compression)</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KEY: Monumentality &amp; Writing are OUTPUTS, not CAUSES</w:t>
      </w:r>
    </w:p>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Figure 1. The DSSM Core Mechanism: from embodied practice to institutional emergence.</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2. Neural and Cognitive Foundations</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DSSM rests on a specific claim about the relationship between neural architecture and symbolic behavior: cortical reorganization precedes, rather than follows, the appearance of complex symbolic practice . This is not a claim about a single cognitive threshold or 'revolution.' The fossil record from Sahelanthropus tchadensis (~7 Ma) through anatomically modern Homo sapiens reveals a mosaic trajectory — incremental neural reorganization coupled with incremental behavioral elaboration — rather than a sudden leap.</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Three phases structure this trajectory. In Phase 1 (Technological Cognition, 1.5 Ma–300 ka), Acheulean industries demonstrate multi-stage planning, standardized production templates, coordinated large-game butchery, and long-distance raw material transport. These require temporal sequencing, role differentiation, and distributed cognitive load — all precursors to symbolic consistency (Stout, Hecht &amp; Chaminade, 2018; Coolidge &amp; Wynn, 2005). Crucially, the Acheulean handaxe is not merely a tool; it is a socially transmitted production schema. The bilateral symmetry and standardized geometry of Acheulean tools imply shared mental templates transmitted through direct observation and corrective feedback — the earliest documented instance of what DSSM calls procedural symbolic familiarity: meaning embedded in skilled action rather than in material inscription. In Phase 2 (Anatomical Modernization, 300–50 ka), expanded parietal and temporal lobes, increased cortical globularity, and demographic bottlenecks from events such as the Toba eruption (~74 ka) select for portable, orally transmissible knowledge systems capable of surviving without external recordation (Klein, 2009; Mithen, 1996). In Phase 3 (Behavioral Stabilization, 50 ka onward), redundancy across sensory modalities — figurative art, personal ornamentation, spatially structured activity loci — strengthens shared symbolic grammars and creates persistent constraint systems far earlier than writing (McBrearty &amp; Brooks, 2000).</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 xml:space="preserve">The DSSM builds explicitly on five established theoretical frameworks while contributing three novel integrations that none of those frameworks individually achieves . Material engagement theory (Malafouris, 2013) provides the ontological foundation: the relationship between material culture and cognition is constitutive rather than representational. Distributed cognition (Hutchins, 1995) establishes that cognitive processes are not confined to individual brains but extend across bodies, tools, and environments. Practice theory (Bourdieu, 1990) identifies repetitive social action as the generative mechanism of cultural reproduction. Modes of religiosity theory (Whitehouse, 2004) </w:t>
      </w:r>
      <w:r w:rsidRPr="00D06480">
        <w:rPr>
          <w:rFonts w:ascii="Gill Sans MT" w:hAnsi="Gill Sans MT"/>
          <w:color w:val="000000"/>
        </w:rPr>
        <w:lastRenderedPageBreak/>
        <w:t>documents the cognitive effects of high-frequency, low-arousal ritual practices. Niche construction theory (Laland et al., 2015) frames cultural practices as environmental modifications that feed back onto the selective pressures shaping cognitive evolution. The DSSM's novelty lies in integrating these five frameworks into a unified, falsifiable, and operationalized account of civilizational emergence — connecting them through a developmental sequence with testable temporal lags, a measurement instrument with statistical thresholds, and a treatment of negative cases that no prior framework attempted.</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DSSM's most technically ambitious contribution in this domain is the neural timescale bridge : the derivation of archaeologically detectable detection windows from laboratory-demonstrated neural consolidation timescales. Procedural memory consolidation in the basal ganglia and cerebellum requires approximately four to eight weeks for motor habit formation in individuals (Graybiel, 2008; Yin &amp; Knowlton, 2006), which translates — across five to twenty-five transmission generations — to an archaeological detection window of approximately 100 to 500 years for Stage 1 signatures. Hippocampal spatial encoding, operating on timescales of hours to days for episodic spatial map formation, produces a detection window of approximately 150 to 600 years for mnemonic architecture signatures. Long-term potentiation in cortical and hippocampal synapses produces a detection window of 200 to 800 years for Stage 2 ritualization. Prefrontal-motor integration, requiring months for complex cognitive habit formation, produces a window of 300 to 900 years for multi-agent ritual sequence entrenchment. Cultural transmission bias accumulation — requiring up to a generation for high-fidelity copying — produces a window of 500 to 1,500 years for population-level symbolic drift suppression, corresponding to Stage 3 (Henrich, 2015; Richerson et al., 2016). These are not post-hoc descriptions; they are advance predictions about when Stage-specific archaeological signatures should appear relative to the initiation of the underlying neural processes.</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 xml:space="preserve">The Egyptian evidence provides the sharpest test. The Badarian-to-Naqada I transition spans approximately 500 years, consistent with the Stage 1 detection window. The Naqada I-to-II transition spans approximately 500 years, at the upper boundary of the Stage 2 window. The Naqada IIc-d transition, where CV crosses the Stage 3 threshold of 0.15, occurs approximately 150 to 200 years before the onset of maximum iconographic elaboration — consistent with the neural timescale bridge prediction that Stage 3 signatures should precede institutional elaboration by one to two </w:t>
      </w:r>
      <w:r w:rsidRPr="00D06480">
        <w:rPr>
          <w:rFonts w:ascii="Gill Sans MT" w:hAnsi="Gill Sans MT"/>
          <w:color w:val="000000"/>
        </w:rPr>
        <w:lastRenderedPageBreak/>
        <w:t>archaeological phases. No competing framework — environmental determinism, technological determinism, or cognitive revolution models — generates any of these quantitative predictions .</w:t>
      </w:r>
    </w:p>
    <w:p w:rsidR="00956260" w:rsidRPr="00D06480" w:rsidRDefault="00000000">
      <w:pPr>
        <w:spacing w:before="240" w:after="80"/>
        <w:jc w:val="center"/>
        <w:rPr>
          <w:rFonts w:ascii="Gill Sans MT" w:hAnsi="Gill Sans MT"/>
        </w:rPr>
      </w:pPr>
      <w:r w:rsidRPr="00D06480">
        <w:rPr>
          <w:rFonts w:ascii="Gill Sans MT" w:hAnsi="Gill Sans MT"/>
          <w:b/>
          <w:bCs/>
          <w:sz w:val="20"/>
          <w:szCs w:val="20"/>
        </w:rPr>
        <w:t>Table 1. DSSM Neural Timescale Bridge: Laboratory Mechanisms and Archaeological Detection Windows</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600"/>
        <w:gridCol w:w="1700"/>
        <w:gridCol w:w="2160"/>
        <w:gridCol w:w="1100"/>
      </w:tblGrid>
      <w:tr w:rsidR="00956260" w:rsidRPr="00D06480" w:rsidTr="00D06480">
        <w:tblPrEx>
          <w:tblCellMar>
            <w:top w:w="0" w:type="dxa"/>
            <w:bottom w:w="0" w:type="dxa"/>
          </w:tblCellMar>
        </w:tblPrEx>
        <w:trPr>
          <w:tblHeader/>
          <w:jc w:val="center"/>
        </w:trPr>
        <w:tc>
          <w:tcPr>
            <w:tcW w:w="22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Neural Mechanism</w:t>
            </w:r>
          </w:p>
        </w:tc>
        <w:tc>
          <w:tcPr>
            <w:tcW w:w="16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Brain System</w:t>
            </w:r>
          </w:p>
        </w:tc>
        <w:tc>
          <w:tcPr>
            <w:tcW w:w="17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Lab Timescale</w:t>
            </w:r>
          </w:p>
        </w:tc>
        <w:tc>
          <w:tcPr>
            <w:tcW w:w="21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Archaeological Detection Window</w:t>
            </w:r>
          </w:p>
        </w:tc>
        <w:tc>
          <w:tcPr>
            <w:tcW w:w="11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DSSM Stage</w:t>
            </w:r>
          </w:p>
        </w:tc>
      </w:tr>
      <w:tr w:rsidR="00956260" w:rsidRPr="00D06480" w:rsidTr="00D06480">
        <w:tblPrEx>
          <w:tblCellMar>
            <w:top w:w="0" w:type="dxa"/>
            <w:bottom w:w="0" w:type="dxa"/>
          </w:tblCellMar>
        </w:tblPrEx>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Procedural memory consolidation</w:t>
            </w:r>
          </w:p>
        </w:tc>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Basal ganglia, cerebellum</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~4–8 weeks (motor habit)</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100–500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1</w:t>
            </w:r>
          </w:p>
        </w:tc>
      </w:tr>
      <w:tr w:rsidR="00956260" w:rsidRPr="00D06480" w:rsidTr="00D06480">
        <w:tblPrEx>
          <w:tblCellMar>
            <w:top w:w="0" w:type="dxa"/>
            <w:bottom w:w="0" w:type="dxa"/>
          </w:tblCellMar>
        </w:tblPrEx>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Hippocampal spatial encoding</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Hippocampus, entorhinal cortex</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Hours–days (spatial map)</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150–600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1–2</w:t>
            </w:r>
          </w:p>
        </w:tc>
      </w:tr>
      <w:tr w:rsidR="00956260" w:rsidRPr="00D06480" w:rsidTr="00D06480">
        <w:tblPrEx>
          <w:tblCellMar>
            <w:top w:w="0" w:type="dxa"/>
            <w:bottom w:w="0" w:type="dxa"/>
          </w:tblCellMar>
        </w:tblPrEx>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Long-term potentiation (synaptic)</w:t>
            </w:r>
          </w:p>
        </w:tc>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Cortical &amp; hippocampal synapses</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Minutes–days; weeks to consolidate</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200–800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2</w:t>
            </w:r>
          </w:p>
        </w:tc>
      </w:tr>
      <w:tr w:rsidR="00956260" w:rsidRPr="00D06480" w:rsidTr="00D06480">
        <w:tblPrEx>
          <w:tblCellMar>
            <w:top w:w="0" w:type="dxa"/>
            <w:bottom w:w="0" w:type="dxa"/>
          </w:tblCellMar>
        </w:tblPrEx>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Prefrontal-motor integration</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Prefrontal cortex, premotor areas</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Months (complex habit)</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300–900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2–3</w:t>
            </w:r>
          </w:p>
        </w:tc>
      </w:tr>
      <w:tr w:rsidR="00956260" w:rsidRPr="00D06480" w:rsidTr="00D06480">
        <w:tblPrEx>
          <w:tblCellMar>
            <w:top w:w="0" w:type="dxa"/>
            <w:bottom w:w="0" w:type="dxa"/>
          </w:tblCellMar>
        </w:tblPrEx>
        <w:trPr>
          <w:jc w:val="center"/>
        </w:trPr>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Cultural transmission bias</w:t>
            </w:r>
          </w:p>
        </w:tc>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Distributed social-cognitive network</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 generation (high-fidelity)</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500–1,500 years</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3</w:t>
            </w:r>
          </w:p>
        </w:tc>
      </w:tr>
    </w:tbl>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Source: Vondoom (2026b); Graybiel (2008); Yin &amp; Knowlton (2006); Burgess (2014); Henrich (2015); Richerson et al. (2016).</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3. Theoretical Architecture of DSSM</w:t>
      </w:r>
    </w:p>
    <w:p w:rsidR="00956260" w:rsidRPr="00D06480" w:rsidRDefault="00000000">
      <w:pPr>
        <w:pStyle w:val="Heading2"/>
        <w:rPr>
          <w:rFonts w:ascii="Gill Sans MT" w:hAnsi="Gill Sans MT"/>
        </w:rPr>
      </w:pPr>
      <w:r w:rsidRPr="00D06480">
        <w:rPr>
          <w:rFonts w:ascii="Gill Sans MT" w:hAnsi="Gill Sans MT"/>
        </w:rPr>
        <w:t>3.1 The Four Criteria</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Symbolic stabilization, in DSSM terms, is not a binary state but a structural condition diagnosed through four criteria that must all be satisfied. A symbolic system achieves stabilization when it demonstrates: (1) intergenerational repetition independent of specific agents — the system persists across at least three generations without depending on any individual's knowledge; (2) spatial constraint — symbols impose structure on behavior, settlement layout, or ritual practice through recurrent orientation, enclosure, or axiality; (3) cross-media redundancy — the same symbolic logic appears across at least two distinct material domains, ensuring that the system survives the loss of any single medium; and (4) persistence under stress — the system maintains coherence through demographic, ecological, or political disruption .</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These criteria were operationalized quantitatively in the global synthesis paper  through the formal DSSM decision matrix, where each criterion is diagnosed against a specific threshold: archaeological continuity of at least 500 years for intergenerational repetition; recurrent orientation or enclosure for spatial constraint; expression across at least two material and ritual media for redundancy; and documented continuity across a qualified disruption event for stress persistence.</w:t>
      </w:r>
    </w:p>
    <w:p w:rsidR="00956260" w:rsidRPr="00D06480" w:rsidRDefault="00000000">
      <w:pPr>
        <w:pStyle w:val="Heading2"/>
        <w:rPr>
          <w:rFonts w:ascii="Gill Sans MT" w:hAnsi="Gill Sans MT"/>
        </w:rPr>
      </w:pPr>
      <w:r w:rsidRPr="00D06480">
        <w:rPr>
          <w:rFonts w:ascii="Gill Sans MT" w:hAnsi="Gill Sans MT"/>
        </w:rPr>
        <w:t>3.2 The Four Stages</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 xml:space="preserve">The DSSM developmental sequence — its most technically demanding contribution — specifies that Stages 1 through 4 must occur in order, with temporal lags predictable in advance from neural consolidation timescales . Stage 1 (Embodied Symbolic Familiarity) involves the consolidation of procedural motor sequences into shared community practice. Stage 2 (Ritualized Repetition) involves the social sanctioning and constraint of those sequences into stylized, learnable, culturally transmissible patterns — what the cognitive science of ritual identifies as the doctrinal mode of high-frequency, low-arousal rituals (Whitehouse, 2004). Stage 3 (Material Amplification and Externalization) is the threshold mechanism: when community size consistently exceeds approximately 500 individuals, face-to-face transmission becomes structurally insufficient to maintain symbolic fidelity, generating adaptive pressure to externalize symbolic content into durable, portable, standardized objects (Henrich, 2015; Richerson et al., 2016). Stage 4 (Cognitive Offloading </w:t>
      </w:r>
      <w:r w:rsidRPr="00D06480">
        <w:rPr>
          <w:rFonts w:ascii="Gill Sans MT" w:hAnsi="Gill Sans MT"/>
          <w:color w:val="000000"/>
        </w:rPr>
        <w:lastRenderedPageBreak/>
        <w:t>and Institutional Emergence) transfers memory, coordination, and authority from individual cognition into institutional structures — the mechanism of state formation.</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Stage 3 is the discriminating threshold. Regions with strong Stage 1 and 2 development that fail to cross Stage 3 — whether through fragmentation, deliberate maintenance of small community sizes, or insufficient connectivity — do not produce institutional emergence. This is DSSM's most powerful predictive claim, and its treatment of negative cases (Section 9) is built entirely on this specification.</w:t>
      </w:r>
    </w:p>
    <w:p w:rsidR="00956260" w:rsidRPr="00D06480" w:rsidRDefault="00956260">
      <w:pPr>
        <w:spacing w:before="200"/>
        <w:rPr>
          <w:rFonts w:ascii="Gill Sans MT" w:hAnsi="Gill Sans MT"/>
        </w:rPr>
      </w:pP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THE FOUR DSSM STAGES</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STAGE 1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Embodied Symbolic Familiarity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Neural: Basal ganglia / cerebellum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Window: 100–500 years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Signal: Repeated spatial layouts, tool CV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STAGE 2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Ritualized Repetition &amp; Stabilization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Neural: Long-term potentiation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Window: 200–800 years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Signal: Decreasing artifact CV (&lt;0.25)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STAGE 3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Material Amplification &amp; Externalization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Threshold: Community size &gt; ~500 persons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Window: 300–1,000 years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Signal: Portable anchors, CV &lt; 0.15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STAGE 4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Cognitive Offloading &amp; Institutional Emergence</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Neural: Shared intentionality networks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Signal: Writing, monuments, state apparatus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NOTE: Stages must occur IN ORDER. Stage 3 is the</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discriminating threshold for institutional emergence.</w:t>
      </w:r>
    </w:p>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Figure 2. The DSSM Four-Stage Developmental Sequence with neural mechanisms and archaeological signals.</w:t>
      </w:r>
    </w:p>
    <w:p w:rsidR="00D06480" w:rsidRDefault="00D06480">
      <w:pPr>
        <w:pStyle w:val="Heading2"/>
        <w:rPr>
          <w:rFonts w:ascii="Gill Sans MT" w:hAnsi="Gill Sans MT"/>
        </w:rPr>
      </w:pPr>
    </w:p>
    <w:p w:rsidR="00956260" w:rsidRPr="00D06480" w:rsidRDefault="00000000">
      <w:pPr>
        <w:pStyle w:val="Heading2"/>
        <w:rPr>
          <w:rFonts w:ascii="Gill Sans MT" w:hAnsi="Gill Sans MT"/>
        </w:rPr>
      </w:pPr>
      <w:r w:rsidRPr="00D06480">
        <w:rPr>
          <w:rFonts w:ascii="Gill Sans MT" w:hAnsi="Gill Sans MT"/>
        </w:rPr>
        <w:t>3.3 The Field Companion Protocol (FCP)</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The FCP  is the DSSM's operational measurement instrument. Six observables are scored on a 0-to-2 scale: Mnemonic Architectures (repeated spatial layouts); Symbolic Stabilization (decreasing artifact coefficient of variation across strata); Externalized Cognition (durable marking systems and standardized inscriptions); Symbolic Regulation (constraints on production or deposition overriding functional optimum); Distributed Symbolic Authority (recurrent practices across geographically dispersed sites); and Portable Symbolic Anchors (objects functioning as inter-community symbolic carriers). DSSM saturation requires a total score of at least 7/8 with no criterion scored 0.</w:t>
      </w:r>
    </w:p>
    <w:p w:rsidR="00956260" w:rsidRDefault="00000000">
      <w:pPr>
        <w:spacing w:after="160" w:line="360" w:lineRule="auto"/>
        <w:jc w:val="both"/>
        <w:rPr>
          <w:rFonts w:ascii="Gill Sans MT" w:hAnsi="Gill Sans MT"/>
          <w:color w:val="000000"/>
        </w:rPr>
      </w:pPr>
      <w:r w:rsidRPr="00D06480">
        <w:rPr>
          <w:rFonts w:ascii="Gill Sans MT" w:hAnsi="Gill Sans MT"/>
          <w:color w:val="000000"/>
        </w:rPr>
        <w:lastRenderedPageBreak/>
        <w:t>The Egypt V2 paper  introduced a decisive methodological refinement: the two-dimensional (2D) scoring system. Each observable is scored independently on Evidence Strength (E) and Symbolic Specificity (S), with a minimum-rule combination (final score = min(E, S)). This prevents evidence robustness from compensating for symbolic ambiguity. A period with abundant but functionally explicable patterns can score high on E but low on S, producing a min(E, S) total that honestly reflects interpretive uncertainty. Egyptian period scores range from 4.5/12 (Badarian) to 12/12 (Old Kingdom) — genuine evidential variance, not circular confirmation.</w:t>
      </w:r>
    </w:p>
    <w:p w:rsidR="00D06480" w:rsidRPr="00D06480" w:rsidRDefault="00D06480">
      <w:pPr>
        <w:spacing w:after="160" w:line="360" w:lineRule="auto"/>
        <w:jc w:val="both"/>
        <w:rPr>
          <w:rFonts w:ascii="Gill Sans MT" w:hAnsi="Gill Sans MT"/>
        </w:rPr>
      </w:pPr>
    </w:p>
    <w:p w:rsidR="00956260" w:rsidRPr="00D06480" w:rsidRDefault="00000000">
      <w:pPr>
        <w:spacing w:before="240" w:after="80"/>
        <w:jc w:val="center"/>
        <w:rPr>
          <w:rFonts w:ascii="Gill Sans MT" w:hAnsi="Gill Sans MT"/>
        </w:rPr>
      </w:pPr>
      <w:r w:rsidRPr="00D06480">
        <w:rPr>
          <w:rFonts w:ascii="Gill Sans MT" w:hAnsi="Gill Sans MT"/>
          <w:b/>
          <w:bCs/>
          <w:sz w:val="20"/>
          <w:szCs w:val="20"/>
        </w:rPr>
        <w:t>Table 2. The 2D Field Companion Protocol: Six Observables with Scoring Criteria</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200"/>
        <w:gridCol w:w="2200"/>
        <w:gridCol w:w="2760"/>
      </w:tblGrid>
      <w:tr w:rsidR="00956260" w:rsidRPr="00D06480">
        <w:tblPrEx>
          <w:tblCellMar>
            <w:top w:w="0" w:type="dxa"/>
            <w:bottom w:w="0" w:type="dxa"/>
          </w:tblCellMar>
        </w:tblPrEx>
        <w:trPr>
          <w:tblHeader/>
        </w:trPr>
        <w:tc>
          <w:tcPr>
            <w:tcW w:w="16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Observable</w:t>
            </w:r>
          </w:p>
        </w:tc>
        <w:tc>
          <w:tcPr>
            <w:tcW w:w="22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Field Translation</w:t>
            </w:r>
          </w:p>
        </w:tc>
        <w:tc>
          <w:tcPr>
            <w:tcW w:w="22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Evidence Strength (E) Threshold</w:t>
            </w:r>
          </w:p>
        </w:tc>
        <w:tc>
          <w:tcPr>
            <w:tcW w:w="27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Symbolic Specificity (S) Threshold</w:t>
            </w:r>
          </w:p>
        </w:tc>
      </w:tr>
      <w:tr w:rsidR="00956260" w:rsidRPr="00D06480">
        <w:tblPrEx>
          <w:tblCellMar>
            <w:top w:w="0" w:type="dxa"/>
            <w:bottom w:w="0" w:type="dxa"/>
          </w:tblCellMar>
        </w:tblPrEx>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Mnemonic Architectures</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Repeated spatial layouts; standardized tool morphologies</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consistent pattern across 3+ independent contexts</w:t>
            </w:r>
          </w:p>
        </w:tc>
        <w:tc>
          <w:tcPr>
            <w:tcW w:w="27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systematic non-functional spatial constraint</w:t>
            </w:r>
          </w:p>
        </w:tc>
      </w:tr>
      <w:tr w:rsidR="00956260" w:rsidRPr="00D06480">
        <w:tblPrEx>
          <w:tblCellMar>
            <w:top w:w="0" w:type="dxa"/>
            <w:bottom w:w="0" w:type="dxa"/>
          </w:tblCellMar>
        </w:tblPrEx>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Symbolic Stabilization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Decreasing artifact CV across strata</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CV &lt; 0.15 maintained across 3+ strata</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CV pattern requires symbolic transmission account</w:t>
            </w:r>
          </w:p>
        </w:tc>
      </w:tr>
      <w:tr w:rsidR="00956260" w:rsidRPr="00D06480">
        <w:tblPrEx>
          <w:tblCellMar>
            <w:top w:w="0" w:type="dxa"/>
            <w:bottom w:w="0" w:type="dxa"/>
          </w:tblCellMar>
        </w:tblPrEx>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Externalized Cognition</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Durable marks, standardized inscriptions, persistent motifs</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systematic, recurring, cross-media, inter-site</w:t>
            </w:r>
          </w:p>
        </w:tc>
        <w:tc>
          <w:tcPr>
            <w:tcW w:w="27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clear symbolic function, non-local distribution</w:t>
            </w:r>
          </w:p>
        </w:tc>
      </w:tr>
      <w:tr w:rsidR="00956260" w:rsidRPr="00D06480">
        <w:tblPrEx>
          <w:tblCellMar>
            <w:top w:w="0" w:type="dxa"/>
            <w:bottom w:w="0" w:type="dxa"/>
          </w:tblCellMar>
        </w:tblPrEx>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Symbolic Regulation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Constraints overriding functional optimisation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systematic non-functional patterning (p &lt; 0.01)</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consistent symbolic override of function</w:t>
            </w:r>
          </w:p>
        </w:tc>
      </w:tr>
      <w:tr w:rsidR="00956260" w:rsidRPr="00D06480">
        <w:tblPrEx>
          <w:tblCellMar>
            <w:top w:w="0" w:type="dxa"/>
            <w:bottom w:w="0" w:type="dxa"/>
          </w:tblCellMar>
        </w:tblPrEx>
        <w:tc>
          <w:tcPr>
            <w:tcW w:w="16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Distributed Symbolic Authority</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Recurrent practices across dispersed sites</w:t>
            </w:r>
          </w:p>
        </w:tc>
        <w:tc>
          <w:tcPr>
            <w:tcW w:w="2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3+ sites within &gt;50 km radius</w:t>
            </w:r>
          </w:p>
        </w:tc>
        <w:tc>
          <w:tcPr>
            <w:tcW w:w="27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inter-site similarity requires shared symbolic convention</w:t>
            </w:r>
          </w:p>
        </w:tc>
      </w:tr>
      <w:tr w:rsidR="00956260" w:rsidRPr="00D06480">
        <w:tblPrEx>
          <w:tblCellMar>
            <w:top w:w="0" w:type="dxa"/>
            <w:bottom w:w="0" w:type="dxa"/>
          </w:tblCellMar>
        </w:tblPrEx>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Portable Symbolic Anchors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Objects as inter-community symbolic carriers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standardized, &gt;30% non-local, wide distribution</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 = objects function as inter-community symbolic media</w:t>
            </w:r>
          </w:p>
        </w:tc>
      </w:tr>
    </w:tbl>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Final score per observable = min(E, S). DSSM saturation requires total ≥ 7/8 with no criterion scored 0. Source: Vondoom (2026b; 2026d).</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4. Macro-Regional Evidence</w:t>
      </w:r>
    </w:p>
    <w:p w:rsidR="00956260" w:rsidRPr="00D06480" w:rsidRDefault="00000000">
      <w:pPr>
        <w:pStyle w:val="Heading2"/>
        <w:rPr>
          <w:rFonts w:ascii="Gill Sans MT" w:hAnsi="Gill Sans MT"/>
        </w:rPr>
      </w:pPr>
      <w:r w:rsidRPr="00D06480">
        <w:rPr>
          <w:rFonts w:ascii="Gill Sans MT" w:hAnsi="Gill Sans MT"/>
        </w:rPr>
        <w:t>4.1 Egypt: The Nile Corridor Baseline</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Egypt is the diagnostic benchmark precisely because its preservation is exceptional . The Nile corridor combines ecological seasonality, predictable aggregation rhythms, and archaeological visibility, making symbolic stabilization empirically observable across deep time. The Qurta petroglyphs (c. 19,000–15,000 BCE), together with panels at el-Hosh and Wadi Abu Subeira, demonstrate repeated symbolic investment in river-adjacent rock faces — deliberate, labor-intensive, ecologically anchored mnemonic anchors establishing Stage 1 at landscape scale (Huyge, 2011; Storemyr, 2012). Ochre use introduces cross-media redundancy: symbolic meaning is not confined to fixed landscape anchors but is continuously reactivated through bodily practice and re-synchronized at Epipaleolithic aggregation sites such as Wadi Kubbaniya (Wendorf &amp; Schild, 1974).</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Predynastic mortuary systems — particularly Badarian and Naqada cemeteries — demonstrate Stage 2 consolidation: consistent burial orientation, standardized grave goods, and ancestor-focused cosmology maintained entirely through oral and ritual means across climatic disruption. The abrupt scaling of monumentality in Naqada III and the Early Dynastic period is not anomalous; it is the material compression of a symbolic load accumulated over tens of millennia. Egypt's three-millennium structural stability — axial orientation, mortuary cosmology, and divine kingship persisting through the First Intermediate Period, the Second Intermediate Period, and into Ptolemaic rule — is precisely what DSSM predicts for a system stabilized at Stage 3 and above: inertia independent of the political regimes that subsequently utilize it (Kemp, 2006; Trigger, 2003).</w:t>
      </w:r>
    </w:p>
    <w:p w:rsidR="00956260" w:rsidRPr="00D06480" w:rsidRDefault="00000000">
      <w:pPr>
        <w:pStyle w:val="Heading2"/>
        <w:rPr>
          <w:rFonts w:ascii="Gill Sans MT" w:hAnsi="Gill Sans MT"/>
        </w:rPr>
      </w:pPr>
      <w:r w:rsidRPr="00D06480">
        <w:rPr>
          <w:rFonts w:ascii="Gill Sans MT" w:hAnsi="Gill Sans MT"/>
        </w:rPr>
        <w:t>4.2 Mesopotamia: Aggregation and Stress Testing</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Mesopotamia provides the ecological contrast case. Where the Nile's inundation creates predictable aggregation rhythms, the Tigris-Euphrates corridor is characterized by climatic volatility and hydrological unpredictability. Yet symbolic systems stabilize on comparable timescales, demonstrating that stabilization is not environmentally determined but requires redundancy across ritual, architecture, and material culture to persist . The Ubaid sequence (c. 5,500–4,000 BCE) demonstrates spatial regularization, standardized ceramics, and communal feasting prior to proto-cuneiform emergence — FCP Stage 1 and 2 evidence well before administrative writing. The DSSM saturation date for Mesopotamia is estimated at approximately 8,000 BCE .</w:t>
      </w:r>
    </w:p>
    <w:p w:rsidR="00956260" w:rsidRPr="00D06480" w:rsidRDefault="00000000">
      <w:pPr>
        <w:pStyle w:val="Heading2"/>
        <w:rPr>
          <w:rFonts w:ascii="Gill Sans MT" w:hAnsi="Gill Sans MT"/>
        </w:rPr>
      </w:pPr>
      <w:r w:rsidRPr="00D06480">
        <w:rPr>
          <w:rFonts w:ascii="Gill Sans MT" w:hAnsi="Gill Sans MT"/>
        </w:rPr>
        <w:lastRenderedPageBreak/>
        <w:t>4.3 East Asia: Portable Permanence</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East Asia is the most analytically valuable comparator because it demonstrates a prolonged absence of large-scale stone monumentality despite clear symbolic complexity . The Jiahu site (c. 7,000–5,700 BCE) marks the first clear instance of full symbolic stabilization in East Asia: turtle shell markings, standardized burial orientations, and bone flutes introduce redundancy across visual, spatial, and auditory media. The Yangshao horizon (c. 5,000–3,000 BCE) expands stabilization across a vast territory through distributed ceramic grammars without centralized monumentality. The Hongshan culture (c. 3,300–2,300 BCE) demonstrates that DSSM saturation does not require large-scale architecture: jade bi, cong, and figurines concentrate symbolic authority into durable portable objects, achieving full stabilization through an alternative medium. Monumental externalization at Erlitou appears only after millennia of symbolic buildup — late-stage compression, not origin (Liu &amp; Chen, 2021).</w:t>
      </w:r>
    </w:p>
    <w:p w:rsidR="00956260" w:rsidRPr="00D06480" w:rsidRDefault="00000000">
      <w:pPr>
        <w:pStyle w:val="Heading2"/>
        <w:rPr>
          <w:rFonts w:ascii="Gill Sans MT" w:hAnsi="Gill Sans MT"/>
        </w:rPr>
      </w:pPr>
      <w:r w:rsidRPr="00D06480">
        <w:rPr>
          <w:rFonts w:ascii="Gill Sans MT" w:hAnsi="Gill Sans MT"/>
        </w:rPr>
        <w:t>4.4 Mesoamerica: Ritual Networks Without Axial Rivers</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Mesoamerica is the structural stress test for the model's geographic assumptions: no unifying river corridor, extreme ecological fragmentation, and prolonged delays between symbolic stabilization and monumentality . Stabilization is achieved through ritual exchange networks, seasonal aggregation cycles, and shared symbolic grammars across ecologically fragmented regions. Early Formative societies (c. 4,000–2,500 BCE) exhibit fixed village plans, formalized burials, repeated figurine types, and long-distance exchange of jade and obsidian — satisfying all four DSSM criteria. The Olmec portable ritual object system (c. 1,800–1,400 BCE) is structurally analogous to Hongshan jade: symbolic authority concentrated in portable objects preceding monumental platforms. Epi-Olmec and Maya writing systems, appearing from c. 900 BCE onward, formalize symbolic systems already deeply stabilized (Marcus, 1992).</w:t>
      </w:r>
    </w:p>
    <w:p w:rsidR="00956260" w:rsidRPr="00D06480" w:rsidRDefault="00000000">
      <w:pPr>
        <w:pStyle w:val="Heading2"/>
        <w:rPr>
          <w:rFonts w:ascii="Gill Sans MT" w:hAnsi="Gill Sans MT"/>
        </w:rPr>
      </w:pPr>
      <w:r w:rsidRPr="00D06480">
        <w:rPr>
          <w:rFonts w:ascii="Gill Sans MT" w:hAnsi="Gill Sans MT"/>
        </w:rPr>
        <w:t>4.5 Indus Valley: Infrastructural Embedding</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 xml:space="preserve">The Indus Valley presents DSSM's fourth stabilization pathway: symbolic systems embedded in infrastructure, standardization, and quotidian practice rather than in monuments or elite iconography . Mehrgarh (c. 7,000–3,300 BCE) provides the earliest fully compliant South Asian system — intergenerational repetition through burial customs and domestic architecture, spatial constraint through settlement planning, cross-media redundancy across subsistence, craft, and </w:t>
      </w:r>
      <w:r w:rsidRPr="00D06480">
        <w:rPr>
          <w:rFonts w:ascii="Gill Sans MT" w:hAnsi="Gill Sans MT"/>
          <w:color w:val="000000"/>
        </w:rPr>
        <w:lastRenderedPageBreak/>
        <w:t>mortuary domains (Jarrige, 2012). Mature Harappan cities (c. 2,600–1,900 BCE) demonstrate the highest form of symbolic saturation: orthogonal planning, standardized bricks and weights, sophisticated drainage, and seal iconography integrating ritual practices into everyday spatial logic. Crucially, this is achieved without theocratic monarchy or overt temple hierarchy — symbolic authority distributed across civic infrastructure rather than centralized in elite display (Kenoyer, 2017; Possehl, 2002).</w:t>
      </w:r>
    </w:p>
    <w:p w:rsidR="00956260" w:rsidRPr="00D06480" w:rsidRDefault="00000000">
      <w:pPr>
        <w:pStyle w:val="Heading2"/>
        <w:rPr>
          <w:rFonts w:ascii="Gill Sans MT" w:hAnsi="Gill Sans MT"/>
        </w:rPr>
      </w:pPr>
      <w:r w:rsidRPr="00D06480">
        <w:rPr>
          <w:rFonts w:ascii="Gill Sans MT" w:hAnsi="Gill Sans MT"/>
        </w:rPr>
        <w:t>4.6 Sri Lanka: Symbolic Sufficiency as Control Case</w:t>
      </w:r>
    </w:p>
    <w:p w:rsidR="00956260" w:rsidRDefault="00000000" w:rsidP="00D06480">
      <w:pPr>
        <w:spacing w:after="160" w:line="360" w:lineRule="auto"/>
        <w:ind w:firstLine="720"/>
        <w:jc w:val="both"/>
        <w:rPr>
          <w:rFonts w:ascii="Gill Sans MT" w:hAnsi="Gill Sans MT"/>
          <w:color w:val="000000"/>
        </w:rPr>
      </w:pPr>
      <w:r w:rsidRPr="00D06480">
        <w:rPr>
          <w:rFonts w:ascii="Gill Sans MT" w:hAnsi="Gill Sans MT"/>
          <w:color w:val="000000"/>
        </w:rPr>
        <w:t>Sri Lanka is the model's control case — the region that most clearly demonstrates what symbolic systems look like when monumentality never becomes necessary . Despite one of the longest continuous records of anatomically modern human occupation in South Asia (beginning at least 48,000 BP at Fa Hien Cave), the island develops no sustained trajectory toward large ritual architecture prior to historic Buddhist traditions. DSSM frames this not as arrested development but as symbolic sufficiency: at the community sizes and ecological conditions maintained by Sri Lankan forager-mnemonic populations, face-to-face embodied and ritualized transmission was fully sufficient to maintain symbolic fidelity. Full DSSM saturation is estimated at approximately 28,000–18,000 BP — earlier than Egypt, Mesopotamia, East Asia, or Mesoamerica — without a single monument.</w:t>
      </w:r>
    </w:p>
    <w:p w:rsidR="00D06480" w:rsidRDefault="00D06480" w:rsidP="00D06480">
      <w:pPr>
        <w:spacing w:after="160" w:line="360" w:lineRule="auto"/>
        <w:ind w:firstLine="720"/>
        <w:jc w:val="both"/>
        <w:rPr>
          <w:rFonts w:ascii="Gill Sans MT" w:hAnsi="Gill Sans MT"/>
          <w:color w:val="000000"/>
        </w:rPr>
      </w:pPr>
    </w:p>
    <w:p w:rsidR="00D06480" w:rsidRDefault="00D06480" w:rsidP="00D06480">
      <w:pPr>
        <w:spacing w:after="160" w:line="360" w:lineRule="auto"/>
        <w:ind w:firstLine="720"/>
        <w:jc w:val="both"/>
        <w:rPr>
          <w:rFonts w:ascii="Gill Sans MT" w:hAnsi="Gill Sans MT"/>
          <w:color w:val="000000"/>
        </w:rPr>
      </w:pPr>
    </w:p>
    <w:p w:rsidR="00D06480" w:rsidRDefault="00D06480" w:rsidP="00D06480">
      <w:pPr>
        <w:spacing w:after="160" w:line="360" w:lineRule="auto"/>
        <w:ind w:firstLine="720"/>
        <w:jc w:val="both"/>
        <w:rPr>
          <w:rFonts w:ascii="Gill Sans MT" w:hAnsi="Gill Sans MT"/>
          <w:color w:val="000000"/>
        </w:rPr>
      </w:pPr>
    </w:p>
    <w:p w:rsidR="00D06480" w:rsidRDefault="00D06480" w:rsidP="00D06480">
      <w:pPr>
        <w:spacing w:after="160" w:line="360" w:lineRule="auto"/>
        <w:ind w:firstLine="720"/>
        <w:jc w:val="both"/>
        <w:rPr>
          <w:rFonts w:ascii="Gill Sans MT" w:hAnsi="Gill Sans MT"/>
          <w:color w:val="000000"/>
        </w:rPr>
      </w:pPr>
    </w:p>
    <w:p w:rsidR="00D06480" w:rsidRDefault="00D06480" w:rsidP="00D06480">
      <w:pPr>
        <w:spacing w:after="160" w:line="360" w:lineRule="auto"/>
        <w:ind w:firstLine="720"/>
        <w:jc w:val="both"/>
        <w:rPr>
          <w:rFonts w:ascii="Gill Sans MT" w:hAnsi="Gill Sans MT"/>
          <w:color w:val="000000"/>
        </w:rPr>
      </w:pPr>
    </w:p>
    <w:p w:rsidR="00D06480" w:rsidRDefault="00D06480" w:rsidP="00D06480">
      <w:pPr>
        <w:spacing w:after="160" w:line="360" w:lineRule="auto"/>
        <w:ind w:firstLine="720"/>
        <w:jc w:val="both"/>
        <w:rPr>
          <w:rFonts w:ascii="Gill Sans MT" w:hAnsi="Gill Sans MT"/>
          <w:color w:val="000000"/>
        </w:rPr>
      </w:pPr>
    </w:p>
    <w:p w:rsidR="00D06480" w:rsidRDefault="00D06480" w:rsidP="00D06480">
      <w:pPr>
        <w:spacing w:after="160" w:line="360" w:lineRule="auto"/>
        <w:ind w:firstLine="720"/>
        <w:jc w:val="both"/>
        <w:rPr>
          <w:rFonts w:ascii="Gill Sans MT" w:hAnsi="Gill Sans MT"/>
          <w:color w:val="000000"/>
        </w:rPr>
      </w:pPr>
    </w:p>
    <w:p w:rsidR="00D06480" w:rsidRDefault="00D06480" w:rsidP="00D06480">
      <w:pPr>
        <w:spacing w:after="160" w:line="360" w:lineRule="auto"/>
        <w:ind w:firstLine="720"/>
        <w:jc w:val="both"/>
        <w:rPr>
          <w:rFonts w:ascii="Gill Sans MT" w:hAnsi="Gill Sans MT"/>
          <w:color w:val="000000"/>
        </w:rPr>
      </w:pPr>
    </w:p>
    <w:p w:rsidR="00D06480" w:rsidRPr="00D06480" w:rsidRDefault="00D06480" w:rsidP="00D06480">
      <w:pPr>
        <w:spacing w:after="160" w:line="360" w:lineRule="auto"/>
        <w:ind w:firstLine="720"/>
        <w:jc w:val="both"/>
        <w:rPr>
          <w:rFonts w:ascii="Gill Sans MT" w:hAnsi="Gill Sans MT"/>
        </w:rPr>
      </w:pPr>
    </w:p>
    <w:p w:rsidR="00956260" w:rsidRPr="00D06480" w:rsidRDefault="00000000">
      <w:pPr>
        <w:spacing w:before="240" w:after="80"/>
        <w:jc w:val="center"/>
        <w:rPr>
          <w:rFonts w:ascii="Gill Sans MT" w:hAnsi="Gill Sans MT"/>
        </w:rPr>
      </w:pPr>
      <w:r w:rsidRPr="00D06480">
        <w:rPr>
          <w:rFonts w:ascii="Gill Sans MT" w:hAnsi="Gill Sans MT"/>
          <w:b/>
          <w:bCs/>
          <w:sz w:val="20"/>
          <w:szCs w:val="20"/>
        </w:rPr>
        <w:lastRenderedPageBreak/>
        <w:t>Table 3. Comparative DSSM Synthesis Across Six Macro-Regions</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73"/>
        <w:gridCol w:w="1787"/>
        <w:gridCol w:w="1403"/>
        <w:gridCol w:w="1667"/>
        <w:gridCol w:w="1056"/>
        <w:gridCol w:w="1474"/>
      </w:tblGrid>
      <w:tr w:rsidR="00956260" w:rsidRPr="00D06480">
        <w:tblPrEx>
          <w:tblCellMar>
            <w:top w:w="0" w:type="dxa"/>
            <w:bottom w:w="0" w:type="dxa"/>
          </w:tblCellMar>
        </w:tblPrEx>
        <w:trPr>
          <w:tblHeader/>
        </w:trPr>
        <w:tc>
          <w:tcPr>
            <w:tcW w:w="14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Region</w:t>
            </w:r>
          </w:p>
        </w:tc>
        <w:tc>
          <w:tcPr>
            <w:tcW w:w="20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Stabilization Pathway</w:t>
            </w:r>
          </w:p>
        </w:tc>
        <w:tc>
          <w:tcPr>
            <w:tcW w:w="15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DSSM Saturation (est.)</w:t>
            </w:r>
          </w:p>
        </w:tc>
        <w:tc>
          <w:tcPr>
            <w:tcW w:w="12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Monumentality</w:t>
            </w:r>
          </w:p>
        </w:tc>
        <w:tc>
          <w:tcPr>
            <w:tcW w:w="11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Writing</w:t>
            </w:r>
          </w:p>
        </w:tc>
        <w:tc>
          <w:tcPr>
            <w:tcW w:w="15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Key Media</w:t>
            </w:r>
          </w:p>
        </w:tc>
      </w:tr>
      <w:tr w:rsidR="00956260" w:rsidRPr="00D06480">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Egypt (Nile)</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Axial-River / Stone Anchor</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~12,500 BCE</w:t>
            </w:r>
          </w:p>
        </w:tc>
        <w:tc>
          <w:tcPr>
            <w:tcW w:w="1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~3,200 BCE</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~3,200 BCE</w:t>
            </w:r>
          </w:p>
        </w:tc>
        <w:tc>
          <w:tcPr>
            <w:tcW w:w="15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Architecture, burials, ochre</w:t>
            </w:r>
          </w:p>
        </w:tc>
      </w:tr>
      <w:tr w:rsidR="00956260" w:rsidRPr="00D06480">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Mesopotamia</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Axial-River / Settlement Repetition</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~8,000 BCE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~3,100 BCE</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~3,100 BCE</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Architecture, ritual craft</w:t>
            </w:r>
          </w:p>
        </w:tc>
      </w:tr>
      <w:tr w:rsidR="00956260" w:rsidRPr="00D06480">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Indus Valley</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Infrastructural Embedding</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~5,500 BCE</w:t>
            </w:r>
          </w:p>
        </w:tc>
        <w:tc>
          <w:tcPr>
            <w:tcW w:w="1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~2,600 BCE</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~2,600 BCE</w:t>
            </w:r>
          </w:p>
        </w:tc>
        <w:tc>
          <w:tcPr>
            <w:tcW w:w="15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Standardized weights, seals</w:t>
            </w:r>
          </w:p>
        </w:tc>
      </w:tr>
      <w:tr w:rsidR="00956260" w:rsidRPr="00D06480">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East Asia</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Portable / Craft-Based</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~6,000 BCE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~2,000 BCE</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~1,500 BCE</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Jade, ceramics, bone flutes</w:t>
            </w:r>
          </w:p>
        </w:tc>
      </w:tr>
      <w:tr w:rsidR="00956260" w:rsidRPr="00D06480">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Mesoamerica</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Distributed / Network</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~4,000 BCE</w:t>
            </w:r>
          </w:p>
        </w:tc>
        <w:tc>
          <w:tcPr>
            <w:tcW w:w="12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~1,400 BCE</w:t>
            </w:r>
          </w:p>
        </w:tc>
        <w:tc>
          <w:tcPr>
            <w:tcW w:w="1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~900 BCE</w:t>
            </w:r>
          </w:p>
        </w:tc>
        <w:tc>
          <w:tcPr>
            <w:tcW w:w="15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Figurines, portable ritual objects</w:t>
            </w:r>
          </w:p>
        </w:tc>
      </w:tr>
      <w:tr w:rsidR="00956260" w:rsidRPr="00D06480">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Sri Lanka</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Forager-Mnemonic</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~28,000–18,000 BP</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Historic only</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Historic only</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Caves, microliths, ochre</w:t>
            </w:r>
          </w:p>
        </w:tc>
      </w:tr>
    </w:tbl>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Table 3. All saturation dates are DSSM estimates. Writing dates represent earliest securely dated evidence. Source: Vondoom (2026c; 2026j; 2026k; 2026ag).</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5. Site-Level Evidence and Special Cases</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Beyond macro-regional analysis, the DSSM corpus includes detailed site-level applications using the Field Companion Protocol, producing a comparative scoring database across sites spanning more than 170,000 years . These site reports serve two functions: they validate the FCP as an operational instrument capable of producing consistent, reproducible scores across vastly different archaeological contexts, and they provide the chronological anchor points against which the model's developmental sequence is tested.</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Bruniquel Cave, France (~176,000 BP), contains two annular structures composed of approximately 400 broken stalagmites located 336 meters inside the cave in total darkness. The structures demonstrate deliberate geometry, standardized fragment lengths averaging 0.5 to 1.2 meters with low coefficient of variation, and fire-altered surfaces without associated domestic debris. The absence of food remains, lithic tools, or habitation features rules out functional explanations: the structures served a non-subsistence purpose. The depth of the location — requiring artificial lighting, fire mastery, and navigational planning — establishes that the construction was deliberate and cognitively demanding. FCP scores: Mnemonic Architectures 2/2, Symbolic Stabilization 2/2, Externalized Cognition 1/2, Symbolic Regulation 2/2, Distributed Symbolic Authority 1/2, Portable Symbolic Anchors 0/2. Total: 8/12. This is high symbolic sophistication for a Middle Pleistocene site, confirming that structured symbolic behavior predates anatomically modern humans. Neanderthals demonstrated planning, spatial memory, and hierarchical task execution — bounded, however, by the absence of portable symbolic media capable of carrying meaning outside the immediate co-presence context .</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Omo Kibish, Ethiopia (~200,000 BP), provides the earliest Homo sapiens baseline. Fossil remains including the Omo 1 specimen, pigment traces (red ochre), and stratified habitation deposits score 2/12 on the FCP — incipient symbolic behavior, non-standardized and non-redundant. This establishes the cognitive capacity for symbolic thought before structural stabilization, and provides the zero-point against which subsequent developments are measured. The contrast with Blombos Cave 100,000 years later is the model's sharpest confirmation: the same species, occupying the same continent, with an intervening period of incremental neural and behavioral development, progresses from a 2/12 to a 12/12 FCP score .</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lastRenderedPageBreak/>
        <w:t>Blombos Cave, South Africa (~100,000–70,000 BP), is the first fully DSSM-saturated symbolic system. Engraved ochre slabs with geometric cross-hatched patterns demonstrate standardized motif production across multiple stratigraphic layers, requiring intergenerational transmission of specific engraving conventions — not just the capacity for engraving but the transmission of specific symbolic forms. Perforated shell beads with morphometric standardization (Nassarius kraussianus shells, consistent perforation diameter) represent portable symbolic anchors functioning as inter-community identity markers. Structured hearths and curated artifact clusters provide spatial constraint evidence. The full FCP score of 12/12 — the maximum possible — is not awarded on the basis of any single artifact category but on the convergence of all six observable dimensions simultaneously. This convergence is what DSSM means by structural stabilization: meaning distributed across media so that no single loss disrupts the system (Vondoom, 2026n; Henshilwood et al., 2018).</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Sulawesi cave art assemblage (≥67,800 BP) in Wallacea represents the earliest securely dated representational marking system in Island Southeast Asia . Negative hand stencils in Liang Metanduno, Gua Mbokita, and Gua Anawai are dated by uranium-series methods to minimum ages of 67,800 years — minimum ages, meaning actual production could predate these measurements by unknown intervals as calcite layers form over preexisting marks. Layered pigment phases separated by large temporal intervals — one panel at Liang Metanduno showing a 35,000-year gap between pigment layers — demonstrate mnemonic anchoring at the deepest time depth currently documented for fixed symbolic locations. The structural DSSM reading is clear: these caves were not used once by a creative individual; they were returned to, layer by layer, across tens of thousands of years. That pattern is spatial constraint and intergenerational repetition simultaneously — two of the four DSSM criteria met without any monument, any writing, or any centralized authority.</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 xml:space="preserve">The NEG II Woman-Goose figurine (c. 12,000 BP, Nahal Ein Gev II, northern Israel) is the earliest known naturalistic depiction of a woman in Southwest Asian prehistory and the earliest figurine depicting human-animal interaction in the region (Vondoom, 2026q; Grosman et al., 2023). Measuring 37 millimeters in height and modeled from locally sourced clay, the figurine was fired at approximately 400°C as confirmed by FTIR analysis. Red pigment traces remain on both the human and avian figures. Microscopic analysis preserved a partial fingerprint with ridge density suggesting a young adult or adult female artisan — a rare window into the demographic specifics of prehistoric </w:t>
      </w:r>
      <w:r w:rsidRPr="00D06480">
        <w:rPr>
          <w:rFonts w:ascii="Gill Sans MT" w:hAnsi="Gill Sans MT"/>
          <w:color w:val="000000"/>
        </w:rPr>
        <w:lastRenderedPageBreak/>
        <w:t>craft production. The figurine was recovered from a semicircular stone structure containing burial deposits, emphasizing its social and symbolic context. Within DSSM, the figurine demonstrates externalized cognition at its most specific: a relational worldview — a human-goose narrative, potentially mythological — encoded in durable material form at a site positioned at the transition between mobile foraging and sedentary Natufian life.</w:t>
      </w:r>
    </w:p>
    <w:p w:rsidR="00956260" w:rsidRDefault="00000000">
      <w:pPr>
        <w:spacing w:after="160" w:line="360" w:lineRule="auto"/>
        <w:jc w:val="both"/>
        <w:rPr>
          <w:rFonts w:ascii="Gill Sans MT" w:hAnsi="Gill Sans MT"/>
          <w:color w:val="000000"/>
        </w:rPr>
      </w:pPr>
      <w:r w:rsidRPr="00D06480">
        <w:rPr>
          <w:rFonts w:ascii="Gill Sans MT" w:hAnsi="Gill Sans MT"/>
          <w:color w:val="000000"/>
        </w:rPr>
        <w:t>The Halafian pottery corpus (c. 6,200–5,500 BCE) contributes a different kind of evidence: early arithmetic and abstract spatial cognition materialized in ceramic decoration (Vondoom, 2026r; Garfinkel &amp; Krulwich, 2025). Analysis of 786 vegetal motifs across 29 Halafian sites reveals flower arrangements with radial configurations of 4, 8, 16, 32, and 64 petals, checkerboard patterns with embedded floral motifs, and concentric arrangements — a geometric progression suggesting deliberate numerical encoding. The cross-site coefficient of variation for flower motif structure is low, consistent with DSSM Stage 2 saturation across the northern Mesopotamian network. These are not mere decorative choices; they are materially externalized counting systems, spatial planning tools, and temporal organization devices — cognitive infrastructure embedded in daily-use ceramic objects and thus distributed across the full community rather than confined to elite or ritual contexts.</w:t>
      </w:r>
    </w:p>
    <w:p w:rsidR="00D06480" w:rsidRDefault="00D06480">
      <w:pPr>
        <w:spacing w:after="160" w:line="360" w:lineRule="auto"/>
        <w:jc w:val="both"/>
        <w:rPr>
          <w:rFonts w:ascii="Gill Sans MT" w:hAnsi="Gill Sans MT"/>
          <w:color w:val="000000"/>
        </w:rPr>
      </w:pPr>
    </w:p>
    <w:p w:rsidR="00D06480" w:rsidRDefault="00D06480">
      <w:pPr>
        <w:spacing w:after="160" w:line="360" w:lineRule="auto"/>
        <w:jc w:val="both"/>
        <w:rPr>
          <w:rFonts w:ascii="Gill Sans MT" w:hAnsi="Gill Sans MT"/>
          <w:color w:val="000000"/>
        </w:rPr>
      </w:pPr>
    </w:p>
    <w:p w:rsidR="00D06480" w:rsidRDefault="00D06480">
      <w:pPr>
        <w:spacing w:after="160" w:line="360" w:lineRule="auto"/>
        <w:jc w:val="both"/>
        <w:rPr>
          <w:rFonts w:ascii="Gill Sans MT" w:hAnsi="Gill Sans MT"/>
          <w:color w:val="000000"/>
        </w:rPr>
      </w:pPr>
    </w:p>
    <w:p w:rsidR="00D06480" w:rsidRDefault="00D06480">
      <w:pPr>
        <w:spacing w:after="160" w:line="360" w:lineRule="auto"/>
        <w:jc w:val="both"/>
        <w:rPr>
          <w:rFonts w:ascii="Gill Sans MT" w:hAnsi="Gill Sans MT"/>
          <w:color w:val="000000"/>
        </w:rPr>
      </w:pPr>
    </w:p>
    <w:p w:rsidR="00D06480" w:rsidRDefault="00D06480">
      <w:pPr>
        <w:spacing w:after="160" w:line="360" w:lineRule="auto"/>
        <w:jc w:val="both"/>
        <w:rPr>
          <w:rFonts w:ascii="Gill Sans MT" w:hAnsi="Gill Sans MT"/>
          <w:color w:val="000000"/>
        </w:rPr>
      </w:pPr>
    </w:p>
    <w:p w:rsidR="00D06480" w:rsidRDefault="00D06480">
      <w:pPr>
        <w:spacing w:after="160" w:line="360" w:lineRule="auto"/>
        <w:jc w:val="both"/>
        <w:rPr>
          <w:rFonts w:ascii="Gill Sans MT" w:hAnsi="Gill Sans MT"/>
          <w:color w:val="000000"/>
        </w:rPr>
      </w:pPr>
    </w:p>
    <w:p w:rsidR="00D06480" w:rsidRDefault="00D06480">
      <w:pPr>
        <w:spacing w:after="160" w:line="360" w:lineRule="auto"/>
        <w:jc w:val="both"/>
        <w:rPr>
          <w:rFonts w:ascii="Gill Sans MT" w:hAnsi="Gill Sans MT"/>
          <w:color w:val="000000"/>
        </w:rPr>
      </w:pPr>
    </w:p>
    <w:p w:rsidR="00D06480" w:rsidRDefault="00D06480">
      <w:pPr>
        <w:spacing w:after="160" w:line="360" w:lineRule="auto"/>
        <w:jc w:val="both"/>
        <w:rPr>
          <w:rFonts w:ascii="Gill Sans MT" w:hAnsi="Gill Sans MT"/>
          <w:color w:val="000000"/>
        </w:rPr>
      </w:pPr>
    </w:p>
    <w:p w:rsidR="00D06480" w:rsidRDefault="00D06480">
      <w:pPr>
        <w:spacing w:after="160" w:line="360" w:lineRule="auto"/>
        <w:jc w:val="both"/>
        <w:rPr>
          <w:rFonts w:ascii="Gill Sans MT" w:hAnsi="Gill Sans MT"/>
          <w:color w:val="000000"/>
        </w:rPr>
      </w:pPr>
    </w:p>
    <w:p w:rsidR="00D06480" w:rsidRPr="00D06480" w:rsidRDefault="00D06480">
      <w:pPr>
        <w:spacing w:after="160" w:line="360" w:lineRule="auto"/>
        <w:jc w:val="both"/>
        <w:rPr>
          <w:rFonts w:ascii="Gill Sans MT" w:hAnsi="Gill Sans MT"/>
        </w:rPr>
      </w:pPr>
    </w:p>
    <w:p w:rsidR="00956260" w:rsidRPr="00D06480" w:rsidRDefault="00000000">
      <w:pPr>
        <w:spacing w:before="240" w:after="80"/>
        <w:jc w:val="center"/>
        <w:rPr>
          <w:rFonts w:ascii="Gill Sans MT" w:hAnsi="Gill Sans MT"/>
        </w:rPr>
      </w:pPr>
      <w:r w:rsidRPr="00D06480">
        <w:rPr>
          <w:rFonts w:ascii="Gill Sans MT" w:hAnsi="Gill Sans MT"/>
          <w:b/>
          <w:bCs/>
          <w:sz w:val="20"/>
          <w:szCs w:val="20"/>
        </w:rPr>
        <w:lastRenderedPageBreak/>
        <w:t>Table 4. Comparative FCP Scores Across Key Sites (2D Min-Rule System)</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400"/>
        <w:gridCol w:w="1500"/>
        <w:gridCol w:w="1300"/>
        <w:gridCol w:w="1700"/>
        <w:gridCol w:w="2360"/>
      </w:tblGrid>
      <w:tr w:rsidR="00956260" w:rsidRPr="00D06480">
        <w:tblPrEx>
          <w:tblCellMar>
            <w:top w:w="0" w:type="dxa"/>
            <w:bottom w:w="0" w:type="dxa"/>
          </w:tblCellMar>
        </w:tblPrEx>
        <w:trPr>
          <w:tblHeader/>
        </w:trPr>
        <w:tc>
          <w:tcPr>
            <w:tcW w:w="15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Site</w:t>
            </w:r>
          </w:p>
        </w:tc>
        <w:tc>
          <w:tcPr>
            <w:tcW w:w="14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Date</w:t>
            </w:r>
          </w:p>
        </w:tc>
        <w:tc>
          <w:tcPr>
            <w:tcW w:w="15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Culture</w:t>
            </w:r>
          </w:p>
        </w:tc>
        <w:tc>
          <w:tcPr>
            <w:tcW w:w="13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FCP Score /12</w:t>
            </w:r>
          </w:p>
        </w:tc>
        <w:tc>
          <w:tcPr>
            <w:tcW w:w="17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Stage Reached</w:t>
            </w:r>
          </w:p>
        </w:tc>
        <w:tc>
          <w:tcPr>
            <w:tcW w:w="23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Key Deficit</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Omo Kibish</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~200,000 BP</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Early 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2/12</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1 (incipient)</w:t>
            </w:r>
          </w:p>
        </w:tc>
        <w:tc>
          <w:tcPr>
            <w:tcW w:w="23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No portable anchors; no redundancy</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Bruniquel Cave</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~176,000 BP</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Neanderthal</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8/12</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2 (partial)</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No portable anchors (score 0/2)</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Blombos Cave</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~100,000–70,000 BP</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12/12</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3 (saturated)</w:t>
            </w:r>
          </w:p>
        </w:tc>
        <w:tc>
          <w:tcPr>
            <w:tcW w:w="23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None — full saturation</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Sulawesi Karst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≥67,800 BP</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Early 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Partial (est.)</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1–2</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Distributed authority uncertain</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NEG II (Natufian)</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~12,000 BP</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High partial</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2–3</w:t>
            </w:r>
          </w:p>
        </w:tc>
        <w:tc>
          <w:tcPr>
            <w:tcW w:w="23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Inter-site comparison limited</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Badarian Egypt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~4,500–4,000 BCE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4.5/12</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1</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Preservation limits E-axis</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Naqada III Egypt</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~3,200–3,100 BCE</w:t>
            </w:r>
          </w:p>
        </w:tc>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10/12</w:t>
            </w:r>
          </w:p>
        </w:tc>
        <w:tc>
          <w:tcPr>
            <w:tcW w:w="17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3</w:t>
            </w:r>
          </w:p>
        </w:tc>
        <w:tc>
          <w:tcPr>
            <w:tcW w:w="23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Minor S-axis gaps</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Old Kingdom Egypt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~2,650 BCE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Homo sapiens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12/12</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4 peak</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None — full saturation</w:t>
            </w:r>
          </w:p>
        </w:tc>
      </w:tr>
    </w:tbl>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Table 4. FCP scores use 2D min-rule system (max 12). Egyptian scores from Vondoom (2026b). Site reports from Vondoom (2026l; 2026m; 2026n; 2026o; 2026q).</w:t>
      </w:r>
    </w:p>
    <w:p w:rsidR="00956260" w:rsidRPr="00D06480" w:rsidRDefault="00956260">
      <w:pPr>
        <w:spacing w:before="200"/>
        <w:rPr>
          <w:rFonts w:ascii="Gill Sans MT" w:hAnsi="Gill Sans MT"/>
        </w:rPr>
      </w:pP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DSSM CHRONOLOGICAL TIMELINE — KEY SITES &amp; SATURATION EVENTS</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200,000 BP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Omo Kibish — Score 2/12 (incipient)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176,000 BP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Bruniquel Cave — Score 8/12 (Neanderthal proto-ritual)</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100,000 BP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Blombos Cave — Score 12/12 (FIRST FULL SATURATION)</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67,800 BP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Sulawesi cave art (earliest dated markings, Wallacea)</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48,000 BP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Fa Hien Cave, Sri Lanka (forager-mnemonic pathway)</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28,000 BP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Sri Lanka — full DSSM saturation (no monuments needed)</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12,500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Egypt — DSSM saturation begins (Qurta rock art)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12,000 BP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NEG II Woman-Goose figurine (Natufian narrative cognition)</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8,000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Mesopotamia — DSSM saturation</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7,000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Mehrgarh — South Asia first fully compliant system</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6,000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East Asia — DSSM saturation (Jiahu)</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5,700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Vinca — Europe's first fully compliant system</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4,000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Mesoamerica — DSSM saturation</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3,200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Egypt Naqada III — writing &amp; monumentality emerge</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2,600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Mature Harappan urban integration</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2,000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Erlitou — East Asian monumentality</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1,400 BCE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Late Olmec — Mesoamerican monumentality</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KEY: Saturation ALWAYS precedes monumentality &amp; writing</w:t>
      </w:r>
    </w:p>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Figure 3. DSSM Chronological Timeline: key saturation events and their relationship to monumentality and writing.</w:t>
      </w:r>
    </w:p>
    <w:p w:rsidR="00956260" w:rsidRDefault="00000000" w:rsidP="00D06480">
      <w:pPr>
        <w:rPr>
          <w:rFonts w:ascii="Gill Sans MT" w:hAnsi="Gill Sans MT"/>
          <w:b/>
          <w:bCs/>
          <w:caps/>
          <w:sz w:val="28"/>
          <w:szCs w:val="28"/>
        </w:rPr>
      </w:pPr>
      <w:r w:rsidRPr="00D06480">
        <w:rPr>
          <w:rFonts w:ascii="Gill Sans MT" w:hAnsi="Gill Sans MT"/>
        </w:rPr>
        <w:br w:type="page"/>
      </w:r>
      <w:r w:rsidRPr="00D06480">
        <w:rPr>
          <w:rFonts w:ascii="Gill Sans MT" w:hAnsi="Gill Sans MT"/>
          <w:b/>
          <w:bCs/>
          <w:caps/>
          <w:sz w:val="28"/>
          <w:szCs w:val="28"/>
        </w:rPr>
        <w:lastRenderedPageBreak/>
        <w:t>6. Writing as Contingent Codification</w:t>
      </w:r>
    </w:p>
    <w:p w:rsidR="00D06480" w:rsidRPr="00D06480" w:rsidRDefault="00D06480" w:rsidP="00D06480">
      <w:pPr>
        <w:rPr>
          <w:rFonts w:ascii="Gill Sans MT" w:hAnsi="Gill Sans MT"/>
        </w:rPr>
      </w:pP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One of the DSSM's most consequential claims concerns writing. Against the conventional framing of writing as a cognitive invention marking civilizational arrival, the DSSM argues that writing is a contingent structural response to symbolic saturation — one possible resolution to symbolic overload, not a universal milestone .</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evidence is consistent across all five positive-case regions. In Egypt, computational corpus analysis (Stauder, 2018; Regulski, 2010) documents that 68% of early hieroglyphic graphemic elements are traceable to prior material culture — exceeding the 50% threshold specified in Prediction P2. In Mesopotamia, numerical tablets and accounting tokens predate narrative texts; administrative density in proto-cuneiform correlates with storage and labor control rather than linguistic elaboration (Nissen, 1988). In East Asia, Shang oracle bone inscriptions formalize lineage, ritual obligation, and cosmology already encoded in bronze vessel programs dating centuries earlier. In Mesoamerica, Epi-Olmec and Maya writing encode ancestral time and political legitimacy within symbolic systems stabilized through calendrical and ritual networks for over a millennium.</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Vinca, Indus, and Sri Lanka cases are the sharpest tests of writing's contingency. Vinca symbols (c. 5,700–4,500 BCE) — Europe's first fully DSSM-compliant symbolic system — demonstrate cross-media redundancy, intergenerational persistence, and standardization across pottery, figurines, and portable tablets without developing into phonetic or logographic writing . DSSM explains this: Vinca symbolic load was resolved through distributed practice and portable marking before network fragmentation under Eneolithic demographic pressure. The Indus Civilization — coordinating large-scale urban economies without deciphered writing — resolved symbolic complexity through infrastructural standardization: brick ratios, weight systems, and spatial grammar performing the cognitive offloading that writing performs in Mesopotamia and Egypt (Kenoyer, 2017; Possehl, 2002). Sri Lanka resolved symbolic load through oral and ecological embedding for tens of millennia without requiring any external notation system.</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 xml:space="preserve">The unified DSSM position on writing is therefore: writing is what happens when symbolic redundancy becomes inefficient and memory exceeds embodied capacity; it is compression, not awakening. Regions that achieve symbolic saturation through alternative mechanisms — </w:t>
      </w:r>
      <w:r w:rsidRPr="00D06480">
        <w:rPr>
          <w:rFonts w:ascii="Gill Sans MT" w:hAnsi="Gill Sans MT"/>
          <w:color w:val="000000"/>
        </w:rPr>
        <w:lastRenderedPageBreak/>
        <w:t>infrastructural embedding, distributed networks, portable permanence — do not produce writing because they do not need it .</w:t>
      </w:r>
    </w:p>
    <w:p w:rsidR="00956260" w:rsidRPr="00D06480" w:rsidRDefault="00956260">
      <w:pPr>
        <w:spacing w:before="200"/>
        <w:rPr>
          <w:rFonts w:ascii="Gill Sans MT" w:hAnsi="Gill Sans MT"/>
        </w:rPr>
      </w:pP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THE WRITING CONTINGENCY MODEL</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SYMBOLIC SATURATION ACHIEVED</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SYMBOLIC LOAD EXCEEDS           SYMBOLIC LOAD RESOLVED</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NON-LINGUISTIC RESOLUTION       STRUCTURALLY</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WRITING EMERGES              NO WRITING NEEDED</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(Egypt, Mesopotamia,          (Indus, Vinca, Sri Lanka,</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Mesoamerica, E. Asia)         Australia, Sub-Saharan)</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Writing is ONE possible response to saturation, not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a universal milestone of civilizational progress.</w:t>
      </w:r>
    </w:p>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Figure 4. The DSSM Writing Contingency Model: writing as structural response, not cognitive invention.</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7. Extended DSSM: Technology, Power, and Protocol</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The DSSM corpus extends beyond prehistoric symbolic systems into a comprehensive theory of technological and institutional evolution, with quantitative metrics and falsifiable predictions at each stage . The extended framework operates on a single central thesis: the same mechanism that produced early symbolic stabilization in prehistoric communities — recursive compression of repeated action into durable material form — operates across all subsequent human technological history. Modernity is prehistory at higher resolution and larger scale, not a departure from it.</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core claim of the extended DSSM is that technologies are fossilized rituals: embodied, repetitive actions that become materially standardized, externally scaffolded, and intergenerationally conserved . Stone tools fossilize force-application grammars; agriculture fossilizes patience and seasonal timing; metallurgy fossilizes controlled thermal transformation; bureaucracy fossilizes obligation and accounting; machines fossilize coordinated repetitive labor. Crucially, what evolves across this lineage is not raw cognitive capacity — Homo sapiens of 200,000 BP possessed essentially the same neural architecture as contemporary humans — but the externalized scaffolding that extends that capacity across individuals, communities, and centuries. The Acheulean handaxe and the Bitcoin protocol are products of the same mechanism operating at different scales and through different media.</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This framing resolves a longstanding puzzle in the history of technology: why do technological innovations almost always appear later than they theoretically could, and why do they so frequently appear in multiple locations independently at roughly the same time? The DSSM answer is that technologies are not invented — they are precipitated. The conditions for their precipitation are the prior stabilization of the symbolic practices they require: the neural scaffolding, the social transmission infrastructure, the material and institutional redundancy that makes a new practice learnable, reproducible, and resistant to loss. When those conditions are met independently across multiple regions — as happened with early metallurgy, early writing, and early states — the same technology precipitates independently, not through diffusion but through convergent symbolic saturation .</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lastRenderedPageBreak/>
        <w:t>Agriculture emerges not when food is invented but when patience becomes enforceable . Fields, tools, and seasonal cycles compress temporal knowledge into landscapes, transforming land into an external memory device. The cognitive novelty of agriculture is not the discovery that plants grow from seeds — Pleistocene foragers possessed this knowledge for tens of thousands of years. The novelty is the institutionalization of delayed gratification across seasons and generations: the symbolic stabilization of future orientation into socially enforceable behavioral scripts. The evidence from Göbekli Tepe (c. 9,600 BCE) is decisive: monumental ritual architecture predates full agricultural adoption by centuries, confirming that symbolic stabilization precedes subsistence reorganization rather than following from it (Hodder, 2006). Agriculture required monuments before it required fields.</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Warfare, in the extended DSSM framework, is analyzed not as a political or moral phenomenon but as the redirection of controlled force — the same force once applied to prey through ritualized hunting sequences — toward humans . Warfare becomes dominant in a society not when individuals become more aggressive but when violence is repeatable, predictable, and administratively supported. The Neo-Assyrian empire (c. 900–612 BCE) is the archetype: standing armies, mass-produced iron weapons, deportation records as administrative instruments, visual propaganda as symbolic regulation — violence as bureaucratic routine. Empire equals conquest plus accounting plus infrastructure, stabilized across generations. What the Neo-Assyrian bureaucracy did to extraction, and what Roman road-building did to mobility, is structurally identical to what the Acheulean tradition did to force application: convert an embodied practice into a transmissible, scalable, institutionally enforced protocol (Scott, 2017).</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 xml:space="preserve">Europe's Industrial Revolution was a protocol amplification event, not an invention . The argument requires precision: it is not that European cognitive capacity was superior, nor that European geography alone was decisive, but that millennia of ritualized fire mastery and metallurgical practice — embedded in cold-climate survival pressures, guild apprenticeship transmission systems, and the cultural stabilization of high-temperature craft knowledge — created cognitive scaffolds that made steam engines a natural extension rather than a discontinuous innovation. The quantitative evidence is available: blast furnaces produced 1.5 to 2 tons of cast iron per worker per day; fuel-to-production ratios improved 25 to 30% over a decade following procedural standardization; defective unit rates declined from approximately 8% to 2% after process codification . Protocol-rich systems outperform </w:t>
      </w:r>
      <w:r w:rsidRPr="00D06480">
        <w:rPr>
          <w:rFonts w:ascii="Gill Sans MT" w:hAnsi="Gill Sans MT"/>
          <w:color w:val="000000"/>
        </w:rPr>
        <w:lastRenderedPageBreak/>
        <w:t>non-standardized systems in productivity, scalability, and diffusion — a prediction falsifiable through comparative industrialization data that remains consistent with all known cases.</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paper 'From Ritual to Protocol Power'  provides the most comprehensive theoretical synthesis of the extended DSSM, arguing that the present historical condition — governance by protocols, infrastructures, and abstract coordination systems rather than by persons and persuasion — is not pathological or accidental. It is the structurally inevitable outcome of the same long process of symbolic stabilization that produced Blombos Cave engraving and Naqada III pottery standardization. The recursion that the DSSM identifies in prehistory reaches its current expression in algorithmic trading, automated sanctions enforcement, AI-assisted military targeting, and platform governance systems — cognitive offloading mechanisms that carry memory, coordination, and authority at scales and speeds that exceed any individual or institution's cognitive capacity. Protocol power is not a new problem. It is the oldest mechanism in human cultural history, now operating at civilizational scale.</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8. Applied DSSM: The Contemporary World</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The DSSM's most direct contemporary application is the paper 'The World as Fossilized Power' , which applies the framework to four dominant crises of 2025–2026. The central claim is that the same mechanism producing every civilizational transition in deep history — recursive stabilization of embodied practices into durable symbolic systems — is operating in real time, and that its breakdown dynamics are specifiable and, in principle, preventable.</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Russia's full-scale invasion of Ukraine is analyzed as a fossilized power script running on symbolic inertia: the imperial extraction protocol — territory, taxation, administrative control — operating with 21st-century weapons but ancient symbolic logic. The script is the same cognitive template used by every imperial administration from the Neo-Assyrian empire to the British Raj. What makes it particularly dangerous in the DSSM framework is not its military dimension but its decision-time compression: drone strikes reach targets in minutes, nuclear rhetoric compresses to hours, and the structural escalation analysis  establishes that preemptive escalation probability rises from 5% at decision windows above 96 hours to 82% at windows below 24 hours. Below approximately 48 hours, symbolic containment fails regardless of actor intent.</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Gaza conflict and the collapse of post-1945 international law as a functioning symbolic system illustrate what the DSSM calls enforcement hollowing: the containing symbolic architecture — UN Charter, Geneva Conventions, ICJ provisional measures — performs its designed functions of deliberation and codification while dominant actors bypass enforcement, converting obligation from a functional symbolic constraint into a performative ritual. When dominant actors exit a symbolic system, they do not merely exempt themselves; they hollow out the system's authority for everyone else .</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 xml:space="preserve">The US-China AI race is analyzed as the most consequential contemporary instance of protocol competition: a competition over which symbolic architecture will be fossilized into the cognitive infrastructure of the next civilizational era. The paper 'Cognitive Continuities Across Human and AI DSSMs'  establishes the theoretical basis: AI deep structured semantic models are functional analogues of human symbolic stabilization systems, performing the same transformation — repetition into symbol, symbol into protocol — through computational rather than embodied means. The critical warning: technological amplification without corresponding symbolic </w:t>
      </w:r>
      <w:r w:rsidRPr="00D06480">
        <w:rPr>
          <w:rFonts w:ascii="Gill Sans MT" w:hAnsi="Gill Sans MT"/>
          <w:color w:val="000000"/>
        </w:rPr>
        <w:lastRenderedPageBreak/>
        <w:t>containment produces catastrophic breakdown. The Bronze Age Collapse, industrial-era warfare without diplomatic protocols, and Cold War nuclear near-misses each represent a gap between what societies could do and what their shared symbolic frameworks could regulate.</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DSSM prescriptions follow directly from the diagnostic. They are not moral exhortations but engineering specifications: embed temporal buffers of at least 48 hours in all protocols governing nuclear and autonomous weapons use; maintain redundant communication channels including with adversarial parties; invest in AI governance as symbolic architecture requiring dominant-actor participation to maintain enforcement authority; reconstruct Palestinian political legitimacy before physical infrastructure in Gaza reconstruction; and recognize governance fragmentation as a systemic cost, not a competitive advantage .</w:t>
      </w:r>
    </w:p>
    <w:p w:rsidR="00956260" w:rsidRPr="00D06480" w:rsidRDefault="00000000">
      <w:pPr>
        <w:spacing w:before="240" w:after="80"/>
        <w:jc w:val="center"/>
        <w:rPr>
          <w:rFonts w:ascii="Gill Sans MT" w:hAnsi="Gill Sans MT"/>
        </w:rPr>
      </w:pPr>
      <w:r w:rsidRPr="00D06480">
        <w:rPr>
          <w:rFonts w:ascii="Gill Sans MT" w:hAnsi="Gill Sans MT"/>
          <w:b/>
          <w:bCs/>
          <w:sz w:val="20"/>
          <w:szCs w:val="20"/>
        </w:rPr>
        <w:t>Table 6. Applied DSSM: Four Contemporary Crises Analyzed as Symbolic System Events</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2000"/>
        <w:gridCol w:w="1800"/>
        <w:gridCol w:w="1800"/>
        <w:gridCol w:w="2160"/>
      </w:tblGrid>
      <w:tr w:rsidR="00956260" w:rsidRPr="00D06480">
        <w:tblPrEx>
          <w:tblCellMar>
            <w:top w:w="0" w:type="dxa"/>
            <w:bottom w:w="0" w:type="dxa"/>
          </w:tblCellMar>
        </w:tblPrEx>
        <w:trPr>
          <w:tblHeader/>
        </w:trPr>
        <w:tc>
          <w:tcPr>
            <w:tcW w:w="15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Crisis</w:t>
            </w:r>
          </w:p>
        </w:tc>
        <w:tc>
          <w:tcPr>
            <w:tcW w:w="20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DSSM Script</w:t>
            </w:r>
          </w:p>
        </w:tc>
        <w:tc>
          <w:tcPr>
            <w:tcW w:w="18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Symbolic System Status</w:t>
            </w:r>
          </w:p>
        </w:tc>
        <w:tc>
          <w:tcPr>
            <w:tcW w:w="18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Key Risk Variable</w:t>
            </w:r>
          </w:p>
        </w:tc>
        <w:tc>
          <w:tcPr>
            <w:tcW w:w="21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DSSM Prescription</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Russia–Ukraine War</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 xml:space="preserve">Imperial extraction protocol (territory </w:t>
            </w:r>
            <w:r w:rsidRPr="00D06480">
              <w:rPr>
                <w:rFonts w:ascii="Arial" w:hAnsi="Arial" w:cs="Arial"/>
                <w:sz w:val="20"/>
                <w:szCs w:val="20"/>
              </w:rPr>
              <w:t>→</w:t>
            </w:r>
            <w:r w:rsidRPr="00D06480">
              <w:rPr>
                <w:rFonts w:ascii="Gill Sans MT" w:hAnsi="Gill Sans MT"/>
                <w:sz w:val="20"/>
                <w:szCs w:val="20"/>
              </w:rPr>
              <w:t xml:space="preserve"> taxation </w:t>
            </w:r>
            <w:r w:rsidRPr="00D06480">
              <w:rPr>
                <w:rFonts w:ascii="Arial" w:hAnsi="Arial" w:cs="Arial"/>
                <w:sz w:val="20"/>
                <w:szCs w:val="20"/>
              </w:rPr>
              <w:t>→</w:t>
            </w:r>
            <w:r w:rsidRPr="00D06480">
              <w:rPr>
                <w:rFonts w:ascii="Gill Sans MT" w:hAnsi="Gill Sans MT"/>
                <w:sz w:val="20"/>
                <w:szCs w:val="20"/>
              </w:rPr>
              <w:t xml:space="preserve"> control)</w:t>
            </w:r>
          </w:p>
        </w:tc>
        <w:tc>
          <w:tcPr>
            <w:tcW w:w="18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Containing protocol bypassed; backchannels partial</w:t>
            </w:r>
          </w:p>
        </w:tc>
        <w:tc>
          <w:tcPr>
            <w:tcW w:w="18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Decision-time compression below 48hr threshold</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Mandatory 48hr buffers; redundant communication architecture</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Gaza / Int'l Law</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Post-1945 symbolic architecture (UN Charter, ICJ, Geneva Conventions)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Enforcement hollowing: form persists, function absent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Dominant actor defection removing authority for all</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Reconstruct Palestinian political legitimacy before infrastructure</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US–China AI Race</w:t>
            </w:r>
          </w:p>
        </w:tc>
        <w:tc>
          <w:tcPr>
            <w:tcW w:w="20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Protocol competition: which symbolic architecture fossilizes into global infrastructure</w:t>
            </w:r>
          </w:p>
        </w:tc>
        <w:tc>
          <w:tcPr>
            <w:tcW w:w="18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Three competing fossilizations (US, EU, China) fragmenting global standard</w:t>
            </w:r>
          </w:p>
        </w:tc>
        <w:tc>
          <w:tcPr>
            <w:tcW w:w="18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Autonomous weapons without symbolic containment</w:t>
            </w:r>
          </w:p>
        </w:tc>
        <w:tc>
          <w:tcPr>
            <w:tcW w:w="21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US–China shared AI red-line framework as cognitive offloading infrastructure</w:t>
            </w:r>
          </w:p>
        </w:tc>
      </w:tr>
      <w:tr w:rsidR="00956260" w:rsidRPr="00D06480">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Global Governance Fragmentation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Post-1945 multilateral symbolic order fracturing across trade, data, security, humanitarian domains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Protocol abandonment by dominant actors hollowing system authority</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Higher error rates, miscalculation, cascading failures</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Invest in shared symbolic architecture even with adversaries</w:t>
            </w:r>
          </w:p>
        </w:tc>
      </w:tr>
    </w:tbl>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Table 6. DSSM diagnostic applied to contemporary crises (March 2026). Symbolic system status and prescriptions derived from Vondoom (2026ab; 2026ac).</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9. Negative Cases and Falsification Conditions</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The DSSM's treatment of negative cases — regions where symbolic stabilization produced predictably different outcomes — is its most important methodological contribution, and the one that most clearly distinguishes it from a descriptive typology. By specifying in advance that regions with high Stage 1–2 scores but absent or partial Stage 3 should show no or delayed institutional emergence, the model generates falsifiable predictions about non-events . Most archaeological frameworks explain success; DSSM predicts, and accounts for, both success and failure through the same mechanism.</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Three distinct failure modes are documented, each confirming a separate DSSM scope condition. Sub-Saharan Africa demonstrates Stage 3 absent through fragmentation: extraordinary symbolic richness in rock art traditions, ochre use at sites extending back to the Blombos horizon, ritual aggregation sites, and beadwork traditions (d'Errico &amp; Henshilwood, 2021) combined with absent state formation in the relevant comparative period. FCP scoring produces Evidence averages of approximately 1.8 but Symbolic Specificity averages of approximately 0.7 for Stage 3 observables, yielding a min-rule total of approximately 6/12. The Stage 1 and Stage 2 consolidation is fully present — this is a region of extraordinary symbolic capacity and richness. What is absent is the specific connectivity and production conditions enabling Stage 3 externalization: the systematic production of standardized portable objects at sufficient scale and distribution to coordinate communities across face-to-face interaction distances. Environmental determinism cannot explain this divergence from the Nile Valley, where comparable ecologies produced Stage 3 amplification. DSSM's scope condition explanation — Stage 3 requires specific connectivity thresholds beyond symbolic capacity alone — is more parsimonious.</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 xml:space="preserve">Prehistoric Australia demonstrates Stage 3 structurally absent — and this is the DSSM's most theoretically powerful negative case precisely because it provides a mechanistic explanation for Stage 3 absence rather than merely documenting it. Aboriginal Australian cultures demonstrate extraordinary symbolic richness across all Stage 1 and Stage 2 FCP observables: the Dreaming cosmology, multi-community ceremonial structures, sophisticated mortuary practices, and elaborate body marking and sand drawing traditions document Stage 1–2 scores at or near maximum (Keen, 2018; Merlan, 2020). Yet Stage 3 is absent. The transmission fidelity model explains this without invoking any cognitive limitation. Aboriginal Australian communities maintained effective band sizes </w:t>
      </w:r>
      <w:r w:rsidRPr="00D06480">
        <w:rPr>
          <w:rFonts w:ascii="Gill Sans MT" w:hAnsi="Gill Sans MT"/>
          <w:color w:val="000000"/>
        </w:rPr>
        <w:lastRenderedPageBreak/>
        <w:t>of 25 to 50 individuals, with ceremonial aggregations reaching perhaps 200 to 400 temporarily — consistently below the Stage 3 threshold of approximately 500 individuals specified in Prediction P7. At these community sizes, face-to-face embodied and ritualized transmission is fully sufficient to maintain symbolic fidelity; no externalization crisis arises, and no endogenous pressure for portable standardized media develops. Critically, Aboriginal Australian social organization appears to have been deliberately structured to prevent permanent aggregation above this scale, maintaining the co-presence conditions for oral and embodied transmission. This is not an incapacity but an equilibrium — an actively maintained stable state adapted to the symbolic needs and ecological conditions of communities operating at a specific scale. The DSSM prediction is that Australian symbolic systems are not deficient relative to Egyptian symbolic systems; they are optimized for different community sizes. Each represents a successful solution to the problem of intergenerational symbolic transmission.</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Late Neolithic Europe demonstrates Stage 3 partial, producing delayed rather than absent institutional emergence. Megalithic ritual networks and Corded Ware standardized ceramic traditions provide partial Stage 3 evidence — an S average of approximately 1.4, falling short of the 1.5 average required for full Stage 3 completion in the 2D FCP system. The standardized portable objects of the Corded Ware complex do not yet demonstrate the inter-community symbolic carrier function that full Stage 3 requires: the ability to coordinate symbolic meaning across non-face-to-face communities without co-presence. The outcome is precisely what DSSM predicts for partial Stage 3 completion: institutional emergence is delayed by approximately 1,500 years rather than permanently absent. Bronze Age and Iron Age state-level societies emerge in Europe, consistent with the model's prediction that partial Stage 3 completion produces delayed emergence — and DSSM thus not only predicts the binary outcome (state/no-state) but the quantitative delay associated with partial Stage 3 completion. No competing framework generates this specific prediction (Renfrew, 1976; Scarre, 2020).</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 xml:space="preserve">The seven formal falsification conditions (Predictions P1–P7) can be stated precisely. P1 (Temporal Precedence): monumental sites must show FCP evidence in at least two stratigraphic phases before earliest construction; any well-excavated site showing monuments with FCP min(E,S) = 0 in all prior phases would falsify P1. P2 (Writing as Codification): at least 50% of graphemic elements traceable to prior material culture; writing introducing over 50% wholly novel symbolic categories would falsify </w:t>
      </w:r>
      <w:r w:rsidRPr="00D06480">
        <w:rPr>
          <w:rFonts w:ascii="Gill Sans MT" w:hAnsi="Gill Sans MT"/>
          <w:color w:val="000000"/>
        </w:rPr>
        <w:lastRenderedPageBreak/>
        <w:t>P2. P3 (CV Precedes Elaboration): artifact CV must fall below 0.25 during the period preceding technological elaboration; elaboration co-occurring with rising CV would falsify P3. P4 (Cross-Regional Sequence): DSSM sequence recoverable across all five positive-case regions; any positive-case region showing institutional emergence without prior FCP Stage 1–2 evidence would falsify P4. P5 (Portable Anchors Precede Monuments): standardized portable objects predate permanent monumental architecture in all positive-case regions; any region showing monuments with zero prior portable symbolic tradition would falsify P5. P6 (Negative Cases as Scope Tests): high Stage 1–2 combined with absent Stage 3 S-axis should produce absent institutional emergence; any well-documented positive-case region showing state formation with zero Stage 3 S-axis evidence would falsify P6. P7 (Community Size Threshold): Stage 3 expected when community size consistently exceeds approximately 500 individuals; any well-documented society with confirmed effective sizes above 500 and high Stage 1–2 scores showing persistent Stage 3 absence would falsify P7. All seven predictions receive preliminary support from available evidence . P7 requires the most additional empirical calibration.</w:t>
      </w:r>
    </w:p>
    <w:p w:rsidR="00956260" w:rsidRPr="00D06480" w:rsidRDefault="00000000">
      <w:pPr>
        <w:spacing w:before="240" w:after="80"/>
        <w:jc w:val="center"/>
        <w:rPr>
          <w:rFonts w:ascii="Gill Sans MT" w:hAnsi="Gill Sans MT"/>
        </w:rPr>
      </w:pPr>
      <w:r w:rsidRPr="00D06480">
        <w:rPr>
          <w:rFonts w:ascii="Gill Sans MT" w:hAnsi="Gill Sans MT"/>
          <w:b/>
          <w:bCs/>
          <w:sz w:val="20"/>
          <w:szCs w:val="20"/>
        </w:rPr>
        <w:t>Table 5. Three Negative Cases: Failure Modes, FCP Scores, and DSSM Interpretation</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300"/>
        <w:gridCol w:w="1300"/>
        <w:gridCol w:w="2100"/>
        <w:gridCol w:w="1400"/>
        <w:gridCol w:w="2260"/>
      </w:tblGrid>
      <w:tr w:rsidR="00956260" w:rsidRPr="00D06480">
        <w:tblPrEx>
          <w:tblCellMar>
            <w:top w:w="0" w:type="dxa"/>
            <w:bottom w:w="0" w:type="dxa"/>
          </w:tblCellMar>
        </w:tblPrEx>
        <w:trPr>
          <w:tblHeader/>
        </w:trPr>
        <w:tc>
          <w:tcPr>
            <w:tcW w:w="14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Region</w:t>
            </w:r>
          </w:p>
        </w:tc>
        <w:tc>
          <w:tcPr>
            <w:tcW w:w="13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Stage 1–2 Score</w:t>
            </w:r>
          </w:p>
        </w:tc>
        <w:tc>
          <w:tcPr>
            <w:tcW w:w="13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Stage 3 S-axis</w:t>
            </w:r>
          </w:p>
        </w:tc>
        <w:tc>
          <w:tcPr>
            <w:tcW w:w="21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Failure Mode</w:t>
            </w:r>
          </w:p>
        </w:tc>
        <w:tc>
          <w:tcPr>
            <w:tcW w:w="140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Institutional Outcome</w:t>
            </w:r>
          </w:p>
        </w:tc>
        <w:tc>
          <w:tcPr>
            <w:tcW w:w="2260" w:type="dxa"/>
            <w:tcBorders>
              <w:top w:val="single" w:sz="2" w:space="0" w:color="2E4057"/>
              <w:left w:val="single" w:sz="2" w:space="0" w:color="2E4057"/>
              <w:bottom w:val="single" w:sz="2" w:space="0" w:color="2E4057"/>
              <w:right w:val="single" w:sz="2" w:space="0" w:color="2E4057"/>
            </w:tcBorders>
            <w:shd w:val="clear" w:color="auto" w:fill="2E4057"/>
            <w:tcMar>
              <w:top w:w="80" w:type="dxa"/>
              <w:left w:w="120" w:type="dxa"/>
              <w:bottom w:w="80" w:type="dxa"/>
              <w:right w:w="120" w:type="dxa"/>
            </w:tcMar>
          </w:tcPr>
          <w:p w:rsidR="00956260" w:rsidRPr="00D06480" w:rsidRDefault="00000000">
            <w:pPr>
              <w:jc w:val="center"/>
              <w:rPr>
                <w:rFonts w:ascii="Gill Sans MT" w:hAnsi="Gill Sans MT"/>
              </w:rPr>
            </w:pPr>
            <w:r w:rsidRPr="00D06480">
              <w:rPr>
                <w:rFonts w:ascii="Gill Sans MT" w:hAnsi="Gill Sans MT"/>
                <w:b/>
                <w:bCs/>
                <w:color w:val="FFFFFF"/>
                <w:sz w:val="20"/>
                <w:szCs w:val="20"/>
              </w:rPr>
              <w:t>DSSM Interpretation</w:t>
            </w:r>
          </w:p>
        </w:tc>
      </w:tr>
      <w:tr w:rsidR="00956260" w:rsidRPr="00D06480">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Sub-Saharan Africa</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High (~1.8 avg E)</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~0.7 avg S</w:t>
            </w:r>
          </w:p>
        </w:tc>
        <w:tc>
          <w:tcPr>
            <w:tcW w:w="2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Fragmentation — connectivity threshold not reached</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No state (period)</w:t>
            </w:r>
          </w:p>
        </w:tc>
        <w:tc>
          <w:tcPr>
            <w:tcW w:w="22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3 absent through structural fragmentation, not cognitive deficit</w:t>
            </w:r>
          </w:p>
        </w:tc>
      </w:tr>
      <w:tr w:rsidR="00956260" w:rsidRPr="00D06480">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Prehistoric Australia</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Maximum (~1.9 avg 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~0.6 avg S</w:t>
            </w:r>
          </w:p>
        </w:t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Equilibrium — deliberately maintained band sizes &lt;500</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No state (persistent)</w:t>
            </w:r>
          </w:p>
        </w:tc>
        <w:tc>
          <w:tcPr>
            <w:tcW w:w="2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Stage 3 structurally absent; actively maintained equilibrium at sub-threshold community size</w:t>
            </w:r>
          </w:p>
        </w:tc>
      </w:tr>
      <w:tr w:rsidR="00956260" w:rsidRPr="00D06480">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Late Neolithic Europe</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High (~1.6 avg E)</w:t>
            </w:r>
          </w:p>
        </w:tc>
        <w:tc>
          <w:tcPr>
            <w:tcW w:w="13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~1.4 avg S</w:t>
            </w:r>
          </w:p>
        </w:tc>
        <w:tc>
          <w:tcPr>
            <w:tcW w:w="21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Partial — Stage 3 started but not completed</w:t>
            </w:r>
          </w:p>
        </w:tc>
        <w:tc>
          <w:tcPr>
            <w:tcW w:w="140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Delayed state (~1,500 yr lag)</w:t>
            </w:r>
          </w:p>
        </w:tc>
        <w:tc>
          <w:tcPr>
            <w:tcW w:w="2260" w:type="dxa"/>
            <w:tcBorders>
              <w:top w:val="single" w:sz="1" w:space="0" w:color="AAAAAA"/>
              <w:left w:val="single" w:sz="1" w:space="0" w:color="AAAAAA"/>
              <w:bottom w:val="single" w:sz="1" w:space="0" w:color="AAAAAA"/>
              <w:right w:val="single" w:sz="1" w:space="0" w:color="AAAAAA"/>
            </w:tcBorders>
            <w:shd w:val="clear" w:color="auto" w:fill="F5F7FA"/>
            <w:tcMar>
              <w:top w:w="80" w:type="dxa"/>
              <w:left w:w="120" w:type="dxa"/>
              <w:bottom w:w="80" w:type="dxa"/>
              <w:right w:w="120" w:type="dxa"/>
            </w:tcMar>
          </w:tcPr>
          <w:p w:rsidR="00956260" w:rsidRPr="00D06480" w:rsidRDefault="00000000">
            <w:pPr>
              <w:rPr>
                <w:rFonts w:ascii="Gill Sans MT" w:hAnsi="Gill Sans MT"/>
              </w:rPr>
            </w:pPr>
            <w:r w:rsidRPr="00D06480">
              <w:rPr>
                <w:rFonts w:ascii="Gill Sans MT" w:hAnsi="Gill Sans MT"/>
                <w:sz w:val="20"/>
                <w:szCs w:val="20"/>
              </w:rPr>
              <w:t>Partial Stage 3 produces delayed, not absent, institutional emergence</w:t>
            </w:r>
          </w:p>
        </w:tc>
      </w:tr>
    </w:tbl>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Table 5. Each case confirms a distinct DSSM scope condition. E = Evidence Strength; S = Symbolic Specificity (2D FCP). Source: Vondoom (2026b).</w:t>
      </w:r>
    </w:p>
    <w:p w:rsidR="00956260" w:rsidRDefault="00956260">
      <w:pPr>
        <w:spacing w:before="200"/>
        <w:rPr>
          <w:rFonts w:ascii="Gill Sans MT" w:hAnsi="Gill Sans MT"/>
        </w:rPr>
      </w:pPr>
    </w:p>
    <w:p w:rsidR="00D06480" w:rsidRDefault="00D06480">
      <w:pPr>
        <w:spacing w:before="200"/>
        <w:rPr>
          <w:rFonts w:ascii="Gill Sans MT" w:hAnsi="Gill Sans MT"/>
        </w:rPr>
      </w:pPr>
    </w:p>
    <w:p w:rsidR="00D06480" w:rsidRDefault="00D06480">
      <w:pPr>
        <w:spacing w:before="200"/>
        <w:rPr>
          <w:rFonts w:ascii="Gill Sans MT" w:hAnsi="Gill Sans MT"/>
        </w:rPr>
      </w:pPr>
    </w:p>
    <w:p w:rsidR="00D06480" w:rsidRDefault="00D06480">
      <w:pPr>
        <w:spacing w:before="200"/>
        <w:rPr>
          <w:rFonts w:ascii="Gill Sans MT" w:hAnsi="Gill Sans MT"/>
        </w:rPr>
      </w:pPr>
    </w:p>
    <w:p w:rsidR="00D06480" w:rsidRPr="00D06480" w:rsidRDefault="00D06480">
      <w:pPr>
        <w:spacing w:before="200"/>
        <w:rPr>
          <w:rFonts w:ascii="Gill Sans MT" w:hAnsi="Gill Sans MT"/>
        </w:rPr>
      </w:pP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PREDICTION P7: COMMUNITY SIZE AND STAGE 3 THRESHOLD</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Community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Size                     </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State formation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5000 </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Naqada II Hierakonpolis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Egypt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(~2,000–5,000)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3000 </w:t>
      </w:r>
      <w:r w:rsidRPr="00D06480">
        <w:rPr>
          <w:rFonts w:ascii="Arial" w:eastAsia="Courier New" w:hAnsi="Arial" w:cs="Arial"/>
          <w:sz w:val="18"/>
          <w:szCs w:val="18"/>
        </w:rPr>
        <w:t>───────────────────</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Ubaid Mesopotamia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(~3,000–8,000)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~500 </w:t>
      </w:r>
      <w:r w:rsidRPr="00D06480">
        <w:rPr>
          <w:rFonts w:ascii="Arial" w:eastAsia="Courier New" w:hAnsi="Arial" w:cs="Arial"/>
          <w:sz w:val="18"/>
          <w:szCs w:val="18"/>
        </w:rPr>
        <w:t>──────────────────</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P7 THRESHOLD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Corded Ware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(partial Stage 3 / delayed)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~300–800         </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50 </w:t>
      </w:r>
      <w:r w:rsidRPr="00D06480">
        <w:rPr>
          <w:rFonts w:ascii="Arial" w:eastAsia="Courier New" w:hAnsi="Arial" w:cs="Arial"/>
          <w:sz w:val="18"/>
          <w:szCs w:val="18"/>
        </w:rPr>
        <w:t>──────────────────►</w:t>
      </w:r>
      <w:r w:rsidRPr="00D06480">
        <w:rPr>
          <w:rFonts w:ascii="MS Gothic" w:eastAsia="MS Gothic" w:hAnsi="MS Gothic" w:cs="MS Gothic" w:hint="eastAsia"/>
          <w:sz w:val="18"/>
          <w:szCs w:val="18"/>
        </w:rPr>
        <w:t>│</w:t>
      </w:r>
      <w:r w:rsidRPr="00D06480">
        <w:rPr>
          <w:rFonts w:ascii="Gill Sans MT" w:eastAsia="Courier New" w:hAnsi="Gill Sans MT" w:cs="Courier New"/>
          <w:sz w:val="18"/>
          <w:szCs w:val="18"/>
        </w:rPr>
        <w:t xml:space="preserve">  Aboriginal Australia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band size        </w:t>
      </w:r>
      <w:r w:rsidRPr="00D06480">
        <w:rPr>
          <w:rFonts w:ascii="MS Gothic" w:eastAsia="MS Gothic" w:hAnsi="MS Gothic" w:cs="MS Gothic" w:hint="eastAsia"/>
          <w:sz w:val="18"/>
          <w:szCs w:val="18"/>
        </w:rPr>
        <w:t>└</w:t>
      </w:r>
      <w:r w:rsidRPr="00D06480">
        <w:rPr>
          <w:rFonts w:ascii="Arial" w:eastAsia="Courier New" w:hAnsi="Arial" w:cs="Arial"/>
          <w:sz w:val="18"/>
          <w:szCs w:val="18"/>
        </w:rPr>
        <w:t>───</w:t>
      </w:r>
      <w:r w:rsidRPr="00D06480">
        <w:rPr>
          <w:rFonts w:ascii="Gill Sans MT" w:eastAsia="Courier New" w:hAnsi="Gill Sans MT" w:cs="Courier New"/>
          <w:sz w:val="18"/>
          <w:szCs w:val="18"/>
        </w:rPr>
        <w:t xml:space="preserve"> No Stage 3 / no state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w:t>
      </w:r>
      <w:r w:rsidRPr="00D06480">
        <w:rPr>
          <w:rFonts w:ascii="Arial" w:eastAsia="Courier New" w:hAnsi="Arial" w:cs="Arial"/>
          <w:sz w:val="18"/>
          <w:szCs w:val="18"/>
        </w:rPr>
        <w:t>──────────────────────────────────────────────────────────</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P7 PREDICTION: Stage 3 crossing expected above ~500;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absent or incomplete below this threshold regardless       </w:t>
      </w:r>
    </w:p>
    <w:p w:rsidR="00956260" w:rsidRPr="00D06480" w:rsidRDefault="00000000">
      <w:pPr>
        <w:shd w:val="clear" w:color="auto" w:fill="F0F4F8"/>
        <w:ind w:left="720" w:right="720"/>
        <w:rPr>
          <w:rFonts w:ascii="Gill Sans MT" w:hAnsi="Gill Sans MT"/>
        </w:rPr>
      </w:pPr>
      <w:r w:rsidRPr="00D06480">
        <w:rPr>
          <w:rFonts w:ascii="Gill Sans MT" w:eastAsia="Courier New" w:hAnsi="Gill Sans MT" w:cs="Courier New"/>
          <w:sz w:val="18"/>
          <w:szCs w:val="18"/>
        </w:rPr>
        <w:t xml:space="preserve">  of Stage 1–2 richness.                                    </w:t>
      </w:r>
    </w:p>
    <w:p w:rsidR="00956260" w:rsidRPr="00D06480" w:rsidRDefault="00000000">
      <w:pPr>
        <w:spacing w:before="100" w:after="240"/>
        <w:jc w:val="center"/>
        <w:rPr>
          <w:rFonts w:ascii="Gill Sans MT" w:hAnsi="Gill Sans MT"/>
        </w:rPr>
      </w:pPr>
      <w:r w:rsidRPr="00D06480">
        <w:rPr>
          <w:rFonts w:ascii="Gill Sans MT" w:hAnsi="Gill Sans MT"/>
          <w:b/>
          <w:bCs/>
          <w:i/>
          <w:iCs/>
          <w:sz w:val="20"/>
          <w:szCs w:val="20"/>
        </w:rPr>
        <w:t>Figure 5. Prediction P7: the community size threshold for Stage 3 crossing. Source: Vondoom (2026b).</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10. Limitations and Research Agenda</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Four limitations bound the current state of the DSSM and define the empirical agenda. First, the neural timescale bridge involves generationally-scaled modeling that cannot be directly validated in archaeological contexts; detection window ranges are estimates derived from laboratory timescales and cultural transmission theory rather than direct archaeological measurements. The bridge is a theoretical translation, not an empirical measurement, and its application to specific sites and periods carries the uncertainty of that translation. Second, negative case FCP scoring — particularly for prehistoric Australia — relies partially on ethnographic and oral-historical sources, introducing a methodological asymmetry with purely archaeological positive cases. The Australian case is the DSSM's most powerful negative case, but its evidential foundation is structurally different from the Egyptian or Mesopotamian positive cases, and comparative scoring must acknowledge this asymmetry. Third, the Egyptian CV data reported across several papers are estimated from published assemblage reports rather than primary morphometric re-analysis; the quantitative claims are preliminary predictions for systematic testing rather than validated findings. Fourth, the community size estimates underlying P7 are derived from published demographic models rather than primary settlement area analysis, and require calibration against a broader comparative sample before P7's evidential weight can be assessed definitively.</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elasticity problem remains the model's most serious theoretical vulnerability, and it deserves direct acknowledgment rather than euphemistic treatment. The four DSSM criteria — intergenerational repetition, spatial constraint, cross-media redundancy, persistence under stress — are potentially broad enough that sufficiently creative interpretation could satisfy them for almost any persistent cultural practice. The 2D FCP scoring system substantially addresses this by requiring independent S-axis confirmation (a pattern must require symbolic rather than functional explanation to score high on S), but the S-axis assessment itself ultimately depends on the analyst's judgment about whether a functional alternative hypothesis has been adequately ruled out. This risks circularity: a committed DSSM proponent could find evidence for symbolic stabilization in almost any context, while a skeptic could always invoke functional explanations. Future applications must specify in advance the functional alternative hypotheses that would need to be falsified for any given S-axis score, and must report the chi-square tests against null functional models that the FCP methodology specifies .</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lastRenderedPageBreak/>
        <w:t>The bootstrapping challenge is related but distinct: the model explains how symbolic systems stabilize and persist once they are established, but the origin of the first stabilizing practice is underspecified. The DSSM traces stabilization back to embodied practices — but all embodied practices presuppose some prior social context that makes them learnable, shareable, and transmissible. At some point, the regress must stop, and the model does not yet provide a fully satisfying account of how the very first symbolic convention acquires its force. This is not a fatal objection — it is a gap shared by essentially every theory of cultural origins — but it represents a theoretical frontier that the research agenda must address.</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research agenda has five priorities. First, systematic 2D FCP scoring across the full Naqada sequence using standardized morphometric protocols, generating per-stratum E and S scores with bootstrapped confidence intervals, constitutes the most urgent empirical priority — it would convert the Egyptian CV estimates from preliminary to validated. Second, development of FCP protocols adapted for the ethnographic-archaeological interface would enable consistent scoring of the Australian and Sub-Saharan African negative cases within the same measurement framework used for positive cases, eliminating the methodological asymmetry currently limiting those comparisons. Third, agent-based modeling of cultural transmission dynamics using the neural timescale bridge parameters would generate testable predictions about the temporal patterns of symbolic standardization under varying community size and connectivity conditions — predictions that could be evaluated against new settlement archaeology data as it becomes available. Fourth, collaborative cross-regional application of 2D FCP using standardized protocols, involving archaeologists with regional specialisms across all eight comparison cases, would reduce analyst-dependency in the scoring and increase the model's inter-rater reliability. Fifth, theoretical development of Stage 3 threshold conditions beyond the community size specification would address the most consequential remaining gap: the model specifies when Stage 3 pressure arises but not yet the precise material and social conditions determining whether communities successfully cross the threshold once the pressure is present .</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11. Conclusion</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The Deep Symbolic Systems Model offers a framework that is simultaneously humbling and actionable. Humbling, because it reveals that the patterns governing civilizational emergence — and civilizational breakdown — are not products of individual genius, moral superiority, or cultural exceptionalism. They are structural outputs of mechanisms operating across deep time, available to any population given sufficient repetition, redundancy, and community size. Actionable, because once those mechanisms are specified with sufficient precision, they become subject to deliberate design.</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39-paper corpus synthesized here establishes the DSSM as the first fully operationalized, falsifiable, two-dimensionally scored, and negative-case-validated cognitive-archaeological model of civilizational emergence. It accounts for the Blombos Cave evidence at 100,000 BP, the Bruniquel Cave evidence at 176,000 BP, the divergent trajectories of Egypt and prehistoric Australia, the industrial gap between Europe and other metallurgically sophisticated regions, the collapse of international law as a symbolic system, and the AI race as a protocol competition — all within a single explanatory architecture.</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central finding is simple and far-reaching: civilization is not invented. It is rehearsed. The same mechanism that produced the Acheulean handaxe produced the UN Charter. Both are fossilized rituals. Both are subject to the same dynamics of stabilization, saturation, and breakdown. Both can, in principle, be deliberately rebuilt.</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world of 2026 is in the process of deciding which symbolic systems will be allowed to fossilize next — in semiconductor supply chains, AI governance forums, reconstruction frameworks, and the daily choices of dominant actors about whether to invest in shared symbolic infrastructure or extract short-term advantage from its erosion. The DSSM does not predict the outcome. It specifies the mechanism. The outcome remains a design choice.</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12. AI Disclosure</w:t>
      </w:r>
    </w:p>
    <w:p w:rsidR="00956260" w:rsidRPr="00D06480" w:rsidRDefault="00000000" w:rsidP="00D06480">
      <w:pPr>
        <w:spacing w:after="160" w:line="360" w:lineRule="auto"/>
        <w:ind w:firstLine="720"/>
        <w:jc w:val="both"/>
        <w:rPr>
          <w:rFonts w:ascii="Gill Sans MT" w:hAnsi="Gill Sans MT"/>
        </w:rPr>
      </w:pPr>
      <w:r w:rsidRPr="00D06480">
        <w:rPr>
          <w:rFonts w:ascii="Gill Sans MT" w:hAnsi="Gill Sans MT"/>
          <w:color w:val="000000"/>
        </w:rPr>
        <w:t xml:space="preserve">This paper </w:t>
      </w:r>
      <w:r w:rsidR="00D06480" w:rsidRPr="00D06480">
        <w:rPr>
          <w:rFonts w:ascii="Gill Sans MT" w:hAnsi="Gill Sans MT"/>
          <w:color w:val="000000"/>
          <w:lang w:val="en-US"/>
        </w:rPr>
        <w:t>was</w:t>
      </w:r>
      <w:r w:rsidR="00D06480">
        <w:rPr>
          <w:rFonts w:ascii="Gill Sans MT" w:hAnsi="Gill Sans MT"/>
          <w:color w:val="000000"/>
          <w:lang w:val="en-US"/>
        </w:rPr>
        <w:t xml:space="preserve"> produced</w:t>
      </w:r>
      <w:r w:rsidRPr="00D06480">
        <w:rPr>
          <w:rFonts w:ascii="Gill Sans MT" w:hAnsi="Gill Sans MT"/>
          <w:color w:val="000000"/>
        </w:rPr>
        <w:t xml:space="preserve"> with the assistance of Claude, Anthropic's AI system (claude.ai, Sonnet 4.6). The nature of that assistance warrants transparent disclosure, both for scholarly integrity and because the process is itself theoretically interesting within the DSSM framework.</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theoretical framework, all core DSSM arguments, the archaeological interpretations, the falsification architecture, and the intellectual responsibility for every claim in this paper are solely those of the author, Anthony Vondoom. The AI was used in the following specific ways: drafting and editing prose across multiple papers; stress-testing arguments through iterative dialogue; generating structural outlines for complex synthesis documents; applying the established DSSM framework to contemporary geopolitical events ('The World as Fossilized Power'); and compiling and formatting reference lists. In no case did the AI generate the theoretical positions; it extended and expressed positions developed by the author.</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disclosure is transparent across the corpus. 'The World as Fossilized Power'  carries the most explicit disclosure, noting that the AI applied the DSSM framework to current geopolitical situations through a structured synthesis session, compressing what would have been months of synthesis work into a single session. The author reviewed, corrected, and takes intellectual responsibility for the final content.</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The recursion is worth noting explicitly. This is a paper about symbolic systems and cognitive offloading, produced through cognitive offloading, examining a world being transformed by cognitive offloading. The AI did not generate the framework; it extended it — which is precisely what the DSSM predicts good protocols do. The use of AI in this scholarship is not a methodological compromise; it is a practical application of the model's own central claim: that cognitive offloading into external symbolic systems is how humans have always extended their reach beyond individual biological capacity.</w:t>
      </w:r>
    </w:p>
    <w:p w:rsidR="00956260" w:rsidRPr="00D06480" w:rsidRDefault="00000000">
      <w:pPr>
        <w:spacing w:after="160" w:line="360" w:lineRule="auto"/>
        <w:jc w:val="both"/>
        <w:rPr>
          <w:rFonts w:ascii="Gill Sans MT" w:hAnsi="Gill Sans MT"/>
        </w:rPr>
      </w:pPr>
      <w:r w:rsidRPr="00D06480">
        <w:rPr>
          <w:rFonts w:ascii="Gill Sans MT" w:hAnsi="Gill Sans MT"/>
          <w:color w:val="000000"/>
        </w:rPr>
        <w:t>Readers are invited to treat this disclosure not as a caveat but as evidence. The DSSM claims that AI systems are functional analogues of human symbolic stabilization mechanisms, performing the transformation from repetition to symbol to protocol through computational rather than embodied means. The production of this corpus through human-AI collaboration is a case study in that claim, conducted in real time.</w:t>
      </w:r>
    </w:p>
    <w:p w:rsidR="00956260" w:rsidRPr="00D06480" w:rsidRDefault="00000000" w:rsidP="00D06480">
      <w:pPr>
        <w:rPr>
          <w:rFonts w:ascii="Gill Sans MT" w:hAnsi="Gill Sans MT"/>
        </w:rPr>
      </w:pPr>
      <w:r w:rsidRPr="00D06480">
        <w:rPr>
          <w:rFonts w:ascii="Gill Sans MT" w:hAnsi="Gill Sans MT"/>
        </w:rPr>
        <w:br w:type="page"/>
      </w:r>
      <w:r w:rsidRPr="00D06480">
        <w:rPr>
          <w:rFonts w:ascii="Gill Sans MT" w:hAnsi="Gill Sans MT"/>
          <w:b/>
          <w:bCs/>
          <w:caps/>
          <w:sz w:val="28"/>
          <w:szCs w:val="28"/>
        </w:rPr>
        <w:lastRenderedPageBreak/>
        <w:t>13. Glossary</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Cognitive Offloading: </w:t>
      </w:r>
      <w:r w:rsidRPr="00D06480">
        <w:rPr>
          <w:rFonts w:ascii="Gill Sans MT" w:hAnsi="Gill Sans MT"/>
        </w:rPr>
        <w:t>The transfer of memory, coordination, or authority from individual cognition into external systems — tools, institutions, writing, or infrastructure.</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Coefficient of Variation (CV): </w:t>
      </w:r>
      <w:r w:rsidRPr="00D06480">
        <w:rPr>
          <w:rFonts w:ascii="Gill Sans MT" w:hAnsi="Gill Sans MT"/>
        </w:rPr>
        <w:t>A statistical measure (standard deviation divided by mean) used in DSSM to track artifact standardization across strata. CV below 0.25 indicates Stage 2 onset; below 0.15 indicates Stage 3 completion.</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Deep Symbolic Systems Model (DSSM): </w:t>
      </w:r>
      <w:r w:rsidRPr="00D06480">
        <w:rPr>
          <w:rFonts w:ascii="Gill Sans MT" w:hAnsi="Gill Sans MT"/>
        </w:rPr>
        <w:t>The theoretical framework developed by Anthony Vondoom arguing that civilization advances through the recursive stabilization of embodied practices into durable symbolic systems.</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Distributed Symbolic Authority: </w:t>
      </w:r>
      <w:r w:rsidRPr="00D06480">
        <w:rPr>
          <w:rFonts w:ascii="Gill Sans MT" w:hAnsi="Gill Sans MT"/>
        </w:rPr>
        <w:t>The condition in which symbolic practices are maintained, recognized, and enforced across multiple geographically dispersed sites rather than through centralized control.</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Embodied Symbolic Familiarity: </w:t>
      </w:r>
      <w:r w:rsidRPr="00D06480">
        <w:rPr>
          <w:rFonts w:ascii="Gill Sans MT" w:hAnsi="Gill Sans MT"/>
        </w:rPr>
        <w:t>Stage 1 of the DSSM developmental sequence: repeated, physically grounded actions forming the substrate of symbolic load.</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Externalized Cognition: </w:t>
      </w:r>
      <w:r w:rsidRPr="00D06480">
        <w:rPr>
          <w:rFonts w:ascii="Gill Sans MT" w:hAnsi="Gill Sans MT"/>
        </w:rPr>
        <w:t>The materialization of cognitive processes outside individual minds, embedded in durable artifacts, landscapes, or institutions.</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Field Companion Protocol (FCP): </w:t>
      </w:r>
      <w:r w:rsidRPr="00D06480">
        <w:rPr>
          <w:rFonts w:ascii="Gill Sans MT" w:hAnsi="Gill Sans MT"/>
        </w:rPr>
        <w:t>The DSSM's operational measurement instrument: six observables (Mnemonic Architectures, Symbolic Stabilization, Externalized Cognition, Symbolic Regulation, Distributed Symbolic Authority, Portable Symbolic Anchors) scored 0–2. Saturation requires total ≥7/8 with no criterion at 0.</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Fossilized Ritual: </w:t>
      </w:r>
      <w:r w:rsidRPr="00D06480">
        <w:rPr>
          <w:rFonts w:ascii="Gill Sans MT" w:hAnsi="Gill Sans MT"/>
        </w:rPr>
        <w:t>Technology, institution, or protocol understood as a stabilized ritual practice rendered material — the central metaphor of the extended DSSM.</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Material Amplification: </w:t>
      </w:r>
      <w:r w:rsidRPr="00D06480">
        <w:rPr>
          <w:rFonts w:ascii="Gill Sans MT" w:hAnsi="Gill Sans MT"/>
        </w:rPr>
        <w:t>Stage 3 of the DSSM developmental sequence: externalization of symbolic load into durable media when community size exceeds the transmission fidelity threshold.</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Mnemonic Architecture: </w:t>
      </w:r>
      <w:r w:rsidRPr="00D06480">
        <w:rPr>
          <w:rFonts w:ascii="Gill Sans MT" w:hAnsi="Gill Sans MT"/>
        </w:rPr>
        <w:t>A material form (landscape feature, building, settlement layout) that encodes and externalizes culturally significant information, enabling intergenerational memory.</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Min-Rule: </w:t>
      </w:r>
      <w:r w:rsidRPr="00D06480">
        <w:rPr>
          <w:rFonts w:ascii="Gill Sans MT" w:hAnsi="Gill Sans MT"/>
        </w:rPr>
        <w:t>The 2D FCP combination rule: final score per observable = min(Evidence Strength, Symbolic Specificity), preventing evidence robustness from compensating for symbolic ambiguity.</w:t>
      </w:r>
    </w:p>
    <w:p w:rsidR="00956260" w:rsidRPr="00D06480" w:rsidRDefault="00000000">
      <w:pPr>
        <w:spacing w:after="120" w:line="360" w:lineRule="auto"/>
        <w:jc w:val="both"/>
        <w:rPr>
          <w:rFonts w:ascii="Gill Sans MT" w:hAnsi="Gill Sans MT"/>
        </w:rPr>
      </w:pPr>
      <w:r w:rsidRPr="00D06480">
        <w:rPr>
          <w:rFonts w:ascii="Gill Sans MT" w:hAnsi="Gill Sans MT"/>
          <w:b/>
          <w:bCs/>
        </w:rPr>
        <w:lastRenderedPageBreak/>
        <w:t xml:space="preserve">Neural Timescale Bridge: </w:t>
      </w:r>
      <w:r w:rsidRPr="00D06480">
        <w:rPr>
          <w:rFonts w:ascii="Gill Sans MT" w:hAnsi="Gill Sans MT"/>
        </w:rPr>
        <w:t>The DSSM method of deriving archaeologically detectable detection windows from laboratory-demonstrated neural consolidation timescales.</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Portable Symbolic Anchor: </w:t>
      </w:r>
      <w:r w:rsidRPr="00D06480">
        <w:rPr>
          <w:rFonts w:ascii="Gill Sans MT" w:hAnsi="Gill Sans MT"/>
        </w:rPr>
        <w:t>A standardized, mobile object that functions as an inter-community symbolic carrier — jade in East Asia and Mesoamerica; shell beads at Blombos Cave; Vinca tablets in Neolithic Europe.</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Protocol: </w:t>
      </w:r>
      <w:r w:rsidRPr="00D06480">
        <w:rPr>
          <w:rFonts w:ascii="Gill Sans MT" w:hAnsi="Gill Sans MT"/>
        </w:rPr>
        <w:t>A stabilized, repeatable symbolic system governing action across individuals and institutions — the final product of the ritual-to-protocol transformation.</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Ritualized Repetition: </w:t>
      </w:r>
      <w:r w:rsidRPr="00D06480">
        <w:rPr>
          <w:rFonts w:ascii="Gill Sans MT" w:hAnsi="Gill Sans MT"/>
        </w:rPr>
        <w:t>Stage 2 of the DSSM developmental sequence: social constraint of embodied practices into stylized, learnable, culturally transmissible patterns.</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Symbolic Load: </w:t>
      </w:r>
      <w:r w:rsidRPr="00D06480">
        <w:rPr>
          <w:rFonts w:ascii="Gill Sans MT" w:hAnsi="Gill Sans MT"/>
        </w:rPr>
        <w:t>The accumulated meaning carried by repeated symbolic practices — the quantity that must be managed, transmitted, and protected from drift.</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Symbolic Regulation: </w:t>
      </w:r>
      <w:r w:rsidRPr="00D06480">
        <w:rPr>
          <w:rFonts w:ascii="Gill Sans MT" w:hAnsi="Gill Sans MT"/>
        </w:rPr>
        <w:t>Constraints on production or deposition that override functional optimization — the archaeological signature of rule-governed symbolic behavior.</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Symbolic Stabilization: </w:t>
      </w:r>
      <w:r w:rsidRPr="00D06480">
        <w:rPr>
          <w:rFonts w:ascii="Gill Sans MT" w:hAnsi="Gill Sans MT"/>
        </w:rPr>
        <w:t>The structural condition in which a symbolic system persists independently of individual agents and episodic transmission, satisfying all four DSSM criteria.</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Symbolic Sufficiency: </w:t>
      </w:r>
      <w:r w:rsidRPr="00D06480">
        <w:rPr>
          <w:rFonts w:ascii="Gill Sans MT" w:hAnsi="Gill Sans MT"/>
        </w:rPr>
        <w:t>The DSSM concept describing systems (exemplified by prehistoric Sri Lanka) in which ritual and cognitive continuity is maintained without requiring architectural amplification.</w:t>
      </w:r>
    </w:p>
    <w:p w:rsidR="00956260" w:rsidRPr="00D06480" w:rsidRDefault="00000000">
      <w:pPr>
        <w:spacing w:after="120" w:line="360" w:lineRule="auto"/>
        <w:jc w:val="both"/>
        <w:rPr>
          <w:rFonts w:ascii="Gill Sans MT" w:hAnsi="Gill Sans MT"/>
        </w:rPr>
      </w:pPr>
      <w:r w:rsidRPr="00D06480">
        <w:rPr>
          <w:rFonts w:ascii="Gill Sans MT" w:hAnsi="Gill Sans MT"/>
          <w:b/>
          <w:bCs/>
        </w:rPr>
        <w:t xml:space="preserve">Transmission Fidelity Model: </w:t>
      </w:r>
      <w:r w:rsidRPr="00D06480">
        <w:rPr>
          <w:rFonts w:ascii="Gill Sans MT" w:hAnsi="Gill Sans MT"/>
        </w:rPr>
        <w:t>The DSSM mechanism for Stage 3 crossing: when community size consistently exceeds approximately 500 individuals, face-to-face transmission cannot maintain symbolic fidelity, generating pressure to externalize into durable portable media.</w:t>
      </w:r>
    </w:p>
    <w:p w:rsidR="00956260" w:rsidRPr="00D06480" w:rsidRDefault="00000000">
      <w:pPr>
        <w:rPr>
          <w:rFonts w:ascii="Gill Sans MT" w:hAnsi="Gill Sans MT"/>
        </w:rPr>
      </w:pPr>
      <w:r w:rsidRPr="00D06480">
        <w:rPr>
          <w:rFonts w:ascii="Gill Sans MT" w:hAnsi="Gill Sans MT"/>
        </w:rPr>
        <w:br w:type="page"/>
      </w:r>
    </w:p>
    <w:p w:rsidR="00956260" w:rsidRPr="00D06480" w:rsidRDefault="00000000">
      <w:pPr>
        <w:pStyle w:val="Heading1"/>
        <w:rPr>
          <w:rFonts w:ascii="Gill Sans MT" w:hAnsi="Gill Sans MT"/>
        </w:rPr>
      </w:pPr>
      <w:r w:rsidRPr="00D06480">
        <w:rPr>
          <w:rFonts w:ascii="Gill Sans MT" w:hAnsi="Gill Sans MT"/>
        </w:rPr>
        <w:lastRenderedPageBreak/>
        <w:t>References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Acharya, S. K., et al. (2018). Harappan urban planning and standardization. South Asian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Adams, R. McC. (1981). Heartland of cities: Surveys of ancient settlement and land use on the central floodplain of the Euphrates. University of Chicago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Affinito, S., et al. (2024). Cognitive underpinnings of early hominin stone tool use: EEG evidence. Scientific Reports.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Aiello, L. C., &amp; Dunbar, R. I. M. (1993). Neocortex size, group size, and the evolution of language. Current Anthropology, 34(2), 184–193.</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Ambrose, S. H. (2010). Coevolution of composite tools and social symbolism. Philosophical Transactions B, 365(1559), 75–84. https://doi.org/10.1098/rstb.2009.0161</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Assmann, J. (2011). Cultural memory and early civilization: Writing, remembrance, and political imagination. Cambridge University Press. https://doi.org/10.1017/CBO9780511996306</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Assmann, J. (2020). Cultural memory revisited. Memory Studies, 13(1), 10–21.</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Bar-Yosef, O., &amp; Belfer-Cohen, A. (2020). Early food storage and social organization: Tel Tsaf, Israel. Journal of Archaeological Science: Reports, 31, 102280.</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Bar-Yosef, O., &amp; Belfer-Cohen, A. (2022). From foragers to farmers: The transition in Southwest Asia.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Bard, K. A. (2008). An introduction to the archaeology of ancient Egypt. Wiley-Blackwell.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Barton, C. M. (2020). Why evolutionary archaeology needs experiments. Journal of Archaeological Method and Theory. https://doi.org/10.1007/s10816-019-09442-w</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Bauer, B. (2018). Complex societies of the Americas: Symbolic and material stabilization. Latin American Antiquity, 29(3), 401–423.</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Bellwood, P. (2019). Demography and symbolic infrastructure. Cambridge Archaeological Journal.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Berger, L. R., et al. (2024). Meaning-making behavior in Homo naledi. eLife.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Bhatt, D. L., &amp; Bhatt, D. (2009). Synaptic plasticity and memory: An evaluation of the hypothesis. Annual Review of Neuroscience, 32, 351–381.</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Blinkhorn, J., et al. (2021). Microlithic continuity in South Asia. Quaternary Science Reviews.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Bourdieu, P. (1990). The logic of practice. Stanford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Boyd, R., &amp; Richerson, P. J. (2005). The origin and evolution of cultures.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Brumm, A., Oktaviana, A. A., Burhan, B., Hakim, B., et al. (2021). Oldest cave art found in Sulawesi. Science Advances, 7(3), eabd4648.</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Brumm, A., et al. (2024). Symbolic behavior in Island Southeast Asia. Nature.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lastRenderedPageBreak/>
        <w:t>Brunton, G., &amp; Caton-Thompson, G. (1928). The Badarian civilisation and prehistoric remains near Badari. British School of Archaeology in Egypt.</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Burgess, N. (2014). The 2014 Nobel Prize in Physiology or Medicine: A spatial model for cognitive neuroscience. Neuron, 84(6), 1120–1125.</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Butzer, K. W. (1976). Early hydraulic civilization in Egypt: A study in cultural ecology. University of Chicago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Cauvin, J. (2000). The birth of the gods and the origins of agriculture.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Chakrabarti, D. K. (2009). India: An archaeological history — Palaeolithic beginnings to early historic foundations. Oxford University Press. https://doi.org/10.1093/acprof:oso/9780198064121.001.0001</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Chevallier, R. (1976). Roman roads. University of California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Childe, V. G. (1950). The urban revolution. Town Planning Review, 21(1), 3–17.</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Clark, A. (2008). Supersizing the mind: Embodiment, action, and cognitive extension.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Clark, A., &amp; Chalmers, D. (1998). The extended mind. Analysis, 58(1), 7–19.</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Coningham, R., et al. (2017). Anuradhapura and early urbanism in Sri Lanka. Journal of World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Connerton, P. (1989). How societies remember.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Coolidge, F. L., &amp; Wynn, T. (2001). Executive functions of the frontal lobes and the evolutionary ascendancy of Homo sapiens. Cambridge Archaeological Journal, 11(2), 255–260.</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Coolidge, F. L., &amp; Wynn, T. (2005). Working memory, its executive functions, and the emergence of modern thinking. Cambridge Archaeological Journal, 15(1), 5–26.</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Coolidge, F. L., &amp; Wynn, T. (2012). How to think like a Neandertal.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d'Errico, F., &amp; Henshilwood, C. S. (2021). The origin of modern human behaviour: A critical reappraisal. Journal of World Prehistory, 34(2), 75–112.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d'Errico, F., et al. (2022). Pigment systems and symbolic behavior in early Homo sapiens. Science Advances.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Davin, L., Munro, N. D., &amp; Grosman, L. (2025). A 12,000-year-old Natufian figurine: New analysis. Journal of Archaeological Science.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Deacon, T. W. (1997). The symbolic species: The co-evolution of language and the brain. W. W. Norton.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Deraniyagala, S. U. (1992). The prehistory of Sri Lanka. Department of Archaeological Survey, Government of Sri Lanka.</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Deraniyagala, S. U., &amp; Wijeyapala, W. (2020). New perspectives on prehistoric Sri Lanka. Journal of South Asian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Diehl, R. (2004). The Olmecs: America's first civilization. Thames &amp; Hudson.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Donald, M. (1991). Origins of the modern mind: Three stages in the evolution of culture and cognition. Harvard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lastRenderedPageBreak/>
        <w:t>Dreyer, G. (1998). Umm el-Qaab I: Das prädynastische Königsgrab U-j und seine frühen Schriftzeugnisse. Philipp von Zabern.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Dunbar, R. I. M. (1992). Neocortex size as a constraint on group size in primates. Journal of Human Evolution, 22(6), 469–493.</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Dunbar, R. I. M. (2009). The social brain hypothesis and its implications for social evolution. Annals of Human Biology, 36(5), 562–572.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Eichenbaum, H. (2017). Memory: Organization and control. Annual Review of Psychology, 68, 19–45.</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Flannery, K., &amp; Marcus, J. (2012). The creation of inequality: How our prehistoric ancestors set the stage for monarchy, slavery, and empire. Harvard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Floridi, L. (2022). Ethics of artificial intelligence.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Foley, R. (2002). Contextual approaches to symbol use in early hominins. Cambridge Archaeological Journal.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Friedman, R. F. (2008). Hierakonpolis locality HK29A: The Predynastic ceremonial center revisited. Journal of the American Research Center in Egypt, 45, 79–103.</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Fuller, D. Q., &amp; Madella, M. (2012). Agriculture and symbolic evolution in South Asia. Cambridge Archaeological Journal.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Gamble, C., Gowlett, J., &amp; Dunbar, R. (2011). The social brain and the origins of culture. Cambridge Archaeological Journal.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Garfinkel, Y., &amp; Krulwich, S. (2025). The earliest vegetal motifs in prehistoric art: Halafian pottery. Journal of Near Eastern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Gibson, A., &amp; Smith, P. (2016). Cognitive archaeology of early ceremonial spaces. World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Goody, J. (1986). The logic of writing and the organization of society. Cambridge University Press. https://doi.org/10.1017/CBO9780511621598</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Goren-Inbar, N., et al. (2004). Evidence of fire use at Gesher Benot Ya'aqov. Science, 304(5671), 725–727.</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Gowlett, J. A. J. (2009). The discovery of fire and hominin cognitive evolution. Yearbook of Physical Anthropology.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Graeber, D., &amp; Wengrow, D. (2021). The dawn of everything: A new history of humanity. Farrar, Straus and Giroux.</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Graham, S., &amp; McIntosh, J. (2019). Transport, infrastructure, and societal coordination in early complex societies. Cambridge Archaeological Journal, 29(2), 145–169.</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Graybiel, A. M. (2008). Habits, rituals, and the evaluative brain. Annual Review of Neuroscience, 31, 359–387.</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Grosman, L., Munro, N. D., &amp; Belfer-Cohen, A. (2023). Natufian symbolic behavior: The NEG II figurine in context. Cambridge Archaeological Journal.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Grove, M., &amp; Coward, F. (2021). Distributed cognition in prehistoric societies. Journal of World Prehistory.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Hassan, F. A. (1985). The dynamics of a Nile Valley civilization: A prehistoric perspective. Academic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Hayden, B. (2014). The power of feasts: From prehistory to the present.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lastRenderedPageBreak/>
        <w:t>Hendrickx, S. (2011). Iconography of the Predynastic and Early Dynastic periods. In E. Teeter (Ed.), Before the pyramids (pp. 75–81). Oriental Institute.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Hendrickx, S., &amp; Huyge, D. (2020). Palaeolithic and Predynastic Egypt. In W. Wendrich (Ed.), A companion to ancient Egypt (2nd ed., pp. 37–68). Wiley-Blackwell.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Henrich, J. (2015). The secret of our success: How culture is driving human evolution, domesticating our species, and making us smarter. Princeton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Henshilwood, C. S., &amp; Dubreuil, B. (2022). Materiality and symbolic cognition in the Middle Stone Age. Journal of Human Evolution.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Henshilwood, C. S., d'Errico, F., Yates, R., et al. (2002). Emergence of modern human behavior: Middle Stone Age engravings from South Africa. Science, 295(5558), 1278–1280.</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Henshilwood, C. S., d'Errico, F., van Niekerk, K. L., et al. (2018). An abstract drawing from the 73,000-year-old levels at Blombos Cave, South Africa. Nature, 562, 115–118.</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Hill, K., &amp; Kaplan, H. (1993). Life history traits in humans and other primates. Evolutionary Anthropology.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Hobson, N. M., Schroeder, J., Risen, J. L., Xygalatas, D., &amp; Inzlicht, M. (2018). The psychology of rituals: An integrative review and process-based framework. Personality and Social Psychology Review, 22(3), 260–284.</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Hodder, I. (2006). Çatalhöyük excavations: Architecture and social practice.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Hodder, I. (2012). Entangled: An archaeology of the relationships between humans and things. Wiley-Blackwell.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Hodder, I. (2020). Entanglement and symbolic persistence.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Hodder, I. (2021). Where are we heading? The evolution of humans and things. Yale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Huang, P.-S., He, X., Gao, J., Deng, L., Acero, A., &amp; Heck, L. (2013). Learning deep structured semantic models for web search using clickthrough data. Proceedings of the 22nd ACM CIKM.</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Hutchins, E. (1995). Cognition in the wild. MIT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Huyge, D. (2011). Qurta revisited: Further evidence of Pleistocene rock art in the Nile Valley. Antiquity, 85(330), 1339–1348.</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Jarrige, C. (2008). Mehrgarh: Field reports 1974–1985. CNRS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Jarrige, J.-F., &amp; Meadow, R. (2008). Mehrgarh: Field reports and interpretations. French Archaeological Mission to the Indus.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Jaubert, J., Verheyden, S., Genty, D., Soulier, M., et al. (2016). Early Neanderthal constructions deep in Bruniquel Cave. Nature, 534, 111–114.</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Johnson, L. (2017). Symbolic systems and urban stress in the ancient Near East. Journal of World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Joyce, R. (2020). Cognition and mobility in early civilizations. Journal of Archaeological Method and Theory, 27(4), 1122–1145.</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lastRenderedPageBreak/>
        <w:t>Keen, I. (2018). Language, mobility, and spiritual power in Aboriginal Australia. Journal of the Royal Anthropological Institute, 24(2), 334–352.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Kemp, B. J. (2006). Ancient Egypt: Anatomy of a civilization (2nd ed.). Routledge.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Kenoyer, J. M. (1998). Ancient cities of the Indus Valley civilization.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Kenoyer, J. M. (2008). Crafts and social organization in the Indus Civilization. In D. Wengrow (Ed.), The Oxford handbook of the archaeology of ritual (pp. 225–244).</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Kenoyer, J. M. (2017). Cultures and societies of the Indus tradition. In R. Thapar (Ed.), Historical roots in early India. National Book Trust.</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Klein, R. G. (2009). The human career: Human biological and cultural origins (3rd ed.). University of Chicago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Köhler, E. C. (2021). State formation and the creation of kingship in early Egypt. In K. A. Bard (Ed.), Encyclopedia of the archaeology of ancient Egypt (2nd ed.). Routledge.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Kuhn, S. L. (2020). Cultural transmission and redundancy in material culture. Journal of Archaeological Method and Theory.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Laland, K. N., Uller, T., Feldman, M. W., Sterelny, K., Müller, G. B., Moczek, A., &amp; Odling-Smee, J. (2015). The extended evolutionary synthesis: Its structure, assumptions and predictions. Proceedings of the Royal Society B, 282(1813), 20151019.</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Langley, M. C., Clarkson, C., Ulm, S., et al. (2020). Early symbolic behavior in Wallacea. Nature Human Behaviour.</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Lee, C. (2017). Early Egyptian writing and terminal symbolic transformation. Journal of Egyptian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Lehner, M., &amp; Hawass, Z. (2017). Giza and the pyramids. University of Chicago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Liu, L., &amp; Chen, X. (2021). The archaeology of China: From the Late Paleolithic to the Early Bronze Age (2nd ed.).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Lycett, S. J., &amp; Chauhan, P. R. (Eds.) (2019). New perspectives on old stones: Analytical approaches to Paleolithic technologies. Springer.</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Malafouris, L. (2013). How things shape the mind: A theory of material engagement. MIT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Malafouris, L. (2021). Material engagement theory: Philosophical Transactions of the Royal Society B.</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Marcus, J. (1992). Mesoamerican writing systems: Propaganda, myth, and history in four ancient civilizations. Princeton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Marean, C. W. (2015). The origins and significance of coastal resource use in Africa and Western Eurasia. Journal of Human Evolution, 77, 17–40.</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McBrearty, S., &amp; Brooks, A. S. (2000). The revolution that wasn't: A new interpretation of the origin of modern human behavior. Journal of Human Evolution, 39(5), 453–563.</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McDougall, I., Brown, F. H., &amp; Fleagle, J. G. (2005). Stratigraphic placement and age of modern humans from Kibish, Ethiopia. Nature, 433, 733–736.</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lastRenderedPageBreak/>
        <w:t>Merlan, F. (2020). Explorations towards intercultural understanding in Australia. Journal of the Royal Anthropological Institute, 26(2), 225–242.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Mesoudi, A. (2017). Pursuing Darwin's curious parallel: Prospects for a science of cultural evolution. PNAS, 114(30), 7853–7860.</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Midant-Reynes, B. (2000). The prehistory of Egypt: From the first Egyptians to the first pharaohs. Blackwell.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Miller, E. K., &amp; Cohen, J. D. (2001). An integrative theory of prefrontal cortex function. Annual Review of Neuroscience, 24, 167–202.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Miller, H. (2019). Administrative technologies before writing. World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Mithen, S. (1996). The prehistory of the mind: A search for the origins of art, religion, and science. Thames &amp; Hudson.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Moore, A. M. T., Hillman, G. C., &amp; Legge, A. J. (2000). Village on the Euphrates: From foraging to farming at Abu Hureyra.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Musson, A. E., &amp; Robinson, E. (1969). Science and technology in the Industrial Revolution. Manchester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Nature Human Behaviour. (2025). Evo-devo dynamics of hominin brain size evolution. Nature Human Behaviour.</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Nissen, H. (1988). The early history of the ancient Near East, 9000–2000 BC. University of Chicago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Norenzayan, A., Shariff, A. F., Gervais, W. M., et al. (2016). The cultural evolution of prosocial religions. Behavioral and Brain Sciences, 39, e1.</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Nowell, A. (2010). Defining behavioral modernity in the context of Neandertal and anatomically modern human populations. Annual Review of Anthropology, 39, 437–452.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Oktaviana, A. A., Joannes-Boyau, R., Hakim, B., et al. (2024). Narrative cave art in Indonesia by 51,200 years ago. Nature, 631, 323–328.</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Parker Pearson, M. (2012). The archaeology of death and burial. Texas A&amp;M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Pearce, E., et al. (2020). Error tolerance in craft traditions: Implications for DSSM. Cambridge Archaeological Journal.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Perera, N., Kourampas, N., Simpson, I. A., Deraniyagala, S. U., Bulbeck, D., Kamminga, J., Perera, J., Fuller, D. Q., Szabó, K., &amp; Oliveira, N. V. (2011). People of the ancient rainforest: Late Pleistocene foragers at the Batadomba-lena rockshelter, Sri Lanka. Journal of Human Evolution, 61(3), 254–269.</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Pinker, S. (1994). The language instinct. William Morrow.</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Possehl, G. L. (2002). The Indus civilization: A contemporary perspective. AltaMira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Postgate, J. N. (1994). Early Mesopotamia: Society and economy at the dawn of history. Routledge.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Potts, R. (2012). Evolution and environmental change in early human prehistory. Annual Review of Anthropology, 41, 151–167.</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Power, C., et al. (2023). Collective ritual and symbolic stability in deep time. Cambridge Archaeological Journal.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Radivojević, M., et al. (2025). Vinča material culture and early symbolic transmission. Journal of World Prehistory.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lastRenderedPageBreak/>
        <w:t>Ramsey, C. B., et al. (2022). Chronological precision in deep-time archaeological dating. Journal of Archaeological Science.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Rappaport, R. A. (1999). Ritual and religion in the making of humanity. Cambridge University Press. https://doi.org/10.1017/CBO9780511814686</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Regulski, I. (2010). A palaeographic study of early writing in Egypt. Peeters.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Renfrew, C. (1976). Megaliths, territories and populations. In S. De Laet (Ed.), Acculturation and continuity in Atlantic Europe (pp. 198–220). De Tempel.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Renfrew, C. (1987). Archaeology and language: The puzzle of Indo-European origins. Jonathan Cape.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Renfrew, C. (2003). Figuring it out: What are we? Where do we come from? Thames &amp; Hudson.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Renfrew, C., &amp; Bahn, P. (2016). Archaeology: Theories, methods, and practice (7th ed.). Thames &amp; Hudson.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Renfrew, C., et al. (2021). Ritual, materiality, and cognition in prehistory. Cambridge Archaeological Journal.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Richerson, P., Baldini, R., Bell, A. V., et al. (2016). Cultural group selection plays an essential role in explaining human cooperation. Behavioral and Brain Sciences, 39, e30.</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Roberts, P., Boivin, N., Lee-Thorp, J., Petraglia, M., &amp; Stock, J. (2016). Tropical forests and the genus Homo. Evolutionary Anthropology, 25(6), 306–317.</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Russell, S., &amp; Norvig, P. (2022). Artificial intelligence: A modern approach (4th ed.). Pearson.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Scarre, C. (2020). The megalithic monuments of Britain and Ireland. Thames &amp; Hudson.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Scerri, E. M. L., et al. (2022). African–Asian symbolic connections in the Middle Stone Age. Nature Human Behaviour.</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Scott, J. C. (2017). Against the grain: A deep history of the earliest states. Yale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Shea, J. J. (2011). Homo sapiens is as Homo sapiens was: Behavioral variability versus 'behavioral modernity' in Paleolithic archaeology. Current Anthropology, 52(1), 1–35.</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Shea, J. J., &amp; Fleagle, J. G. (2008). Omo revisited: Evaluating the technological abilities of Pliocene hominins. Evolutionary Anthropology, 17(5), 225–230.</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Shennan, S. (2002). Genes, memes, and human history: Darwinian archaeology and cultural evolution. Thames &amp; Hudson.</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Smith, B., et al. (2023). Rock art access and symbolic authority in deep time. World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Solecki, R. S. (1971). Shanidar: The first flower people. Knopf.</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Squire, L. R., &amp; Dede, A. J. O. (2015). Conscious and unconscious memory systems. Cold Spring Harbor Perspectives in Biology, 7(3), a021667.</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Stauder, A. (2018). Staging restricted knowledge. In V. Davies &amp; D. Laboury (Eds.), The Oxford handbook of Egyptian epigraphy and palaeography.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Sterelny, K. (2011). From hominins to humans: How sapiens became behaviourally modern. Philosophical Transactions of the Royal Society B, 366(1566), 809–822.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lastRenderedPageBreak/>
        <w:t>Sterelny, K. (2012). The evolved apprentice: How evolution made humans unique. MIT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Stevenson, A. (2016). Predynastic Egypt. In C. Broodbank (Ed.), The Oxford handbook of world prehistory (pp. 835–857).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Storemyr, P. (2012). Prehistoric geometric rock art at Gharb Aswan, Upper Egypt. Sahara, 23, 67–76.</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Stout, D., Hecht, E., &amp; Chaminade, T. (2018). Cognitive foundations of tool use. Current Anthropology, 59(2), 205–227.</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Stout, D., et al. (2021). Neural plasticity and cultural repetition in Paleolithic toolmaking. Science Advances.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Surendra Gadekar, C., et al. (2021). Early Harappan interaction between Sindh and Gujarat, as evidenced by lithic tools. Journal of Lithic Studies. https://doi.org/10.2218/jls.5161</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Tegmark, M. (2023). Life 3.0: Being human in the age of artificial intelligence. Vintage.</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Tomasello, M. (1999). The cultural origins of human cognition. Harvard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Tomasello, M., Melis, A. P., Tennie, C., Wyman, E., &amp; Herrmann, E. (2019). Two key steps in the evolution of human cooperation. Current Anthropology, 53(6), 673–692.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Trigger, B. G. (2003). Understanding early civilizations: A comparative study.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Trigger, B. G. (2006). A history of archaeological thought (2nd ed.).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Tylén, K., Fusaroli, R., Rojo, S., Tylén, K., Camilla, D., Ullern, G., &amp; Christiansen, M. H. (2020). The evolution of early symbolic behavior in Homo sapiens. PNAS, 117(9), 4578–4584.</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Underhill, A. (Ed.) (2013). A companion to Chinese archaeology. Wiley-Blackwell.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Wedage, O., Amano, N., Langley, M. C., Douka, K., Blinkhorn, J., Crowther, A., Deraniyagala, S., Kourampas, N., Simpson, I., Perera, N., Picin, A., Boivin, N., Petraglia, M., &amp; Roberts, P. (2019). Specialized rainforest hunting by Homo sapiens ~45,000 years ago. Nature Communications, 10, 739.</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Wendorf, F., &amp; Schild, R. (1974). A Middle Stone Age sequence from the Central Rift Valley, Ethiopia. Polska Akademia Nauk.</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Wendorf, F., &amp; Schild, R. (2001). Holocene settlement of the Egyptian Sahara, Volume 1: The archaeology of Nabta Playa. Springer. https://doi.org/10.1007/978-1-4615-0653-9</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Wengrow, D. (2006). The archaeology of early Egypt: Social transformations in North-East Africa.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Wengrow, D. (2020). What makes civilization: The ancient Near East and the future of the West (2nd ed.). Oxford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Whiten, A. (2005). The second inheritance system of chimpanzees and humans. Nature, 437, 52–55. https://doi.org/10.1038/nature04023</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Whitehouse, H. (2004). Modes of religiosity: A cognitive theory of religious transmission. AltaMira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lastRenderedPageBreak/>
        <w:t>Whitehouse, H., François, P., Savage, P. E., et al. (2019). Complex societies precede moralizing gods throughout world history. Nature, 568, 226–229.</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Wright, R. P. (2010). The ancient Indus: Urbanism, economy, and society. Cambridge University Press.</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Wright, R. P., &amp; Kenoyer, J. M. (2014). Proto-writing and seals in the Indus Valley: Evidence and interpretation. Journal of World Archaeology.</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Wynn, T., &amp; Coolidge, F. L. (2010). Working memory: Beyond language and symbolism. Current Anthropology, 51(S1), S5–S16.</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Yamada, S. (2003). Assyrian army organization. Brill.</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Yin, H. H., &amp; Knowlton, B. J. (2006). The role of the basal ganglia in habit formation. Nature Reviews Neuroscience, 7, 464–472.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Zilhão, J. (2012). U-series dating of Paleolithic art in 11 caves in Spain. Science, 336(6087), 1409–1413.</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Zilhão, J. (2015). Symbolic behavior and the archaeological record. Annual Review of Anthropology, 44, 259–278.</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Zhang, L. (2017). Neolithic Chinese ritual architecture and temporal cognition. Antiquity, 91(358), 1055–1072.</w:t>
      </w:r>
    </w:p>
    <w:p w:rsidR="00956260" w:rsidRPr="00D06480" w:rsidRDefault="00000000">
      <w:pPr>
        <w:spacing w:after="80" w:line="360" w:lineRule="auto"/>
        <w:jc w:val="both"/>
        <w:rPr>
          <w:rFonts w:ascii="Gill Sans MT" w:hAnsi="Gill Sans MT"/>
        </w:rPr>
      </w:pPr>
      <w:r w:rsidRPr="00D06480">
        <w:rPr>
          <w:rFonts w:ascii="Gill Sans MT" w:hAnsi="Gill Sans MT"/>
          <w:color w:val="000000"/>
          <w:sz w:val="20"/>
          <w:szCs w:val="20"/>
        </w:rPr>
        <w:t>Vondoom, A. (2025). The Deep Symbolic Systems Model (DSSM): A cognitive–ritual framework for early monumentality and cultural continuity. SSRN Preprint. https://doi.org/10.2139/ssrn.6003734</w:t>
      </w:r>
    </w:p>
    <w:sectPr w:rsidR="00956260" w:rsidRPr="00D06480">
      <w:footerReference w:type="even" r:id="rId9"/>
      <w:footerReference w:type="default" r:id="rId10"/>
      <w:pgSz w:w="12240" w:h="15840"/>
      <w:pgMar w:top="1440" w:right="1296" w:bottom="1440"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11D" w:rsidRDefault="002E611D" w:rsidP="00D06480">
      <w:r>
        <w:separator/>
      </w:r>
    </w:p>
  </w:endnote>
  <w:endnote w:type="continuationSeparator" w:id="0">
    <w:p w:rsidR="002E611D" w:rsidRDefault="002E611D" w:rsidP="00D0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0346564"/>
      <w:docPartObj>
        <w:docPartGallery w:val="Page Numbers (Bottom of Page)"/>
        <w:docPartUnique/>
      </w:docPartObj>
    </w:sdtPr>
    <w:sdtContent>
      <w:p w:rsidR="00D06480" w:rsidRDefault="00D06480" w:rsidP="009A0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06480" w:rsidRDefault="00D06480" w:rsidP="00D064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56861"/>
      <w:docPartObj>
        <w:docPartGallery w:val="Page Numbers (Bottom of Page)"/>
        <w:docPartUnique/>
      </w:docPartObj>
    </w:sdtPr>
    <w:sdtContent>
      <w:p w:rsidR="00D06480" w:rsidRDefault="00D06480" w:rsidP="009A0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06480" w:rsidRDefault="00D06480" w:rsidP="00D064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11D" w:rsidRDefault="002E611D" w:rsidP="00D06480">
      <w:r>
        <w:separator/>
      </w:r>
    </w:p>
  </w:footnote>
  <w:footnote w:type="continuationSeparator" w:id="0">
    <w:p w:rsidR="002E611D" w:rsidRDefault="002E611D" w:rsidP="00D06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32A26"/>
    <w:multiLevelType w:val="hybridMultilevel"/>
    <w:tmpl w:val="553C6DB6"/>
    <w:lvl w:ilvl="0" w:tplc="42926F56">
      <w:start w:val="1"/>
      <w:numFmt w:val="bullet"/>
      <w:lvlText w:val="•"/>
      <w:lvlJc w:val="left"/>
      <w:pPr>
        <w:ind w:left="720" w:hanging="360"/>
      </w:pPr>
    </w:lvl>
    <w:lvl w:ilvl="1" w:tplc="90186A3C">
      <w:numFmt w:val="decimal"/>
      <w:lvlText w:val=""/>
      <w:lvlJc w:val="left"/>
    </w:lvl>
    <w:lvl w:ilvl="2" w:tplc="F9EC6C8C">
      <w:numFmt w:val="decimal"/>
      <w:lvlText w:val=""/>
      <w:lvlJc w:val="left"/>
    </w:lvl>
    <w:lvl w:ilvl="3" w:tplc="B9F2FBF6">
      <w:numFmt w:val="decimal"/>
      <w:lvlText w:val=""/>
      <w:lvlJc w:val="left"/>
    </w:lvl>
    <w:lvl w:ilvl="4" w:tplc="AFB6584A">
      <w:numFmt w:val="decimal"/>
      <w:lvlText w:val=""/>
      <w:lvlJc w:val="left"/>
    </w:lvl>
    <w:lvl w:ilvl="5" w:tplc="7512B9F2">
      <w:numFmt w:val="decimal"/>
      <w:lvlText w:val=""/>
      <w:lvlJc w:val="left"/>
    </w:lvl>
    <w:lvl w:ilvl="6" w:tplc="2FE843A8">
      <w:numFmt w:val="decimal"/>
      <w:lvlText w:val=""/>
      <w:lvlJc w:val="left"/>
    </w:lvl>
    <w:lvl w:ilvl="7" w:tplc="0A640000">
      <w:numFmt w:val="decimal"/>
      <w:lvlText w:val=""/>
      <w:lvlJc w:val="left"/>
    </w:lvl>
    <w:lvl w:ilvl="8" w:tplc="518CF3D6">
      <w:numFmt w:val="decimal"/>
      <w:lvlText w:val=""/>
      <w:lvlJc w:val="left"/>
    </w:lvl>
  </w:abstractNum>
  <w:abstractNum w:abstractNumId="1" w15:restartNumberingAfterBreak="0">
    <w:nsid w:val="401403D7"/>
    <w:multiLevelType w:val="hybridMultilevel"/>
    <w:tmpl w:val="DC74EBC2"/>
    <w:lvl w:ilvl="0" w:tplc="27DA2284">
      <w:start w:val="1"/>
      <w:numFmt w:val="decimal"/>
      <w:lvlText w:val="%1."/>
      <w:lvlJc w:val="left"/>
      <w:pPr>
        <w:ind w:left="720" w:hanging="360"/>
      </w:pPr>
    </w:lvl>
    <w:lvl w:ilvl="1" w:tplc="7E1EC9B2">
      <w:numFmt w:val="decimal"/>
      <w:lvlText w:val=""/>
      <w:lvlJc w:val="left"/>
    </w:lvl>
    <w:lvl w:ilvl="2" w:tplc="5492E51E">
      <w:numFmt w:val="decimal"/>
      <w:lvlText w:val=""/>
      <w:lvlJc w:val="left"/>
    </w:lvl>
    <w:lvl w:ilvl="3" w:tplc="5064A3D8">
      <w:numFmt w:val="decimal"/>
      <w:lvlText w:val=""/>
      <w:lvlJc w:val="left"/>
    </w:lvl>
    <w:lvl w:ilvl="4" w:tplc="13DA05C4">
      <w:numFmt w:val="decimal"/>
      <w:lvlText w:val=""/>
      <w:lvlJc w:val="left"/>
    </w:lvl>
    <w:lvl w:ilvl="5" w:tplc="755E24EC">
      <w:numFmt w:val="decimal"/>
      <w:lvlText w:val=""/>
      <w:lvlJc w:val="left"/>
    </w:lvl>
    <w:lvl w:ilvl="6" w:tplc="D1C4ECEE">
      <w:numFmt w:val="decimal"/>
      <w:lvlText w:val=""/>
      <w:lvlJc w:val="left"/>
    </w:lvl>
    <w:lvl w:ilvl="7" w:tplc="26725334">
      <w:numFmt w:val="decimal"/>
      <w:lvlText w:val=""/>
      <w:lvlJc w:val="left"/>
    </w:lvl>
    <w:lvl w:ilvl="8" w:tplc="72B6541E">
      <w:numFmt w:val="decimal"/>
      <w:lvlText w:val=""/>
      <w:lvlJc w:val="left"/>
    </w:lvl>
  </w:abstractNum>
  <w:abstractNum w:abstractNumId="2" w15:restartNumberingAfterBreak="0">
    <w:nsid w:val="7E38731C"/>
    <w:multiLevelType w:val="hybridMultilevel"/>
    <w:tmpl w:val="B7027742"/>
    <w:lvl w:ilvl="0" w:tplc="9B92D024">
      <w:start w:val="1"/>
      <w:numFmt w:val="bullet"/>
      <w:lvlText w:val="●"/>
      <w:lvlJc w:val="left"/>
      <w:pPr>
        <w:ind w:left="720" w:hanging="360"/>
      </w:pPr>
    </w:lvl>
    <w:lvl w:ilvl="1" w:tplc="AD66D51E">
      <w:start w:val="1"/>
      <w:numFmt w:val="bullet"/>
      <w:lvlText w:val="○"/>
      <w:lvlJc w:val="left"/>
      <w:pPr>
        <w:ind w:left="1440" w:hanging="360"/>
      </w:pPr>
    </w:lvl>
    <w:lvl w:ilvl="2" w:tplc="9F120A54">
      <w:start w:val="1"/>
      <w:numFmt w:val="bullet"/>
      <w:lvlText w:val="■"/>
      <w:lvlJc w:val="left"/>
      <w:pPr>
        <w:ind w:left="2160" w:hanging="360"/>
      </w:pPr>
    </w:lvl>
    <w:lvl w:ilvl="3" w:tplc="96804E30">
      <w:start w:val="1"/>
      <w:numFmt w:val="bullet"/>
      <w:lvlText w:val="●"/>
      <w:lvlJc w:val="left"/>
      <w:pPr>
        <w:ind w:left="2880" w:hanging="360"/>
      </w:pPr>
    </w:lvl>
    <w:lvl w:ilvl="4" w:tplc="D944C678">
      <w:start w:val="1"/>
      <w:numFmt w:val="bullet"/>
      <w:lvlText w:val="○"/>
      <w:lvlJc w:val="left"/>
      <w:pPr>
        <w:ind w:left="3600" w:hanging="360"/>
      </w:pPr>
    </w:lvl>
    <w:lvl w:ilvl="5" w:tplc="711842B4">
      <w:start w:val="1"/>
      <w:numFmt w:val="bullet"/>
      <w:lvlText w:val="■"/>
      <w:lvlJc w:val="left"/>
      <w:pPr>
        <w:ind w:left="4320" w:hanging="360"/>
      </w:pPr>
    </w:lvl>
    <w:lvl w:ilvl="6" w:tplc="6EC861E2">
      <w:start w:val="1"/>
      <w:numFmt w:val="bullet"/>
      <w:lvlText w:val="●"/>
      <w:lvlJc w:val="left"/>
      <w:pPr>
        <w:ind w:left="5040" w:hanging="360"/>
      </w:pPr>
    </w:lvl>
    <w:lvl w:ilvl="7" w:tplc="951E2474">
      <w:start w:val="1"/>
      <w:numFmt w:val="bullet"/>
      <w:lvlText w:val="●"/>
      <w:lvlJc w:val="left"/>
      <w:pPr>
        <w:ind w:left="5760" w:hanging="360"/>
      </w:pPr>
    </w:lvl>
    <w:lvl w:ilvl="8" w:tplc="FA8A188C">
      <w:start w:val="1"/>
      <w:numFmt w:val="bullet"/>
      <w:lvlText w:val="●"/>
      <w:lvlJc w:val="left"/>
      <w:pPr>
        <w:ind w:left="6480" w:hanging="360"/>
      </w:pPr>
    </w:lvl>
  </w:abstractNum>
  <w:num w:numId="1" w16cid:durableId="114342884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60"/>
    <w:rsid w:val="002E611D"/>
    <w:rsid w:val="00672BFB"/>
    <w:rsid w:val="00956260"/>
    <w:rsid w:val="00D06480"/>
    <w:rsid w:val="00FF2BFB"/>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63FA"/>
  <w15:docId w15:val="{A05B2D55-BF03-5D44-ABA0-5961590D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aps/>
      <w:sz w:val="28"/>
      <w:szCs w:val="28"/>
    </w:rPr>
  </w:style>
  <w:style w:type="paragraph" w:styleId="Heading2">
    <w:name w:val="heading 2"/>
    <w:uiPriority w:val="9"/>
    <w:unhideWhenUsed/>
    <w:qFormat/>
    <w:pPr>
      <w:spacing w:before="280" w:after="140"/>
      <w:outlineLvl w:val="1"/>
    </w:pPr>
    <w:rPr>
      <w:b/>
      <w:bCs/>
      <w:sz w:val="26"/>
      <w:szCs w:val="26"/>
    </w:rPr>
  </w:style>
  <w:style w:type="paragraph" w:styleId="Heading3">
    <w:name w:val="heading 3"/>
    <w:uiPriority w:val="9"/>
    <w:semiHidden/>
    <w:unhideWhenUsed/>
    <w:qFormat/>
    <w:pPr>
      <w:spacing w:before="200" w:after="10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D06480"/>
    <w:pPr>
      <w:tabs>
        <w:tab w:val="center" w:pos="4513"/>
        <w:tab w:val="right" w:pos="9026"/>
      </w:tabs>
    </w:pPr>
  </w:style>
  <w:style w:type="character" w:customStyle="1" w:styleId="FooterChar">
    <w:name w:val="Footer Char"/>
    <w:basedOn w:val="DefaultParagraphFont"/>
    <w:link w:val="Footer"/>
    <w:uiPriority w:val="99"/>
    <w:rsid w:val="00D06480"/>
  </w:style>
  <w:style w:type="character" w:styleId="PageNumber">
    <w:name w:val="page number"/>
    <w:basedOn w:val="DefaultParagraphFont"/>
    <w:uiPriority w:val="99"/>
    <w:semiHidden/>
    <w:unhideWhenUsed/>
    <w:rsid w:val="00D06480"/>
  </w:style>
  <w:style w:type="character" w:styleId="UnresolvedMention">
    <w:name w:val="Unresolved Mention"/>
    <w:basedOn w:val="DefaultParagraphFont"/>
    <w:uiPriority w:val="99"/>
    <w:semiHidden/>
    <w:unhideWhenUsed/>
    <w:rsid w:val="00FF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5281/zenodo.191701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55F1E-E13B-7B45-AFEB-9C47BB9E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14360</Words>
  <Characters>81858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cp:lastPrinted>2026-03-22T21:36:00Z</cp:lastPrinted>
  <dcterms:created xsi:type="dcterms:W3CDTF">2026-03-22T21:36:00Z</dcterms:created>
  <dcterms:modified xsi:type="dcterms:W3CDTF">2026-03-22T21:40:00Z</dcterms:modified>
</cp:coreProperties>
</file>