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C347FD" w14:textId="77777777" w:rsidR="00E601CE" w:rsidRDefault="00E601CE" w:rsidP="00E601CE">
      <w:pPr>
        <w:spacing w:before="100" w:beforeAutospacing="1" w:after="100" w:afterAutospacing="1"/>
        <w:rPr>
          <w:rFonts w:ascii="Times New Roman" w:eastAsia="Times New Roman" w:hAnsi="Times New Roman" w:cs="Times New Roman"/>
          <w:i/>
          <w:iCs/>
          <w:color w:val="000000"/>
          <w:lang w:eastAsia="en-GB"/>
        </w:rPr>
      </w:pPr>
      <w:r w:rsidRPr="00E601CE">
        <w:rPr>
          <w:rFonts w:ascii="Times New Roman" w:eastAsia="Times New Roman" w:hAnsi="Times New Roman" w:cs="Times New Roman"/>
          <w:b/>
          <w:bCs/>
          <w:color w:val="000000"/>
          <w:sz w:val="40"/>
          <w:szCs w:val="40"/>
          <w:lang w:eastAsia="en-GB"/>
        </w:rPr>
        <w:t>Deep Symbolic Stabilization Along the Tigris and Euphrates</w:t>
      </w:r>
      <w:r w:rsidRPr="00E601CE">
        <w:rPr>
          <w:rFonts w:ascii="Times New Roman" w:eastAsia="Times New Roman" w:hAnsi="Times New Roman" w:cs="Times New Roman"/>
          <w:color w:val="000000"/>
          <w:sz w:val="40"/>
          <w:szCs w:val="40"/>
          <w:lang w:eastAsia="en-GB"/>
        </w:rPr>
        <w:br/>
      </w:r>
      <w:r w:rsidRPr="00E601CE">
        <w:rPr>
          <w:rFonts w:ascii="Times New Roman" w:eastAsia="Times New Roman" w:hAnsi="Times New Roman" w:cs="Times New Roman"/>
          <w:i/>
          <w:iCs/>
          <w:color w:val="000000"/>
          <w:lang w:eastAsia="en-GB"/>
        </w:rPr>
        <w:t>A Mesopotamia-Based Case Study of the Deep Symbolic Systems Model (DSSM)</w:t>
      </w:r>
    </w:p>
    <w:p w14:paraId="39AD7C18" w14:textId="77777777" w:rsidR="00E601CE" w:rsidRDefault="00E601CE" w:rsidP="00E601CE">
      <w:pPr>
        <w:spacing w:before="100" w:beforeAutospacing="1" w:after="100" w:afterAutospacing="1"/>
        <w:rPr>
          <w:rFonts w:ascii="Times New Roman" w:eastAsia="Times New Roman" w:hAnsi="Times New Roman" w:cs="Times New Roman"/>
          <w:i/>
          <w:iCs/>
          <w:color w:val="000000"/>
          <w:lang w:eastAsia="en-GB"/>
        </w:rPr>
      </w:pPr>
    </w:p>
    <w:p w14:paraId="4F7E6DA0" w14:textId="77777777" w:rsidR="00E601CE" w:rsidRDefault="00E601CE" w:rsidP="00E601CE">
      <w:pPr>
        <w:spacing w:before="100" w:beforeAutospacing="1" w:after="100" w:afterAutospacing="1"/>
        <w:rPr>
          <w:rFonts w:ascii="Times New Roman" w:eastAsia="Times New Roman" w:hAnsi="Times New Roman" w:cs="Times New Roman"/>
          <w:i/>
          <w:iCs/>
          <w:color w:val="000000"/>
          <w:lang w:eastAsia="en-GB"/>
        </w:rPr>
      </w:pPr>
    </w:p>
    <w:p w14:paraId="404062D9" w14:textId="77777777" w:rsidR="00E601CE" w:rsidRDefault="00E601CE" w:rsidP="00E601CE">
      <w:pPr>
        <w:spacing w:before="100" w:beforeAutospacing="1" w:after="100" w:afterAutospacing="1"/>
        <w:rPr>
          <w:rFonts w:ascii="Times New Roman" w:eastAsia="Times New Roman" w:hAnsi="Times New Roman" w:cs="Times New Roman"/>
          <w:i/>
          <w:iCs/>
          <w:color w:val="000000"/>
          <w:lang w:eastAsia="en-GB"/>
        </w:rPr>
      </w:pPr>
    </w:p>
    <w:p w14:paraId="011D02DE" w14:textId="77777777" w:rsidR="00E601CE" w:rsidRDefault="00E601CE" w:rsidP="00384D23">
      <w:pPr>
        <w:spacing w:before="100" w:beforeAutospacing="1" w:after="100" w:afterAutospacing="1"/>
        <w:jc w:val="center"/>
        <w:rPr>
          <w:rFonts w:ascii="Times New Roman" w:eastAsia="Times New Roman" w:hAnsi="Times New Roman" w:cs="Times New Roman"/>
          <w:i/>
          <w:iCs/>
          <w:color w:val="000000"/>
          <w:lang w:eastAsia="en-GB"/>
        </w:rPr>
      </w:pPr>
    </w:p>
    <w:p w14:paraId="51039E91" w14:textId="322C74BE" w:rsidR="00E601CE" w:rsidRDefault="00384D23" w:rsidP="00384D23">
      <w:pPr>
        <w:spacing w:before="100" w:beforeAutospacing="1" w:after="100" w:afterAutospacing="1"/>
        <w:jc w:val="center"/>
        <w:rPr>
          <w:rFonts w:ascii="Times New Roman" w:eastAsia="Times New Roman" w:hAnsi="Times New Roman" w:cs="Times New Roman"/>
          <w:i/>
          <w:iCs/>
          <w:color w:val="000000"/>
          <w:lang w:val="en-US" w:eastAsia="en-GB"/>
        </w:rPr>
      </w:pPr>
      <w:r w:rsidRPr="00384D23">
        <w:rPr>
          <w:rFonts w:ascii="Times New Roman" w:eastAsia="Times New Roman" w:hAnsi="Times New Roman" w:cs="Times New Roman"/>
          <w:i/>
          <w:iCs/>
          <w:color w:val="000000"/>
          <w:lang w:val="en-US" w:eastAsia="en-GB"/>
        </w:rPr>
        <w:t>202</w:t>
      </w:r>
      <w:r>
        <w:rPr>
          <w:rFonts w:ascii="Times New Roman" w:eastAsia="Times New Roman" w:hAnsi="Times New Roman" w:cs="Times New Roman"/>
          <w:i/>
          <w:iCs/>
          <w:color w:val="000000"/>
          <w:lang w:val="en-US" w:eastAsia="en-GB"/>
        </w:rPr>
        <w:t>6 Figshare</w:t>
      </w:r>
    </w:p>
    <w:p w14:paraId="5BBFE6C9" w14:textId="29C6315D" w:rsidR="00384D23" w:rsidRPr="00384D23" w:rsidRDefault="00384D23" w:rsidP="00384D23">
      <w:pPr>
        <w:spacing w:before="100" w:beforeAutospacing="1" w:after="100" w:afterAutospacing="1"/>
        <w:jc w:val="center"/>
        <w:rPr>
          <w:rFonts w:ascii="Times New Roman" w:eastAsia="Times New Roman" w:hAnsi="Times New Roman" w:cs="Times New Roman"/>
          <w:i/>
          <w:iCs/>
          <w:color w:val="000000"/>
          <w:lang w:val="en-US" w:eastAsia="en-GB"/>
        </w:rPr>
      </w:pPr>
      <w:hyperlink r:id="rId5" w:history="1">
        <w:r w:rsidRPr="0064735F">
          <w:rPr>
            <w:rStyle w:val="Hyperlink"/>
            <w:rFonts w:ascii="Times New Roman" w:eastAsia="Times New Roman" w:hAnsi="Times New Roman" w:cs="Times New Roman"/>
            <w:i/>
            <w:iCs/>
            <w:lang w:val="en-US" w:eastAsia="en-GB"/>
          </w:rPr>
          <w:t>https://doi.org/10.6084/m9.figshare.31059385</w:t>
        </w:r>
      </w:hyperlink>
    </w:p>
    <w:p w14:paraId="12E7090E" w14:textId="77777777" w:rsidR="00E601CE" w:rsidRDefault="00E601CE" w:rsidP="00E601CE">
      <w:pPr>
        <w:spacing w:before="100" w:beforeAutospacing="1" w:after="100" w:afterAutospacing="1"/>
        <w:rPr>
          <w:rFonts w:ascii="Times New Roman" w:eastAsia="Times New Roman" w:hAnsi="Times New Roman" w:cs="Times New Roman"/>
          <w:i/>
          <w:iCs/>
          <w:color w:val="000000"/>
          <w:lang w:eastAsia="en-GB"/>
        </w:rPr>
      </w:pPr>
    </w:p>
    <w:p w14:paraId="44531E00" w14:textId="77777777" w:rsidR="00E601CE" w:rsidRDefault="00E601CE" w:rsidP="00E601CE">
      <w:pPr>
        <w:spacing w:before="100" w:beforeAutospacing="1" w:after="100" w:afterAutospacing="1"/>
        <w:rPr>
          <w:rFonts w:ascii="Times New Roman" w:eastAsia="Times New Roman" w:hAnsi="Times New Roman" w:cs="Times New Roman"/>
          <w:i/>
          <w:iCs/>
          <w:color w:val="000000"/>
          <w:lang w:eastAsia="en-GB"/>
        </w:rPr>
      </w:pPr>
    </w:p>
    <w:p w14:paraId="43B2BD84" w14:textId="77777777" w:rsidR="00E601CE" w:rsidRDefault="00E601CE" w:rsidP="00E601CE">
      <w:pPr>
        <w:spacing w:before="100" w:beforeAutospacing="1" w:after="100" w:afterAutospacing="1"/>
        <w:rPr>
          <w:rFonts w:ascii="Times New Roman" w:eastAsia="Times New Roman" w:hAnsi="Times New Roman" w:cs="Times New Roman"/>
          <w:i/>
          <w:iCs/>
          <w:color w:val="000000"/>
          <w:lang w:eastAsia="en-GB"/>
        </w:rPr>
      </w:pPr>
    </w:p>
    <w:p w14:paraId="3B1D50C9" w14:textId="77777777" w:rsidR="00E601CE" w:rsidRDefault="00E601CE" w:rsidP="00E601CE">
      <w:pPr>
        <w:spacing w:before="100" w:beforeAutospacing="1" w:after="100" w:afterAutospacing="1"/>
        <w:rPr>
          <w:rFonts w:ascii="Times New Roman" w:eastAsia="Times New Roman" w:hAnsi="Times New Roman" w:cs="Times New Roman"/>
          <w:i/>
          <w:iCs/>
          <w:color w:val="000000"/>
          <w:lang w:eastAsia="en-GB"/>
        </w:rPr>
      </w:pPr>
    </w:p>
    <w:p w14:paraId="6EB11512" w14:textId="77777777" w:rsidR="00E601CE" w:rsidRDefault="00E601CE" w:rsidP="00E601CE">
      <w:pPr>
        <w:spacing w:before="100" w:beforeAutospacing="1" w:after="100" w:afterAutospacing="1"/>
        <w:rPr>
          <w:rFonts w:ascii="Times New Roman" w:eastAsia="Times New Roman" w:hAnsi="Times New Roman" w:cs="Times New Roman"/>
          <w:i/>
          <w:iCs/>
          <w:color w:val="000000"/>
          <w:lang w:eastAsia="en-GB"/>
        </w:rPr>
      </w:pPr>
    </w:p>
    <w:p w14:paraId="1A823C84" w14:textId="77777777" w:rsidR="00E601CE" w:rsidRDefault="00E601CE" w:rsidP="00E601CE">
      <w:pPr>
        <w:spacing w:before="100" w:beforeAutospacing="1" w:after="100" w:afterAutospacing="1"/>
        <w:rPr>
          <w:rFonts w:ascii="Times New Roman" w:eastAsia="Times New Roman" w:hAnsi="Times New Roman" w:cs="Times New Roman"/>
          <w:i/>
          <w:iCs/>
          <w:color w:val="000000"/>
          <w:lang w:eastAsia="en-GB"/>
        </w:rPr>
      </w:pPr>
    </w:p>
    <w:p w14:paraId="115859DD" w14:textId="77777777" w:rsidR="00E601CE" w:rsidRDefault="00E601CE" w:rsidP="00E601CE">
      <w:pPr>
        <w:spacing w:before="100" w:beforeAutospacing="1" w:after="100" w:afterAutospacing="1"/>
        <w:rPr>
          <w:rFonts w:ascii="Times New Roman" w:eastAsia="Times New Roman" w:hAnsi="Times New Roman" w:cs="Times New Roman"/>
          <w:i/>
          <w:iCs/>
          <w:color w:val="000000"/>
          <w:lang w:eastAsia="en-GB"/>
        </w:rPr>
      </w:pPr>
    </w:p>
    <w:p w14:paraId="057C38D3" w14:textId="77777777" w:rsidR="00E601CE" w:rsidRDefault="00E601CE" w:rsidP="00E601CE">
      <w:pPr>
        <w:spacing w:before="100" w:beforeAutospacing="1" w:after="100" w:afterAutospacing="1"/>
        <w:rPr>
          <w:rFonts w:ascii="Times New Roman" w:eastAsia="Times New Roman" w:hAnsi="Times New Roman" w:cs="Times New Roman"/>
          <w:i/>
          <w:iCs/>
          <w:color w:val="000000"/>
          <w:lang w:eastAsia="en-GB"/>
        </w:rPr>
      </w:pPr>
    </w:p>
    <w:p w14:paraId="099C9959" w14:textId="77777777" w:rsidR="00E601CE" w:rsidRDefault="00E601CE" w:rsidP="00E601CE">
      <w:pPr>
        <w:spacing w:before="100" w:beforeAutospacing="1" w:after="100" w:afterAutospacing="1"/>
        <w:rPr>
          <w:rFonts w:ascii="Times New Roman" w:eastAsia="Times New Roman" w:hAnsi="Times New Roman" w:cs="Times New Roman"/>
          <w:i/>
          <w:iCs/>
          <w:color w:val="000000"/>
          <w:lang w:eastAsia="en-GB"/>
        </w:rPr>
      </w:pPr>
    </w:p>
    <w:p w14:paraId="57B3A2A1" w14:textId="77777777" w:rsidR="009B5645" w:rsidRDefault="009B5645" w:rsidP="00E601CE">
      <w:pPr>
        <w:spacing w:before="100" w:beforeAutospacing="1" w:after="100" w:afterAutospacing="1"/>
        <w:rPr>
          <w:rFonts w:ascii="Times New Roman" w:eastAsia="Times New Roman" w:hAnsi="Times New Roman" w:cs="Times New Roman"/>
          <w:i/>
          <w:iCs/>
          <w:color w:val="000000"/>
          <w:lang w:eastAsia="en-GB"/>
        </w:rPr>
      </w:pPr>
    </w:p>
    <w:p w14:paraId="2172D647" w14:textId="77777777" w:rsidR="00E601CE" w:rsidRDefault="00E601CE" w:rsidP="00E601CE">
      <w:pPr>
        <w:spacing w:before="100" w:beforeAutospacing="1" w:after="100" w:afterAutospacing="1"/>
        <w:rPr>
          <w:rFonts w:ascii="Times New Roman" w:eastAsia="Times New Roman" w:hAnsi="Times New Roman" w:cs="Times New Roman"/>
          <w:color w:val="000000"/>
          <w:lang w:eastAsia="en-GB"/>
        </w:rPr>
      </w:pPr>
      <w:r w:rsidRPr="00E601CE">
        <w:rPr>
          <w:rFonts w:ascii="Times New Roman" w:eastAsia="Times New Roman" w:hAnsi="Times New Roman" w:cs="Times New Roman"/>
          <w:color w:val="000000"/>
          <w:lang w:eastAsia="en-GB"/>
        </w:rPr>
        <w:t>Anthony Vondoom</w:t>
      </w:r>
    </w:p>
    <w:p w14:paraId="4D9328D3" w14:textId="77777777" w:rsidR="009B5645" w:rsidRDefault="009B5645" w:rsidP="009B5645">
      <w:pPr>
        <w:pStyle w:val="p1"/>
      </w:pPr>
      <w:r>
        <w:t>This paper is conceptually and methodologically related to the foundational work on the Deep Symbolic Systems Model (DSSM) by Vondoom, A.:</w:t>
      </w:r>
    </w:p>
    <w:p w14:paraId="219207FD" w14:textId="77777777" w:rsidR="009B5645" w:rsidRDefault="009B5645" w:rsidP="009B5645">
      <w:pPr>
        <w:pStyle w:val="p1"/>
        <w:numPr>
          <w:ilvl w:val="0"/>
          <w:numId w:val="15"/>
        </w:numPr>
      </w:pPr>
      <w:r>
        <w:rPr>
          <w:rStyle w:val="s1"/>
          <w:b/>
          <w:bCs/>
        </w:rPr>
        <w:t>Vondoom, A. (2025, December 30).</w:t>
      </w:r>
      <w:r>
        <w:t xml:space="preserve"> </w:t>
      </w:r>
      <w:r>
        <w:rPr>
          <w:i/>
          <w:iCs/>
        </w:rPr>
        <w:t>The Deep Symbolic Systems Model (DSSM) – A Cognitive–Ritual Framework for Early Monumentality and Cultural Continuity.</w:t>
      </w:r>
      <w:r>
        <w:t xml:space="preserve"> </w:t>
      </w:r>
      <w:hyperlink r:id="rId6" w:history="1">
        <w:r w:rsidRPr="00113FAC">
          <w:rPr>
            <w:rStyle w:val="Hyperlink"/>
          </w:rPr>
          <w:t>https://doi.org/10.17605/OSF.IO/MRZFU</w:t>
        </w:r>
      </w:hyperlink>
    </w:p>
    <w:p w14:paraId="7A492682" w14:textId="77777777" w:rsidR="009B5645" w:rsidRDefault="009B5645" w:rsidP="009B5645">
      <w:pPr>
        <w:pStyle w:val="p1"/>
        <w:numPr>
          <w:ilvl w:val="0"/>
          <w:numId w:val="15"/>
        </w:numPr>
      </w:pPr>
      <w:r>
        <w:rPr>
          <w:rStyle w:val="s1"/>
          <w:b/>
          <w:bCs/>
        </w:rPr>
        <w:t>Vondoom, A. (2026, January 5).</w:t>
      </w:r>
      <w:r>
        <w:t xml:space="preserve"> </w:t>
      </w:r>
      <w:r>
        <w:rPr>
          <w:i/>
          <w:iCs/>
        </w:rPr>
        <w:t>Cognitive Preconditions for the Deep Symbolic Systems Model (DSSM).</w:t>
      </w:r>
      <w:r>
        <w:t xml:space="preserve"> </w:t>
      </w:r>
      <w:hyperlink r:id="rId7" w:history="1">
        <w:r w:rsidRPr="00113FAC">
          <w:rPr>
            <w:rStyle w:val="Hyperlink"/>
          </w:rPr>
          <w:t>https://doi.org/10.17605/OSF.IO/25AJW</w:t>
        </w:r>
      </w:hyperlink>
    </w:p>
    <w:p w14:paraId="635752DE" w14:textId="77777777" w:rsidR="009B5645" w:rsidRPr="00E601CE" w:rsidRDefault="009B5645" w:rsidP="00E601CE">
      <w:pPr>
        <w:spacing w:before="100" w:beforeAutospacing="1" w:after="100" w:afterAutospacing="1"/>
        <w:rPr>
          <w:rFonts w:ascii="Times New Roman" w:eastAsia="Times New Roman" w:hAnsi="Times New Roman" w:cs="Times New Roman"/>
          <w:color w:val="000000"/>
          <w:lang w:eastAsia="en-GB"/>
        </w:rPr>
      </w:pPr>
    </w:p>
    <w:p w14:paraId="2813026A" w14:textId="77777777" w:rsidR="00E601CE" w:rsidRDefault="005F0735" w:rsidP="00E601CE">
      <w:pPr>
        <w:rPr>
          <w:rFonts w:ascii="Times New Roman" w:eastAsia="Times New Roman" w:hAnsi="Times New Roman" w:cs="Times New Roman"/>
          <w:b/>
          <w:bCs/>
          <w:color w:val="000000"/>
          <w:lang w:eastAsia="en-GB"/>
        </w:rPr>
      </w:pPr>
      <w:r>
        <w:rPr>
          <w:rFonts w:ascii="Times New Roman" w:eastAsia="Times New Roman" w:hAnsi="Times New Roman" w:cs="Times New Roman"/>
          <w:noProof/>
          <w:lang w:eastAsia="en-GB"/>
        </w:rPr>
        <w:lastRenderedPageBreak/>
        <w:pict w14:anchorId="3BEE69E2">
          <v:rect id="_x0000_i1037" alt="" style="width:451.3pt;height:.05pt;mso-width-percent:0;mso-height-percent:0;mso-width-percent:0;mso-height-percent:0" o:hralign="center" o:hrstd="t" o:hr="t" fillcolor="#a0a0a0" stroked="f"/>
        </w:pict>
      </w:r>
      <w:r w:rsidR="00E601CE" w:rsidRPr="00E601CE">
        <w:rPr>
          <w:rFonts w:ascii="Times New Roman" w:eastAsia="Times New Roman" w:hAnsi="Times New Roman" w:cs="Times New Roman"/>
          <w:b/>
          <w:bCs/>
          <w:color w:val="000000"/>
          <w:sz w:val="36"/>
          <w:szCs w:val="36"/>
          <w:lang w:eastAsia="en-GB"/>
        </w:rPr>
        <w:t>Abstract</w:t>
      </w:r>
    </w:p>
    <w:p w14:paraId="7C506855" w14:textId="77777777" w:rsidR="00E601CE" w:rsidRDefault="00E601CE" w:rsidP="00E601CE">
      <w:pPr>
        <w:rPr>
          <w:rFonts w:ascii="Times New Roman" w:eastAsia="Times New Roman" w:hAnsi="Times New Roman" w:cs="Times New Roman"/>
          <w:color w:val="000000"/>
          <w:lang w:eastAsia="en-GB"/>
        </w:rPr>
      </w:pPr>
      <w:r w:rsidRPr="00E601CE">
        <w:rPr>
          <w:rFonts w:ascii="Times New Roman" w:eastAsia="Times New Roman" w:hAnsi="Times New Roman" w:cs="Times New Roman"/>
          <w:color w:val="000000"/>
          <w:lang w:eastAsia="en-GB"/>
        </w:rPr>
        <w:br/>
        <w:t>This paper presents the first full-scale empirical application of the Deep Symbolic Systems Model (DSSM) to the Mesopotamian alluvial corridor. Rather than revising the DSSM framework, Mesopotamia is treated as a diagnostic stress test: a region with early human settlement, climatic variability, and ecological complexity, designed to determine whether deeply stabilized symbolic–ritual systems can account for long-term cultural continuity and the emergence of monumentality prior to writing, formal administration, and state bureaucracy. Drawing on Upper Paleolithic sites, Epipaleolithic aggregation zones, Pre-Pottery and Pottery Neolithic villages, and Proto-Urban architectural developments, the analysis demonstrates that Mesopotamian symbolic systems exhibit structural persistence across tens of millennia. Monumental architecture is interpreted as a late-stage externalization of accumulated symbolic load, rather than its origin. The results support DSSM as a general framework capable of explaining symbolic persistence, delayed monumentality, and cultural resilience in ecologically and politically variable contexts.</w:t>
      </w:r>
    </w:p>
    <w:p w14:paraId="33BF7E30" w14:textId="77777777" w:rsidR="00E601CE" w:rsidRDefault="00E601CE" w:rsidP="00E601CE">
      <w:pPr>
        <w:rPr>
          <w:rFonts w:ascii="Times New Roman" w:eastAsia="Times New Roman" w:hAnsi="Times New Roman" w:cs="Times New Roman"/>
          <w:color w:val="000000"/>
          <w:lang w:eastAsia="en-GB"/>
        </w:rPr>
      </w:pPr>
    </w:p>
    <w:p w14:paraId="5458D446" w14:textId="77777777" w:rsidR="00E601CE" w:rsidRDefault="00E601CE" w:rsidP="00E601CE">
      <w:pPr>
        <w:rPr>
          <w:rFonts w:ascii="Times New Roman" w:eastAsia="Times New Roman" w:hAnsi="Times New Roman" w:cs="Times New Roman"/>
          <w:color w:val="000000"/>
          <w:lang w:eastAsia="en-GB"/>
        </w:rPr>
      </w:pPr>
    </w:p>
    <w:p w14:paraId="6ED45D4A" w14:textId="77777777" w:rsidR="00E601CE" w:rsidRDefault="00E601CE" w:rsidP="00E601CE">
      <w:pPr>
        <w:rPr>
          <w:rFonts w:ascii="Times New Roman" w:eastAsia="Times New Roman" w:hAnsi="Times New Roman" w:cs="Times New Roman"/>
          <w:color w:val="000000"/>
          <w:lang w:eastAsia="en-GB"/>
        </w:rPr>
      </w:pPr>
    </w:p>
    <w:p w14:paraId="640BD43F" w14:textId="77777777" w:rsidR="00E601CE" w:rsidRDefault="00E601CE" w:rsidP="00E601CE">
      <w:pPr>
        <w:rPr>
          <w:rFonts w:ascii="Times New Roman" w:eastAsia="Times New Roman" w:hAnsi="Times New Roman" w:cs="Times New Roman"/>
          <w:color w:val="000000"/>
          <w:lang w:eastAsia="en-GB"/>
        </w:rPr>
      </w:pPr>
    </w:p>
    <w:p w14:paraId="34DA522C" w14:textId="77777777" w:rsidR="00E601CE" w:rsidRDefault="00E601CE" w:rsidP="00E601CE">
      <w:pPr>
        <w:rPr>
          <w:rFonts w:ascii="Times New Roman" w:eastAsia="Times New Roman" w:hAnsi="Times New Roman" w:cs="Times New Roman"/>
          <w:color w:val="000000"/>
          <w:lang w:eastAsia="en-GB"/>
        </w:rPr>
      </w:pPr>
    </w:p>
    <w:p w14:paraId="368F414B" w14:textId="77777777" w:rsidR="00E601CE" w:rsidRDefault="00E601CE" w:rsidP="00E601CE">
      <w:pPr>
        <w:rPr>
          <w:rFonts w:ascii="Times New Roman" w:eastAsia="Times New Roman" w:hAnsi="Times New Roman" w:cs="Times New Roman"/>
          <w:color w:val="000000"/>
          <w:lang w:eastAsia="en-GB"/>
        </w:rPr>
      </w:pPr>
    </w:p>
    <w:p w14:paraId="30C8B5E2" w14:textId="77777777" w:rsidR="00E601CE" w:rsidRDefault="00E601CE" w:rsidP="00E601CE">
      <w:pPr>
        <w:rPr>
          <w:rFonts w:ascii="Times New Roman" w:eastAsia="Times New Roman" w:hAnsi="Times New Roman" w:cs="Times New Roman"/>
          <w:color w:val="000000"/>
          <w:lang w:eastAsia="en-GB"/>
        </w:rPr>
      </w:pPr>
    </w:p>
    <w:p w14:paraId="1EF67E90" w14:textId="77777777" w:rsidR="00E601CE" w:rsidRDefault="00E601CE" w:rsidP="00E601CE">
      <w:pPr>
        <w:rPr>
          <w:rFonts w:ascii="Times New Roman" w:eastAsia="Times New Roman" w:hAnsi="Times New Roman" w:cs="Times New Roman"/>
          <w:color w:val="000000"/>
          <w:lang w:eastAsia="en-GB"/>
        </w:rPr>
      </w:pPr>
    </w:p>
    <w:p w14:paraId="71621D85" w14:textId="77777777" w:rsidR="00E601CE" w:rsidRDefault="00E601CE" w:rsidP="00E601CE">
      <w:pPr>
        <w:rPr>
          <w:rFonts w:ascii="Times New Roman" w:eastAsia="Times New Roman" w:hAnsi="Times New Roman" w:cs="Times New Roman"/>
          <w:color w:val="000000"/>
          <w:lang w:eastAsia="en-GB"/>
        </w:rPr>
      </w:pPr>
    </w:p>
    <w:p w14:paraId="5C1374E5" w14:textId="77777777" w:rsidR="00E601CE" w:rsidRDefault="00E601CE" w:rsidP="00E601CE">
      <w:pPr>
        <w:rPr>
          <w:rFonts w:ascii="Times New Roman" w:eastAsia="Times New Roman" w:hAnsi="Times New Roman" w:cs="Times New Roman"/>
          <w:color w:val="000000"/>
          <w:lang w:eastAsia="en-GB"/>
        </w:rPr>
      </w:pPr>
    </w:p>
    <w:p w14:paraId="71785F83" w14:textId="77777777" w:rsidR="00E601CE" w:rsidRDefault="00E601CE" w:rsidP="00E601CE">
      <w:pPr>
        <w:rPr>
          <w:rFonts w:ascii="Times New Roman" w:eastAsia="Times New Roman" w:hAnsi="Times New Roman" w:cs="Times New Roman"/>
          <w:color w:val="000000"/>
          <w:lang w:eastAsia="en-GB"/>
        </w:rPr>
      </w:pPr>
    </w:p>
    <w:p w14:paraId="31F51B21" w14:textId="77777777" w:rsidR="00E601CE" w:rsidRDefault="00E601CE" w:rsidP="00E601CE">
      <w:pPr>
        <w:rPr>
          <w:rFonts w:ascii="Times New Roman" w:eastAsia="Times New Roman" w:hAnsi="Times New Roman" w:cs="Times New Roman"/>
          <w:color w:val="000000"/>
          <w:lang w:eastAsia="en-GB"/>
        </w:rPr>
      </w:pPr>
    </w:p>
    <w:p w14:paraId="231E821A" w14:textId="77777777" w:rsidR="00E601CE" w:rsidRDefault="00E601CE" w:rsidP="00E601CE">
      <w:pPr>
        <w:rPr>
          <w:rFonts w:ascii="Times New Roman" w:eastAsia="Times New Roman" w:hAnsi="Times New Roman" w:cs="Times New Roman"/>
          <w:color w:val="000000"/>
          <w:lang w:eastAsia="en-GB"/>
        </w:rPr>
      </w:pPr>
    </w:p>
    <w:p w14:paraId="6471F35D" w14:textId="77777777" w:rsidR="00E601CE" w:rsidRDefault="00E601CE" w:rsidP="00E601CE">
      <w:pPr>
        <w:rPr>
          <w:rFonts w:ascii="Times New Roman" w:eastAsia="Times New Roman" w:hAnsi="Times New Roman" w:cs="Times New Roman"/>
          <w:color w:val="000000"/>
          <w:lang w:eastAsia="en-GB"/>
        </w:rPr>
      </w:pPr>
    </w:p>
    <w:p w14:paraId="0292216A" w14:textId="77777777" w:rsidR="00E601CE" w:rsidRDefault="00E601CE" w:rsidP="00E601CE">
      <w:pPr>
        <w:rPr>
          <w:rFonts w:ascii="Times New Roman" w:eastAsia="Times New Roman" w:hAnsi="Times New Roman" w:cs="Times New Roman"/>
          <w:color w:val="000000"/>
          <w:lang w:eastAsia="en-GB"/>
        </w:rPr>
      </w:pPr>
    </w:p>
    <w:p w14:paraId="3B187ED4" w14:textId="77777777" w:rsidR="00E601CE" w:rsidRDefault="00E601CE" w:rsidP="00E601CE">
      <w:pPr>
        <w:rPr>
          <w:rFonts w:ascii="Times New Roman" w:eastAsia="Times New Roman" w:hAnsi="Times New Roman" w:cs="Times New Roman"/>
          <w:color w:val="000000"/>
          <w:lang w:eastAsia="en-GB"/>
        </w:rPr>
      </w:pPr>
    </w:p>
    <w:p w14:paraId="35C66203" w14:textId="77777777" w:rsidR="00E601CE" w:rsidRDefault="00E601CE" w:rsidP="00E601CE">
      <w:pPr>
        <w:rPr>
          <w:rFonts w:ascii="Times New Roman" w:eastAsia="Times New Roman" w:hAnsi="Times New Roman" w:cs="Times New Roman"/>
          <w:color w:val="000000"/>
          <w:lang w:eastAsia="en-GB"/>
        </w:rPr>
      </w:pPr>
    </w:p>
    <w:p w14:paraId="16AAD327" w14:textId="77777777" w:rsidR="00E601CE" w:rsidRDefault="00E601CE" w:rsidP="00E601CE">
      <w:pPr>
        <w:rPr>
          <w:rFonts w:ascii="Times New Roman" w:eastAsia="Times New Roman" w:hAnsi="Times New Roman" w:cs="Times New Roman"/>
          <w:color w:val="000000"/>
          <w:lang w:eastAsia="en-GB"/>
        </w:rPr>
      </w:pPr>
    </w:p>
    <w:p w14:paraId="32732C47" w14:textId="77777777" w:rsidR="00E601CE" w:rsidRDefault="00E601CE" w:rsidP="00E601CE">
      <w:pPr>
        <w:rPr>
          <w:rFonts w:ascii="Times New Roman" w:eastAsia="Times New Roman" w:hAnsi="Times New Roman" w:cs="Times New Roman"/>
          <w:color w:val="000000"/>
          <w:lang w:eastAsia="en-GB"/>
        </w:rPr>
      </w:pPr>
    </w:p>
    <w:p w14:paraId="0776609C" w14:textId="77777777" w:rsidR="00E601CE" w:rsidRDefault="00E601CE" w:rsidP="00E601CE">
      <w:pPr>
        <w:rPr>
          <w:rFonts w:ascii="Times New Roman" w:eastAsia="Times New Roman" w:hAnsi="Times New Roman" w:cs="Times New Roman"/>
          <w:color w:val="000000"/>
          <w:lang w:eastAsia="en-GB"/>
        </w:rPr>
      </w:pPr>
    </w:p>
    <w:p w14:paraId="6364F8B7" w14:textId="77777777" w:rsidR="00E601CE" w:rsidRDefault="00E601CE" w:rsidP="00E601CE">
      <w:pPr>
        <w:rPr>
          <w:rFonts w:ascii="Times New Roman" w:eastAsia="Times New Roman" w:hAnsi="Times New Roman" w:cs="Times New Roman"/>
          <w:color w:val="000000"/>
          <w:lang w:eastAsia="en-GB"/>
        </w:rPr>
      </w:pPr>
    </w:p>
    <w:p w14:paraId="33A67F97" w14:textId="77777777" w:rsidR="00E601CE" w:rsidRDefault="00E601CE" w:rsidP="00E601CE">
      <w:pPr>
        <w:rPr>
          <w:rFonts w:ascii="Times New Roman" w:eastAsia="Times New Roman" w:hAnsi="Times New Roman" w:cs="Times New Roman"/>
          <w:color w:val="000000"/>
          <w:lang w:eastAsia="en-GB"/>
        </w:rPr>
      </w:pPr>
    </w:p>
    <w:p w14:paraId="1579880B" w14:textId="77777777" w:rsidR="00E601CE" w:rsidRDefault="00E601CE" w:rsidP="00E601CE">
      <w:pPr>
        <w:rPr>
          <w:rFonts w:ascii="Times New Roman" w:eastAsia="Times New Roman" w:hAnsi="Times New Roman" w:cs="Times New Roman"/>
          <w:color w:val="000000"/>
          <w:lang w:eastAsia="en-GB"/>
        </w:rPr>
      </w:pPr>
    </w:p>
    <w:p w14:paraId="7264CCB5" w14:textId="77777777" w:rsidR="00E601CE" w:rsidRDefault="00E601CE" w:rsidP="00E601CE">
      <w:pPr>
        <w:rPr>
          <w:rFonts w:ascii="Times New Roman" w:eastAsia="Times New Roman" w:hAnsi="Times New Roman" w:cs="Times New Roman"/>
          <w:color w:val="000000"/>
          <w:lang w:eastAsia="en-GB"/>
        </w:rPr>
      </w:pPr>
    </w:p>
    <w:p w14:paraId="200E3D3B" w14:textId="77777777" w:rsidR="00E601CE" w:rsidRDefault="00E601CE" w:rsidP="00E601CE">
      <w:pPr>
        <w:rPr>
          <w:rFonts w:ascii="Times New Roman" w:eastAsia="Times New Roman" w:hAnsi="Times New Roman" w:cs="Times New Roman"/>
          <w:color w:val="000000"/>
          <w:lang w:eastAsia="en-GB"/>
        </w:rPr>
      </w:pPr>
    </w:p>
    <w:p w14:paraId="5D4FD57A" w14:textId="77777777" w:rsidR="00E601CE" w:rsidRDefault="00E601CE" w:rsidP="00E601CE">
      <w:pPr>
        <w:rPr>
          <w:rFonts w:ascii="Times New Roman" w:eastAsia="Times New Roman" w:hAnsi="Times New Roman" w:cs="Times New Roman"/>
          <w:color w:val="000000"/>
          <w:lang w:eastAsia="en-GB"/>
        </w:rPr>
      </w:pPr>
    </w:p>
    <w:p w14:paraId="5ABD8961" w14:textId="77777777" w:rsidR="00E601CE" w:rsidRDefault="00E601CE" w:rsidP="00E601CE">
      <w:pPr>
        <w:rPr>
          <w:rFonts w:ascii="Times New Roman" w:eastAsia="Times New Roman" w:hAnsi="Times New Roman" w:cs="Times New Roman"/>
          <w:color w:val="000000"/>
          <w:lang w:eastAsia="en-GB"/>
        </w:rPr>
      </w:pPr>
    </w:p>
    <w:p w14:paraId="344C22D5" w14:textId="77777777" w:rsidR="00E601CE" w:rsidRDefault="00E601CE" w:rsidP="00E601CE">
      <w:pPr>
        <w:rPr>
          <w:rFonts w:ascii="Times New Roman" w:eastAsia="Times New Roman" w:hAnsi="Times New Roman" w:cs="Times New Roman"/>
          <w:color w:val="000000"/>
          <w:lang w:eastAsia="en-GB"/>
        </w:rPr>
      </w:pPr>
    </w:p>
    <w:p w14:paraId="67E121FD" w14:textId="77777777" w:rsidR="00E601CE" w:rsidRDefault="00E601CE" w:rsidP="00E601CE">
      <w:pPr>
        <w:rPr>
          <w:rFonts w:ascii="Times New Roman" w:eastAsia="Times New Roman" w:hAnsi="Times New Roman" w:cs="Times New Roman"/>
          <w:color w:val="000000"/>
          <w:lang w:eastAsia="en-GB"/>
        </w:rPr>
      </w:pPr>
    </w:p>
    <w:p w14:paraId="42E1D43B" w14:textId="77777777" w:rsidR="00E601CE" w:rsidRDefault="00E601CE" w:rsidP="00E601CE">
      <w:pPr>
        <w:rPr>
          <w:rFonts w:ascii="Times New Roman" w:eastAsia="Times New Roman" w:hAnsi="Times New Roman" w:cs="Times New Roman"/>
          <w:color w:val="000000"/>
          <w:lang w:eastAsia="en-GB"/>
        </w:rPr>
      </w:pPr>
    </w:p>
    <w:p w14:paraId="6C97B5CB" w14:textId="77777777" w:rsidR="00E601CE" w:rsidRDefault="00E601CE" w:rsidP="00E601CE">
      <w:pPr>
        <w:rPr>
          <w:rFonts w:ascii="Times New Roman" w:eastAsia="Times New Roman" w:hAnsi="Times New Roman" w:cs="Times New Roman"/>
          <w:color w:val="000000"/>
          <w:lang w:eastAsia="en-GB"/>
        </w:rPr>
      </w:pPr>
    </w:p>
    <w:p w14:paraId="13262F33" w14:textId="77777777" w:rsidR="00E601CE" w:rsidRDefault="00E601CE" w:rsidP="00E601CE">
      <w:pPr>
        <w:rPr>
          <w:rFonts w:ascii="Times New Roman" w:eastAsia="Times New Roman" w:hAnsi="Times New Roman" w:cs="Times New Roman"/>
          <w:color w:val="000000"/>
          <w:lang w:eastAsia="en-GB"/>
        </w:rPr>
      </w:pPr>
    </w:p>
    <w:p w14:paraId="3AED7425" w14:textId="77777777" w:rsidR="00E601CE" w:rsidRPr="00E601CE" w:rsidRDefault="00E601CE" w:rsidP="00E601CE">
      <w:pPr>
        <w:rPr>
          <w:rFonts w:ascii="Times New Roman" w:eastAsia="Times New Roman" w:hAnsi="Times New Roman" w:cs="Times New Roman"/>
          <w:lang w:eastAsia="en-GB"/>
        </w:rPr>
      </w:pPr>
    </w:p>
    <w:p w14:paraId="428D8742" w14:textId="77777777" w:rsidR="00E601CE" w:rsidRPr="00E601CE" w:rsidRDefault="005F0735" w:rsidP="00E601CE">
      <w:pPr>
        <w:rPr>
          <w:rFonts w:ascii="Times New Roman" w:eastAsia="Times New Roman" w:hAnsi="Times New Roman" w:cs="Times New Roman"/>
          <w:lang w:eastAsia="en-GB"/>
        </w:rPr>
      </w:pPr>
      <w:r>
        <w:rPr>
          <w:rFonts w:ascii="Times New Roman" w:eastAsia="Times New Roman" w:hAnsi="Times New Roman" w:cs="Times New Roman"/>
          <w:noProof/>
          <w:lang w:eastAsia="en-GB"/>
        </w:rPr>
        <w:lastRenderedPageBreak/>
        <w:pict w14:anchorId="00C311B0">
          <v:rect id="_x0000_i1036" alt="" style="width:451.3pt;height:.05pt;mso-width-percent:0;mso-height-percent:0;mso-width-percent:0;mso-height-percent:0" o:hralign="center" o:hrstd="t" o:hr="t" fillcolor="#a0a0a0" stroked="f"/>
        </w:pict>
      </w:r>
      <w:r w:rsidR="00E601CE" w:rsidRPr="00E601CE">
        <w:rPr>
          <w:rFonts w:ascii="Times New Roman" w:eastAsia="Times New Roman" w:hAnsi="Times New Roman" w:cs="Times New Roman"/>
          <w:b/>
          <w:bCs/>
          <w:color w:val="000000"/>
          <w:sz w:val="36"/>
          <w:szCs w:val="36"/>
          <w:lang w:eastAsia="en-GB"/>
        </w:rPr>
        <w:t>1. Introduction: Mesopotamia as a Diagnostic Case</w:t>
      </w:r>
      <w:r w:rsidR="00E601CE" w:rsidRPr="00E601CE">
        <w:rPr>
          <w:rFonts w:ascii="Times New Roman" w:eastAsia="Times New Roman" w:hAnsi="Times New Roman" w:cs="Times New Roman"/>
          <w:color w:val="000000"/>
          <w:sz w:val="36"/>
          <w:szCs w:val="36"/>
          <w:lang w:eastAsia="en-GB"/>
        </w:rPr>
        <w:br/>
      </w:r>
      <w:r w:rsidR="00E601CE" w:rsidRPr="00E601CE">
        <w:rPr>
          <w:rFonts w:ascii="Times New Roman" w:eastAsia="Times New Roman" w:hAnsi="Times New Roman" w:cs="Times New Roman"/>
          <w:color w:val="000000"/>
          <w:lang w:eastAsia="en-GB"/>
        </w:rPr>
        <w:t>Mesopotamia occupies a central position in discussions of human prehistory, agriculture, and early urbanism. Standard models emphasize environmental determinism, agricultural surplus, and bureaucratic administration as prerequisites for social complexity. Yet Mesopotamian prehistory challenges these linear models. Small villages, ritual structures, and symbolic behaviors precede urbanization, writing, and centralized authority by millennia.</w:t>
      </w:r>
    </w:p>
    <w:p w14:paraId="4A8AC452" w14:textId="77777777" w:rsidR="00E601CE" w:rsidRDefault="00E601CE" w:rsidP="00E601CE">
      <w:pPr>
        <w:spacing w:before="100" w:beforeAutospacing="1" w:after="100" w:afterAutospacing="1"/>
        <w:rPr>
          <w:rFonts w:ascii="Times New Roman" w:eastAsia="Times New Roman" w:hAnsi="Times New Roman" w:cs="Times New Roman"/>
          <w:color w:val="000000"/>
          <w:lang w:eastAsia="en-GB"/>
        </w:rPr>
      </w:pPr>
      <w:r w:rsidRPr="00E601CE">
        <w:rPr>
          <w:rFonts w:ascii="Times New Roman" w:eastAsia="Times New Roman" w:hAnsi="Times New Roman" w:cs="Times New Roman"/>
          <w:color w:val="000000"/>
          <w:lang w:eastAsia="en-GB"/>
        </w:rPr>
        <w:t>This paper uses Mesopotamia to test DSSM’s explanatory power. The Tigris–Euphrates corridor combines ecologically productive floodplains with surrounding uplands, creating repeated opportunities for aggregation, dispersion, and ritual repetition. Populations fluctuated with climatic cycles; yet symbolic practices—ritual sites, standardized material culture, and settlement orientations—exhibit long-term persistence. The purpose is explicitly diagnostic: if DSSM can account for Mesopotamian symbolic continuity and proto-monumentality, it is validated as a robust framework for human cultural evolution.</w:t>
      </w:r>
    </w:p>
    <w:p w14:paraId="489A535B" w14:textId="77777777" w:rsidR="00BA0DB7" w:rsidRDefault="00BA0DB7" w:rsidP="00E601CE">
      <w:pPr>
        <w:spacing w:before="100" w:beforeAutospacing="1" w:after="100" w:afterAutospacing="1"/>
        <w:rPr>
          <w:rFonts w:ascii="Times New Roman" w:eastAsia="Times New Roman" w:hAnsi="Times New Roman" w:cs="Times New Roman"/>
          <w:color w:val="000000"/>
          <w:lang w:eastAsia="en-GB"/>
        </w:rPr>
      </w:pPr>
    </w:p>
    <w:p w14:paraId="637CB488" w14:textId="77777777" w:rsidR="00BA0DB7" w:rsidRDefault="00BA0DB7" w:rsidP="00E601CE">
      <w:pPr>
        <w:spacing w:before="100" w:beforeAutospacing="1" w:after="100" w:afterAutospacing="1"/>
        <w:rPr>
          <w:rFonts w:ascii="Times New Roman" w:eastAsia="Times New Roman" w:hAnsi="Times New Roman" w:cs="Times New Roman"/>
          <w:color w:val="000000"/>
          <w:lang w:eastAsia="en-GB"/>
        </w:rPr>
      </w:pPr>
    </w:p>
    <w:p w14:paraId="4226A384" w14:textId="77777777" w:rsidR="00BA0DB7" w:rsidRDefault="00BA0DB7" w:rsidP="00E601CE">
      <w:pPr>
        <w:spacing w:before="100" w:beforeAutospacing="1" w:after="100" w:afterAutospacing="1"/>
        <w:rPr>
          <w:rFonts w:ascii="Times New Roman" w:eastAsia="Times New Roman" w:hAnsi="Times New Roman" w:cs="Times New Roman"/>
          <w:color w:val="000000"/>
          <w:lang w:eastAsia="en-GB"/>
        </w:rPr>
      </w:pPr>
    </w:p>
    <w:p w14:paraId="5F5BDE2F" w14:textId="77777777" w:rsidR="00BA0DB7" w:rsidRDefault="00BA0DB7" w:rsidP="00E601CE">
      <w:pPr>
        <w:spacing w:before="100" w:beforeAutospacing="1" w:after="100" w:afterAutospacing="1"/>
        <w:rPr>
          <w:rFonts w:ascii="Times New Roman" w:eastAsia="Times New Roman" w:hAnsi="Times New Roman" w:cs="Times New Roman"/>
          <w:color w:val="000000"/>
          <w:lang w:eastAsia="en-GB"/>
        </w:rPr>
      </w:pPr>
    </w:p>
    <w:p w14:paraId="6267AC1B" w14:textId="77777777" w:rsidR="00BA0DB7" w:rsidRDefault="00BA0DB7" w:rsidP="00E601CE">
      <w:pPr>
        <w:spacing w:before="100" w:beforeAutospacing="1" w:after="100" w:afterAutospacing="1"/>
        <w:rPr>
          <w:rFonts w:ascii="Times New Roman" w:eastAsia="Times New Roman" w:hAnsi="Times New Roman" w:cs="Times New Roman"/>
          <w:color w:val="000000"/>
          <w:lang w:eastAsia="en-GB"/>
        </w:rPr>
      </w:pPr>
    </w:p>
    <w:p w14:paraId="3E426B64" w14:textId="77777777" w:rsidR="00BA0DB7" w:rsidRDefault="00BA0DB7" w:rsidP="00E601CE">
      <w:pPr>
        <w:spacing w:before="100" w:beforeAutospacing="1" w:after="100" w:afterAutospacing="1"/>
        <w:rPr>
          <w:rFonts w:ascii="Times New Roman" w:eastAsia="Times New Roman" w:hAnsi="Times New Roman" w:cs="Times New Roman"/>
          <w:color w:val="000000"/>
          <w:lang w:eastAsia="en-GB"/>
        </w:rPr>
      </w:pPr>
    </w:p>
    <w:p w14:paraId="151E9E2B" w14:textId="77777777" w:rsidR="00BA0DB7" w:rsidRDefault="00BA0DB7" w:rsidP="00E601CE">
      <w:pPr>
        <w:spacing w:before="100" w:beforeAutospacing="1" w:after="100" w:afterAutospacing="1"/>
        <w:rPr>
          <w:rFonts w:ascii="Times New Roman" w:eastAsia="Times New Roman" w:hAnsi="Times New Roman" w:cs="Times New Roman"/>
          <w:color w:val="000000"/>
          <w:lang w:eastAsia="en-GB"/>
        </w:rPr>
      </w:pPr>
    </w:p>
    <w:p w14:paraId="52A68BFF" w14:textId="77777777" w:rsidR="00BA0DB7" w:rsidRDefault="00BA0DB7" w:rsidP="00E601CE">
      <w:pPr>
        <w:spacing w:before="100" w:beforeAutospacing="1" w:after="100" w:afterAutospacing="1"/>
        <w:rPr>
          <w:rFonts w:ascii="Times New Roman" w:eastAsia="Times New Roman" w:hAnsi="Times New Roman" w:cs="Times New Roman"/>
          <w:color w:val="000000"/>
          <w:lang w:eastAsia="en-GB"/>
        </w:rPr>
      </w:pPr>
    </w:p>
    <w:p w14:paraId="5A558E33" w14:textId="77777777" w:rsidR="00BA0DB7" w:rsidRDefault="00BA0DB7" w:rsidP="00E601CE">
      <w:pPr>
        <w:spacing w:before="100" w:beforeAutospacing="1" w:after="100" w:afterAutospacing="1"/>
        <w:rPr>
          <w:rFonts w:ascii="Times New Roman" w:eastAsia="Times New Roman" w:hAnsi="Times New Roman" w:cs="Times New Roman"/>
          <w:color w:val="000000"/>
          <w:lang w:eastAsia="en-GB"/>
        </w:rPr>
      </w:pPr>
    </w:p>
    <w:p w14:paraId="1F3D2F31" w14:textId="77777777" w:rsidR="00BA0DB7" w:rsidRDefault="00BA0DB7" w:rsidP="00E601CE">
      <w:pPr>
        <w:spacing w:before="100" w:beforeAutospacing="1" w:after="100" w:afterAutospacing="1"/>
        <w:rPr>
          <w:rFonts w:ascii="Times New Roman" w:eastAsia="Times New Roman" w:hAnsi="Times New Roman" w:cs="Times New Roman"/>
          <w:color w:val="000000"/>
          <w:lang w:eastAsia="en-GB"/>
        </w:rPr>
      </w:pPr>
    </w:p>
    <w:p w14:paraId="09483D86" w14:textId="77777777" w:rsidR="00BA0DB7" w:rsidRDefault="00BA0DB7" w:rsidP="00E601CE">
      <w:pPr>
        <w:spacing w:before="100" w:beforeAutospacing="1" w:after="100" w:afterAutospacing="1"/>
        <w:rPr>
          <w:rFonts w:ascii="Times New Roman" w:eastAsia="Times New Roman" w:hAnsi="Times New Roman" w:cs="Times New Roman"/>
          <w:color w:val="000000"/>
          <w:lang w:eastAsia="en-GB"/>
        </w:rPr>
      </w:pPr>
    </w:p>
    <w:p w14:paraId="336D0589" w14:textId="77777777" w:rsidR="00BA0DB7" w:rsidRDefault="00BA0DB7" w:rsidP="00E601CE">
      <w:pPr>
        <w:spacing w:before="100" w:beforeAutospacing="1" w:after="100" w:afterAutospacing="1"/>
        <w:rPr>
          <w:rFonts w:ascii="Times New Roman" w:eastAsia="Times New Roman" w:hAnsi="Times New Roman" w:cs="Times New Roman"/>
          <w:color w:val="000000"/>
          <w:lang w:eastAsia="en-GB"/>
        </w:rPr>
      </w:pPr>
    </w:p>
    <w:p w14:paraId="787A3A06" w14:textId="77777777" w:rsidR="00BA0DB7" w:rsidRDefault="00BA0DB7" w:rsidP="00E601CE">
      <w:pPr>
        <w:spacing w:before="100" w:beforeAutospacing="1" w:after="100" w:afterAutospacing="1"/>
        <w:rPr>
          <w:rFonts w:ascii="Times New Roman" w:eastAsia="Times New Roman" w:hAnsi="Times New Roman" w:cs="Times New Roman"/>
          <w:color w:val="000000"/>
          <w:lang w:eastAsia="en-GB"/>
        </w:rPr>
      </w:pPr>
    </w:p>
    <w:p w14:paraId="0410EF8B" w14:textId="77777777" w:rsidR="00BA0DB7" w:rsidRDefault="00BA0DB7" w:rsidP="00E601CE">
      <w:pPr>
        <w:spacing w:before="100" w:beforeAutospacing="1" w:after="100" w:afterAutospacing="1"/>
        <w:rPr>
          <w:rFonts w:ascii="Times New Roman" w:eastAsia="Times New Roman" w:hAnsi="Times New Roman" w:cs="Times New Roman"/>
          <w:color w:val="000000"/>
          <w:lang w:eastAsia="en-GB"/>
        </w:rPr>
      </w:pPr>
    </w:p>
    <w:p w14:paraId="18C2689D" w14:textId="77777777" w:rsidR="00BA0DB7" w:rsidRDefault="00BA0DB7" w:rsidP="00E601CE">
      <w:pPr>
        <w:spacing w:before="100" w:beforeAutospacing="1" w:after="100" w:afterAutospacing="1"/>
        <w:rPr>
          <w:rFonts w:ascii="Times New Roman" w:eastAsia="Times New Roman" w:hAnsi="Times New Roman" w:cs="Times New Roman"/>
          <w:color w:val="000000"/>
          <w:lang w:eastAsia="en-GB"/>
        </w:rPr>
      </w:pPr>
    </w:p>
    <w:p w14:paraId="7533FC97" w14:textId="77777777" w:rsidR="00BA0DB7" w:rsidRPr="00E601CE" w:rsidRDefault="00BA0DB7" w:rsidP="00E601CE">
      <w:pPr>
        <w:spacing w:before="100" w:beforeAutospacing="1" w:after="100" w:afterAutospacing="1"/>
        <w:rPr>
          <w:rFonts w:ascii="Times New Roman" w:eastAsia="Times New Roman" w:hAnsi="Times New Roman" w:cs="Times New Roman"/>
          <w:color w:val="000000"/>
          <w:lang w:eastAsia="en-GB"/>
        </w:rPr>
      </w:pPr>
    </w:p>
    <w:p w14:paraId="666E177A" w14:textId="77777777" w:rsidR="00E601CE" w:rsidRPr="00E601CE" w:rsidRDefault="005F0735" w:rsidP="00E601CE">
      <w:pPr>
        <w:rPr>
          <w:rFonts w:ascii="Times New Roman" w:eastAsia="Times New Roman" w:hAnsi="Times New Roman" w:cs="Times New Roman"/>
          <w:lang w:eastAsia="en-GB"/>
        </w:rPr>
      </w:pPr>
      <w:r>
        <w:rPr>
          <w:rFonts w:ascii="Times New Roman" w:eastAsia="Times New Roman" w:hAnsi="Times New Roman" w:cs="Times New Roman"/>
          <w:noProof/>
          <w:lang w:eastAsia="en-GB"/>
        </w:rPr>
        <w:lastRenderedPageBreak/>
        <w:pict w14:anchorId="0FBE0EF5">
          <v:rect id="_x0000_i1035" alt="" style="width:451.3pt;height:.05pt;mso-width-percent:0;mso-height-percent:0;mso-width-percent:0;mso-height-percent:0" o:hralign="center" o:hrstd="t" o:hr="t" fillcolor="#a0a0a0" stroked="f"/>
        </w:pict>
      </w:r>
      <w:r w:rsidR="00E601CE" w:rsidRPr="00E601CE">
        <w:rPr>
          <w:rFonts w:ascii="Times New Roman" w:eastAsia="Times New Roman" w:hAnsi="Times New Roman" w:cs="Times New Roman"/>
          <w:b/>
          <w:bCs/>
          <w:color w:val="000000"/>
          <w:sz w:val="36"/>
          <w:szCs w:val="36"/>
          <w:lang w:eastAsia="en-GB"/>
        </w:rPr>
        <w:t>2. Methodological Framework</w:t>
      </w:r>
    </w:p>
    <w:p w14:paraId="28878F72" w14:textId="77777777" w:rsidR="00E601CE" w:rsidRPr="00E601CE" w:rsidRDefault="00E601CE" w:rsidP="00BA0DB7">
      <w:pPr>
        <w:spacing w:before="100" w:beforeAutospacing="1" w:after="100" w:afterAutospacing="1"/>
        <w:ind w:firstLine="720"/>
        <w:rPr>
          <w:rFonts w:ascii="Times New Roman" w:eastAsia="Times New Roman" w:hAnsi="Times New Roman" w:cs="Times New Roman"/>
          <w:color w:val="000000"/>
          <w:lang w:eastAsia="en-GB"/>
        </w:rPr>
      </w:pPr>
      <w:r w:rsidRPr="00E601CE">
        <w:rPr>
          <w:rFonts w:ascii="Times New Roman" w:eastAsia="Times New Roman" w:hAnsi="Times New Roman" w:cs="Times New Roman"/>
          <w:b/>
          <w:bCs/>
          <w:color w:val="000000"/>
          <w:sz w:val="27"/>
          <w:szCs w:val="27"/>
          <w:lang w:eastAsia="en-GB"/>
        </w:rPr>
        <w:t>2.1 Analytical Scope</w:t>
      </w:r>
      <w:r w:rsidRPr="00E601CE">
        <w:rPr>
          <w:rFonts w:ascii="Times New Roman" w:eastAsia="Times New Roman" w:hAnsi="Times New Roman" w:cs="Times New Roman"/>
          <w:color w:val="000000"/>
          <w:lang w:eastAsia="en-GB"/>
        </w:rPr>
        <w:br/>
        <w:t>DSSM is applied sequentially across Mesopotamian prehistory, from Upper Paleolithic hunter-gatherer occupation to Proto-Urban settlement (c. 50,000–3,000 BCE). The focus is on structural stability of symbolic systems: intergenerational repetition, spatial constraint, redundancy across media, and persistence under stress.</w:t>
      </w:r>
    </w:p>
    <w:p w14:paraId="7396C002" w14:textId="77777777" w:rsidR="00E601CE" w:rsidRPr="00E601CE" w:rsidRDefault="00E601CE" w:rsidP="00BA0DB7">
      <w:pPr>
        <w:spacing w:before="100" w:beforeAutospacing="1" w:after="100" w:afterAutospacing="1"/>
        <w:ind w:firstLine="360"/>
        <w:rPr>
          <w:rFonts w:ascii="Times New Roman" w:eastAsia="Times New Roman" w:hAnsi="Times New Roman" w:cs="Times New Roman"/>
          <w:color w:val="000000"/>
          <w:lang w:eastAsia="en-GB"/>
        </w:rPr>
      </w:pPr>
      <w:r w:rsidRPr="00E601CE">
        <w:rPr>
          <w:rFonts w:ascii="Times New Roman" w:eastAsia="Times New Roman" w:hAnsi="Times New Roman" w:cs="Times New Roman"/>
          <w:b/>
          <w:bCs/>
          <w:color w:val="000000"/>
          <w:sz w:val="27"/>
          <w:szCs w:val="27"/>
          <w:lang w:eastAsia="en-GB"/>
        </w:rPr>
        <w:t>2.2 Criteria for Symbolic Stabilization</w:t>
      </w:r>
      <w:r w:rsidRPr="00E601CE">
        <w:rPr>
          <w:rFonts w:ascii="Times New Roman" w:eastAsia="Times New Roman" w:hAnsi="Times New Roman" w:cs="Times New Roman"/>
          <w:color w:val="000000"/>
          <w:sz w:val="27"/>
          <w:szCs w:val="27"/>
          <w:lang w:eastAsia="en-GB"/>
        </w:rPr>
        <w:br/>
      </w:r>
      <w:r w:rsidRPr="00E601CE">
        <w:rPr>
          <w:rFonts w:ascii="Times New Roman" w:eastAsia="Times New Roman" w:hAnsi="Times New Roman" w:cs="Times New Roman"/>
          <w:color w:val="000000"/>
          <w:lang w:eastAsia="en-GB"/>
        </w:rPr>
        <w:t>A symbolic system is considered structurally stabilized when it exhibits:</w:t>
      </w:r>
    </w:p>
    <w:p w14:paraId="79510462" w14:textId="77777777" w:rsidR="00E601CE" w:rsidRPr="00E601CE" w:rsidRDefault="00E601CE" w:rsidP="00E601CE">
      <w:pPr>
        <w:numPr>
          <w:ilvl w:val="0"/>
          <w:numId w:val="10"/>
        </w:numPr>
        <w:spacing w:before="100" w:beforeAutospacing="1" w:after="100" w:afterAutospacing="1"/>
        <w:rPr>
          <w:rFonts w:ascii="Times New Roman" w:eastAsia="Times New Roman" w:hAnsi="Times New Roman" w:cs="Times New Roman"/>
          <w:color w:val="000000"/>
          <w:lang w:eastAsia="en-GB"/>
        </w:rPr>
      </w:pPr>
      <w:r w:rsidRPr="00E601CE">
        <w:rPr>
          <w:rFonts w:ascii="Times New Roman" w:eastAsia="Times New Roman" w:hAnsi="Times New Roman" w:cs="Times New Roman"/>
          <w:color w:val="000000"/>
          <w:lang w:eastAsia="en-GB"/>
        </w:rPr>
        <w:t>Intergenerational repetition independent of individual agents</w:t>
      </w:r>
    </w:p>
    <w:p w14:paraId="342226F4" w14:textId="77777777" w:rsidR="00E601CE" w:rsidRPr="00E601CE" w:rsidRDefault="00E601CE" w:rsidP="00E601CE">
      <w:pPr>
        <w:numPr>
          <w:ilvl w:val="0"/>
          <w:numId w:val="10"/>
        </w:numPr>
        <w:spacing w:before="100" w:beforeAutospacing="1" w:after="100" w:afterAutospacing="1"/>
        <w:rPr>
          <w:rFonts w:ascii="Times New Roman" w:eastAsia="Times New Roman" w:hAnsi="Times New Roman" w:cs="Times New Roman"/>
          <w:color w:val="000000"/>
          <w:lang w:eastAsia="en-GB"/>
        </w:rPr>
      </w:pPr>
      <w:r w:rsidRPr="00E601CE">
        <w:rPr>
          <w:rFonts w:ascii="Times New Roman" w:eastAsia="Times New Roman" w:hAnsi="Times New Roman" w:cs="Times New Roman"/>
          <w:color w:val="000000"/>
          <w:lang w:eastAsia="en-GB"/>
        </w:rPr>
        <w:t>Constraint on spatial organization (orientation, enclosure, settlement layout)</w:t>
      </w:r>
    </w:p>
    <w:p w14:paraId="1D3D2227" w14:textId="77777777" w:rsidR="00E601CE" w:rsidRPr="00E601CE" w:rsidRDefault="00E601CE" w:rsidP="00E601CE">
      <w:pPr>
        <w:numPr>
          <w:ilvl w:val="0"/>
          <w:numId w:val="10"/>
        </w:numPr>
        <w:spacing w:before="100" w:beforeAutospacing="1" w:after="100" w:afterAutospacing="1"/>
        <w:rPr>
          <w:rFonts w:ascii="Times New Roman" w:eastAsia="Times New Roman" w:hAnsi="Times New Roman" w:cs="Times New Roman"/>
          <w:color w:val="000000"/>
          <w:lang w:eastAsia="en-GB"/>
        </w:rPr>
      </w:pPr>
      <w:r w:rsidRPr="00E601CE">
        <w:rPr>
          <w:rFonts w:ascii="Times New Roman" w:eastAsia="Times New Roman" w:hAnsi="Times New Roman" w:cs="Times New Roman"/>
          <w:color w:val="000000"/>
          <w:lang w:eastAsia="en-GB"/>
        </w:rPr>
        <w:t>Redundancy across media (ritual practice, material form, landscape marking)</w:t>
      </w:r>
    </w:p>
    <w:p w14:paraId="4D53FEE5" w14:textId="77777777" w:rsidR="00E601CE" w:rsidRPr="00E601CE" w:rsidRDefault="00E601CE" w:rsidP="00E601CE">
      <w:pPr>
        <w:numPr>
          <w:ilvl w:val="0"/>
          <w:numId w:val="10"/>
        </w:numPr>
        <w:spacing w:before="100" w:beforeAutospacing="1" w:after="100" w:afterAutospacing="1"/>
        <w:rPr>
          <w:rFonts w:ascii="Times New Roman" w:eastAsia="Times New Roman" w:hAnsi="Times New Roman" w:cs="Times New Roman"/>
          <w:color w:val="000000"/>
          <w:lang w:eastAsia="en-GB"/>
        </w:rPr>
      </w:pPr>
      <w:r w:rsidRPr="00E601CE">
        <w:rPr>
          <w:rFonts w:ascii="Times New Roman" w:eastAsia="Times New Roman" w:hAnsi="Times New Roman" w:cs="Times New Roman"/>
          <w:color w:val="000000"/>
          <w:lang w:eastAsia="en-GB"/>
        </w:rPr>
        <w:t>Persistence through demographic, ecological, or social stress</w:t>
      </w:r>
    </w:p>
    <w:p w14:paraId="2A667108" w14:textId="77777777" w:rsidR="00E601CE" w:rsidRPr="00E601CE" w:rsidRDefault="00E601CE" w:rsidP="00BA0DB7">
      <w:pPr>
        <w:spacing w:before="100" w:beforeAutospacing="1" w:after="100" w:afterAutospacing="1"/>
        <w:ind w:firstLine="360"/>
        <w:rPr>
          <w:rFonts w:ascii="Times New Roman" w:eastAsia="Times New Roman" w:hAnsi="Times New Roman" w:cs="Times New Roman"/>
          <w:color w:val="000000"/>
          <w:sz w:val="27"/>
          <w:szCs w:val="27"/>
          <w:lang w:eastAsia="en-GB"/>
        </w:rPr>
      </w:pPr>
      <w:r w:rsidRPr="00E601CE">
        <w:rPr>
          <w:rFonts w:ascii="Times New Roman" w:eastAsia="Times New Roman" w:hAnsi="Times New Roman" w:cs="Times New Roman"/>
          <w:b/>
          <w:bCs/>
          <w:color w:val="000000"/>
          <w:sz w:val="27"/>
          <w:szCs w:val="27"/>
          <w:lang w:eastAsia="en-GB"/>
        </w:rPr>
        <w:t>2.3 Data Sources</w:t>
      </w:r>
    </w:p>
    <w:p w14:paraId="370B1194" w14:textId="77777777" w:rsidR="00E601CE" w:rsidRPr="00E601CE" w:rsidRDefault="00E601CE" w:rsidP="00E601CE">
      <w:pPr>
        <w:numPr>
          <w:ilvl w:val="0"/>
          <w:numId w:val="11"/>
        </w:numPr>
        <w:spacing w:before="100" w:beforeAutospacing="1" w:after="100" w:afterAutospacing="1"/>
        <w:rPr>
          <w:rFonts w:ascii="Times New Roman" w:eastAsia="Times New Roman" w:hAnsi="Times New Roman" w:cs="Times New Roman"/>
          <w:color w:val="000000"/>
          <w:lang w:eastAsia="en-GB"/>
        </w:rPr>
      </w:pPr>
      <w:r w:rsidRPr="00E601CE">
        <w:rPr>
          <w:rFonts w:ascii="Times New Roman" w:eastAsia="Times New Roman" w:hAnsi="Times New Roman" w:cs="Times New Roman"/>
          <w:color w:val="000000"/>
          <w:lang w:eastAsia="en-GB"/>
        </w:rPr>
        <w:t>Upper Paleolithic and Epipaleolithic sites (Shanidar, Zarzi, Wadi Abu Subeira)</w:t>
      </w:r>
    </w:p>
    <w:p w14:paraId="3EAE3428" w14:textId="77777777" w:rsidR="00E601CE" w:rsidRPr="00E601CE" w:rsidRDefault="00E601CE" w:rsidP="00E601CE">
      <w:pPr>
        <w:numPr>
          <w:ilvl w:val="0"/>
          <w:numId w:val="11"/>
        </w:numPr>
        <w:spacing w:before="100" w:beforeAutospacing="1" w:after="100" w:afterAutospacing="1"/>
        <w:rPr>
          <w:rFonts w:ascii="Times New Roman" w:eastAsia="Times New Roman" w:hAnsi="Times New Roman" w:cs="Times New Roman"/>
          <w:color w:val="000000"/>
          <w:lang w:eastAsia="en-GB"/>
        </w:rPr>
      </w:pPr>
      <w:r w:rsidRPr="00E601CE">
        <w:rPr>
          <w:rFonts w:ascii="Times New Roman" w:eastAsia="Times New Roman" w:hAnsi="Times New Roman" w:cs="Times New Roman"/>
          <w:color w:val="000000"/>
          <w:lang w:eastAsia="en-GB"/>
        </w:rPr>
        <w:t>Pre-Pottery and Pottery Neolithic villages (Mureybit, Tell Abu Hureyra, Hassuna, Samarra)</w:t>
      </w:r>
    </w:p>
    <w:p w14:paraId="3C13B0C2" w14:textId="77777777" w:rsidR="00E601CE" w:rsidRPr="00E601CE" w:rsidRDefault="00E601CE" w:rsidP="00E601CE">
      <w:pPr>
        <w:numPr>
          <w:ilvl w:val="0"/>
          <w:numId w:val="11"/>
        </w:numPr>
        <w:spacing w:before="100" w:beforeAutospacing="1" w:after="100" w:afterAutospacing="1"/>
        <w:rPr>
          <w:rFonts w:ascii="Times New Roman" w:eastAsia="Times New Roman" w:hAnsi="Times New Roman" w:cs="Times New Roman"/>
          <w:color w:val="000000"/>
          <w:lang w:eastAsia="en-GB"/>
        </w:rPr>
      </w:pPr>
      <w:r w:rsidRPr="00E601CE">
        <w:rPr>
          <w:rFonts w:ascii="Times New Roman" w:eastAsia="Times New Roman" w:hAnsi="Times New Roman" w:cs="Times New Roman"/>
          <w:color w:val="000000"/>
          <w:lang w:eastAsia="en-GB"/>
        </w:rPr>
        <w:t>Chalcolithic and Ubaid cultural complexes</w:t>
      </w:r>
    </w:p>
    <w:p w14:paraId="5A70CE3A" w14:textId="77777777" w:rsidR="00E601CE" w:rsidRDefault="00E601CE" w:rsidP="00E601CE">
      <w:pPr>
        <w:numPr>
          <w:ilvl w:val="0"/>
          <w:numId w:val="11"/>
        </w:numPr>
        <w:spacing w:before="100" w:beforeAutospacing="1" w:after="100" w:afterAutospacing="1"/>
        <w:rPr>
          <w:rFonts w:ascii="Times New Roman" w:eastAsia="Times New Roman" w:hAnsi="Times New Roman" w:cs="Times New Roman"/>
          <w:color w:val="000000"/>
          <w:lang w:eastAsia="en-GB"/>
        </w:rPr>
      </w:pPr>
      <w:r w:rsidRPr="00E601CE">
        <w:rPr>
          <w:rFonts w:ascii="Times New Roman" w:eastAsia="Times New Roman" w:hAnsi="Times New Roman" w:cs="Times New Roman"/>
          <w:color w:val="000000"/>
          <w:lang w:eastAsia="en-GB"/>
        </w:rPr>
        <w:t>Proto-Urban centers (Eridu, Uruk)</w:t>
      </w:r>
    </w:p>
    <w:p w14:paraId="34A47969" w14:textId="77777777" w:rsidR="00BA0DB7" w:rsidRDefault="00BA0DB7" w:rsidP="00BA0DB7">
      <w:pPr>
        <w:spacing w:before="100" w:beforeAutospacing="1" w:after="100" w:afterAutospacing="1"/>
        <w:rPr>
          <w:rFonts w:ascii="Times New Roman" w:eastAsia="Times New Roman" w:hAnsi="Times New Roman" w:cs="Times New Roman"/>
          <w:color w:val="000000"/>
          <w:lang w:eastAsia="en-GB"/>
        </w:rPr>
      </w:pPr>
    </w:p>
    <w:p w14:paraId="24D29207" w14:textId="77777777" w:rsidR="00BA0DB7" w:rsidRDefault="00BA0DB7" w:rsidP="00BA0DB7">
      <w:pPr>
        <w:spacing w:before="100" w:beforeAutospacing="1" w:after="100" w:afterAutospacing="1"/>
        <w:rPr>
          <w:rFonts w:ascii="Times New Roman" w:eastAsia="Times New Roman" w:hAnsi="Times New Roman" w:cs="Times New Roman"/>
          <w:color w:val="000000"/>
          <w:lang w:eastAsia="en-GB"/>
        </w:rPr>
      </w:pPr>
    </w:p>
    <w:p w14:paraId="3D38EB10" w14:textId="77777777" w:rsidR="00BA0DB7" w:rsidRDefault="00BA0DB7" w:rsidP="00BA0DB7">
      <w:pPr>
        <w:spacing w:before="100" w:beforeAutospacing="1" w:after="100" w:afterAutospacing="1"/>
        <w:rPr>
          <w:rFonts w:ascii="Times New Roman" w:eastAsia="Times New Roman" w:hAnsi="Times New Roman" w:cs="Times New Roman"/>
          <w:color w:val="000000"/>
          <w:lang w:eastAsia="en-GB"/>
        </w:rPr>
      </w:pPr>
    </w:p>
    <w:p w14:paraId="4B9E9A75" w14:textId="77777777" w:rsidR="00BA0DB7" w:rsidRDefault="00BA0DB7" w:rsidP="00BA0DB7">
      <w:pPr>
        <w:spacing w:before="100" w:beforeAutospacing="1" w:after="100" w:afterAutospacing="1"/>
        <w:rPr>
          <w:rFonts w:ascii="Times New Roman" w:eastAsia="Times New Roman" w:hAnsi="Times New Roman" w:cs="Times New Roman"/>
          <w:color w:val="000000"/>
          <w:lang w:eastAsia="en-GB"/>
        </w:rPr>
      </w:pPr>
    </w:p>
    <w:p w14:paraId="1E984596" w14:textId="77777777" w:rsidR="00BA0DB7" w:rsidRDefault="00BA0DB7" w:rsidP="00BA0DB7">
      <w:pPr>
        <w:spacing w:before="100" w:beforeAutospacing="1" w:after="100" w:afterAutospacing="1"/>
        <w:rPr>
          <w:rFonts w:ascii="Times New Roman" w:eastAsia="Times New Roman" w:hAnsi="Times New Roman" w:cs="Times New Roman"/>
          <w:color w:val="000000"/>
          <w:lang w:eastAsia="en-GB"/>
        </w:rPr>
      </w:pPr>
    </w:p>
    <w:p w14:paraId="52B23F1E" w14:textId="77777777" w:rsidR="00BA0DB7" w:rsidRDefault="00BA0DB7" w:rsidP="00BA0DB7">
      <w:pPr>
        <w:spacing w:before="100" w:beforeAutospacing="1" w:after="100" w:afterAutospacing="1"/>
        <w:rPr>
          <w:rFonts w:ascii="Times New Roman" w:eastAsia="Times New Roman" w:hAnsi="Times New Roman" w:cs="Times New Roman"/>
          <w:color w:val="000000"/>
          <w:lang w:eastAsia="en-GB"/>
        </w:rPr>
      </w:pPr>
    </w:p>
    <w:p w14:paraId="1B2C4182" w14:textId="77777777" w:rsidR="00BA0DB7" w:rsidRDefault="00BA0DB7" w:rsidP="00BA0DB7">
      <w:pPr>
        <w:spacing w:before="100" w:beforeAutospacing="1" w:after="100" w:afterAutospacing="1"/>
        <w:rPr>
          <w:rFonts w:ascii="Times New Roman" w:eastAsia="Times New Roman" w:hAnsi="Times New Roman" w:cs="Times New Roman"/>
          <w:color w:val="000000"/>
          <w:lang w:eastAsia="en-GB"/>
        </w:rPr>
      </w:pPr>
    </w:p>
    <w:p w14:paraId="0BD9E961" w14:textId="77777777" w:rsidR="00BA0DB7" w:rsidRDefault="00BA0DB7" w:rsidP="00BA0DB7">
      <w:pPr>
        <w:spacing w:before="100" w:beforeAutospacing="1" w:after="100" w:afterAutospacing="1"/>
        <w:rPr>
          <w:rFonts w:ascii="Times New Roman" w:eastAsia="Times New Roman" w:hAnsi="Times New Roman" w:cs="Times New Roman"/>
          <w:color w:val="000000"/>
          <w:lang w:eastAsia="en-GB"/>
        </w:rPr>
      </w:pPr>
    </w:p>
    <w:p w14:paraId="41DAD6DA" w14:textId="77777777" w:rsidR="00BA0DB7" w:rsidRDefault="00BA0DB7" w:rsidP="00BA0DB7">
      <w:pPr>
        <w:spacing w:before="100" w:beforeAutospacing="1" w:after="100" w:afterAutospacing="1"/>
        <w:rPr>
          <w:rFonts w:ascii="Times New Roman" w:eastAsia="Times New Roman" w:hAnsi="Times New Roman" w:cs="Times New Roman"/>
          <w:color w:val="000000"/>
          <w:lang w:eastAsia="en-GB"/>
        </w:rPr>
      </w:pPr>
    </w:p>
    <w:p w14:paraId="03712DE9" w14:textId="77777777" w:rsidR="00BA0DB7" w:rsidRDefault="00BA0DB7" w:rsidP="00BA0DB7">
      <w:pPr>
        <w:spacing w:before="100" w:beforeAutospacing="1" w:after="100" w:afterAutospacing="1"/>
        <w:rPr>
          <w:rFonts w:ascii="Times New Roman" w:eastAsia="Times New Roman" w:hAnsi="Times New Roman" w:cs="Times New Roman"/>
          <w:color w:val="000000"/>
          <w:lang w:eastAsia="en-GB"/>
        </w:rPr>
      </w:pPr>
    </w:p>
    <w:p w14:paraId="27FAE66A" w14:textId="77777777" w:rsidR="00BA0DB7" w:rsidRPr="00E601CE" w:rsidRDefault="00BA0DB7" w:rsidP="00BA0DB7">
      <w:pPr>
        <w:spacing w:before="100" w:beforeAutospacing="1" w:after="100" w:afterAutospacing="1"/>
        <w:rPr>
          <w:rFonts w:ascii="Times New Roman" w:eastAsia="Times New Roman" w:hAnsi="Times New Roman" w:cs="Times New Roman"/>
          <w:color w:val="000000"/>
          <w:lang w:eastAsia="en-GB"/>
        </w:rPr>
      </w:pPr>
    </w:p>
    <w:p w14:paraId="5F662EC6" w14:textId="77777777" w:rsidR="00E601CE" w:rsidRPr="00E601CE" w:rsidRDefault="005F0735" w:rsidP="00E601CE">
      <w:pPr>
        <w:rPr>
          <w:rFonts w:ascii="Times New Roman" w:eastAsia="Times New Roman" w:hAnsi="Times New Roman" w:cs="Times New Roman"/>
          <w:lang w:eastAsia="en-GB"/>
        </w:rPr>
      </w:pPr>
      <w:r>
        <w:rPr>
          <w:rFonts w:ascii="Times New Roman" w:eastAsia="Times New Roman" w:hAnsi="Times New Roman" w:cs="Times New Roman"/>
          <w:noProof/>
          <w:lang w:eastAsia="en-GB"/>
        </w:rPr>
        <w:lastRenderedPageBreak/>
        <w:pict w14:anchorId="70952F2B">
          <v:rect id="_x0000_i1034" alt="" style="width:451.3pt;height:.05pt;mso-width-percent:0;mso-height-percent:0;mso-width-percent:0;mso-height-percent:0" o:hralign="center" o:hrstd="t" o:hr="t" fillcolor="#a0a0a0" stroked="f"/>
        </w:pict>
      </w:r>
      <w:r w:rsidR="00E601CE" w:rsidRPr="00E601CE">
        <w:rPr>
          <w:rFonts w:ascii="Times New Roman" w:eastAsia="Times New Roman" w:hAnsi="Times New Roman" w:cs="Times New Roman"/>
          <w:b/>
          <w:bCs/>
          <w:color w:val="000000"/>
          <w:sz w:val="36"/>
          <w:szCs w:val="36"/>
          <w:lang w:eastAsia="en-GB"/>
        </w:rPr>
        <w:t>3. Mesopotamia Before Monumentality (c. 50,000–12,000 BCE)</w:t>
      </w:r>
    </w:p>
    <w:p w14:paraId="6E1D3998" w14:textId="77777777" w:rsidR="00E601CE" w:rsidRPr="00E601CE" w:rsidRDefault="00E601CE" w:rsidP="00BA0DB7">
      <w:pPr>
        <w:spacing w:before="100" w:beforeAutospacing="1" w:after="100" w:afterAutospacing="1"/>
        <w:ind w:firstLine="720"/>
        <w:rPr>
          <w:rFonts w:ascii="Times New Roman" w:eastAsia="Times New Roman" w:hAnsi="Times New Roman" w:cs="Times New Roman"/>
          <w:color w:val="000000"/>
          <w:lang w:eastAsia="en-GB"/>
        </w:rPr>
      </w:pPr>
      <w:r w:rsidRPr="00E601CE">
        <w:rPr>
          <w:rFonts w:ascii="Times New Roman" w:eastAsia="Times New Roman" w:hAnsi="Times New Roman" w:cs="Times New Roman"/>
          <w:b/>
          <w:bCs/>
          <w:color w:val="000000"/>
          <w:sz w:val="27"/>
          <w:szCs w:val="27"/>
          <w:lang w:eastAsia="en-GB"/>
        </w:rPr>
        <w:t>3.1 Upper Paleolithic Symbolic Anchoring</w:t>
      </w:r>
      <w:r w:rsidRPr="00E601CE">
        <w:rPr>
          <w:rFonts w:ascii="Times New Roman" w:eastAsia="Times New Roman" w:hAnsi="Times New Roman" w:cs="Times New Roman"/>
          <w:color w:val="000000"/>
          <w:lang w:eastAsia="en-GB"/>
        </w:rPr>
        <w:br/>
        <w:t>Evidence from Shanidar Cave, Zarzi, and ephemeral floodplain sites shows mobile hunter-gatherers using microlithic toolkits, personal ornaments, and possible ochre body symbolism. Sites near rivers indicate intentional placement for repeated occupation and symbolic engagement with landscape. DSSM emphasizes pattern over content: repeated seasonal occupation, tool deposition, and placement near water reflect structured symbolic practice.</w:t>
      </w:r>
    </w:p>
    <w:p w14:paraId="723769FC" w14:textId="77777777" w:rsidR="00E601CE" w:rsidRPr="00E601CE" w:rsidRDefault="00E601CE" w:rsidP="00BA0DB7">
      <w:pPr>
        <w:spacing w:before="100" w:beforeAutospacing="1" w:after="100" w:afterAutospacing="1"/>
        <w:ind w:firstLine="720"/>
        <w:rPr>
          <w:rFonts w:ascii="Times New Roman" w:eastAsia="Times New Roman" w:hAnsi="Times New Roman" w:cs="Times New Roman"/>
          <w:color w:val="000000"/>
          <w:lang w:eastAsia="en-GB"/>
        </w:rPr>
      </w:pPr>
      <w:r w:rsidRPr="00E601CE">
        <w:rPr>
          <w:rFonts w:ascii="Times New Roman" w:eastAsia="Times New Roman" w:hAnsi="Times New Roman" w:cs="Times New Roman"/>
          <w:b/>
          <w:bCs/>
          <w:color w:val="000000"/>
          <w:sz w:val="27"/>
          <w:szCs w:val="27"/>
          <w:lang w:eastAsia="en-GB"/>
        </w:rPr>
        <w:t>3.2 Aggregation and Mobility</w:t>
      </w:r>
      <w:r w:rsidRPr="00E601CE">
        <w:rPr>
          <w:rFonts w:ascii="Times New Roman" w:eastAsia="Times New Roman" w:hAnsi="Times New Roman" w:cs="Times New Roman"/>
          <w:color w:val="000000"/>
          <w:lang w:eastAsia="en-GB"/>
        </w:rPr>
        <w:br/>
        <w:t>Epipaleolithic groups exploited seasonal pulses in resource availability (12,000–10,000 BCE). Aggregation sites demonstrate periodic congregation for ritual or exchange, creating redundancy across space and time. Such gatherings function as error-correction mechanisms, stabilizing symbolic grammar without written codification.</w:t>
      </w:r>
    </w:p>
    <w:p w14:paraId="52E9ECCB" w14:textId="77777777" w:rsidR="00E601CE" w:rsidRDefault="00E601CE" w:rsidP="00BA0DB7">
      <w:pPr>
        <w:spacing w:before="100" w:beforeAutospacing="1" w:after="100" w:afterAutospacing="1"/>
        <w:ind w:firstLine="720"/>
        <w:rPr>
          <w:rFonts w:ascii="Times New Roman" w:eastAsia="Times New Roman" w:hAnsi="Times New Roman" w:cs="Times New Roman"/>
          <w:color w:val="000000"/>
          <w:lang w:eastAsia="en-GB"/>
        </w:rPr>
      </w:pPr>
      <w:r w:rsidRPr="00E601CE">
        <w:rPr>
          <w:rFonts w:ascii="Times New Roman" w:eastAsia="Times New Roman" w:hAnsi="Times New Roman" w:cs="Times New Roman"/>
          <w:b/>
          <w:bCs/>
          <w:color w:val="000000"/>
          <w:sz w:val="27"/>
          <w:szCs w:val="27"/>
          <w:lang w:eastAsia="en-GB"/>
        </w:rPr>
        <w:t>3.3 Proto-Agricultural Experiments</w:t>
      </w:r>
      <w:r w:rsidRPr="00E601CE">
        <w:rPr>
          <w:rFonts w:ascii="Times New Roman" w:eastAsia="Times New Roman" w:hAnsi="Times New Roman" w:cs="Times New Roman"/>
          <w:color w:val="000000"/>
          <w:lang w:eastAsia="en-GB"/>
        </w:rPr>
        <w:br/>
        <w:t>Late Epipaleolithic and Pre-Pottery Neolithic settlements (Mureybit, Tell Abu Hureyra) show early cultivation of wild cereals, storage pits, and communal activity spaces. DSSM identifies this as symbolic intensification: structured spatial layouts, repeated construction, and ritualized consumption of plant and animal resources anchor social meaning before full agricultural reliance.</w:t>
      </w:r>
    </w:p>
    <w:p w14:paraId="732E1883" w14:textId="77777777" w:rsidR="00BA0DB7" w:rsidRDefault="00BA0DB7" w:rsidP="00BA0DB7">
      <w:pPr>
        <w:spacing w:before="100" w:beforeAutospacing="1" w:after="100" w:afterAutospacing="1"/>
        <w:ind w:firstLine="720"/>
        <w:rPr>
          <w:rFonts w:ascii="Times New Roman" w:eastAsia="Times New Roman" w:hAnsi="Times New Roman" w:cs="Times New Roman"/>
          <w:color w:val="000000"/>
          <w:lang w:eastAsia="en-GB"/>
        </w:rPr>
      </w:pPr>
    </w:p>
    <w:p w14:paraId="4A6F4197" w14:textId="77777777" w:rsidR="00BA0DB7" w:rsidRDefault="00BA0DB7" w:rsidP="00BA0DB7">
      <w:pPr>
        <w:spacing w:before="100" w:beforeAutospacing="1" w:after="100" w:afterAutospacing="1"/>
        <w:ind w:firstLine="720"/>
        <w:rPr>
          <w:rFonts w:ascii="Times New Roman" w:eastAsia="Times New Roman" w:hAnsi="Times New Roman" w:cs="Times New Roman"/>
          <w:color w:val="000000"/>
          <w:lang w:eastAsia="en-GB"/>
        </w:rPr>
      </w:pPr>
    </w:p>
    <w:p w14:paraId="29341C31" w14:textId="77777777" w:rsidR="00BA0DB7" w:rsidRDefault="00BA0DB7" w:rsidP="00BA0DB7">
      <w:pPr>
        <w:spacing w:before="100" w:beforeAutospacing="1" w:after="100" w:afterAutospacing="1"/>
        <w:ind w:firstLine="720"/>
        <w:rPr>
          <w:rFonts w:ascii="Times New Roman" w:eastAsia="Times New Roman" w:hAnsi="Times New Roman" w:cs="Times New Roman"/>
          <w:color w:val="000000"/>
          <w:lang w:eastAsia="en-GB"/>
        </w:rPr>
      </w:pPr>
    </w:p>
    <w:p w14:paraId="4F2A5193" w14:textId="77777777" w:rsidR="00BA0DB7" w:rsidRDefault="00BA0DB7" w:rsidP="00BA0DB7">
      <w:pPr>
        <w:spacing w:before="100" w:beforeAutospacing="1" w:after="100" w:afterAutospacing="1"/>
        <w:ind w:firstLine="720"/>
        <w:rPr>
          <w:rFonts w:ascii="Times New Roman" w:eastAsia="Times New Roman" w:hAnsi="Times New Roman" w:cs="Times New Roman"/>
          <w:color w:val="000000"/>
          <w:lang w:eastAsia="en-GB"/>
        </w:rPr>
      </w:pPr>
    </w:p>
    <w:p w14:paraId="25886313" w14:textId="77777777" w:rsidR="00BA0DB7" w:rsidRDefault="00BA0DB7" w:rsidP="00BA0DB7">
      <w:pPr>
        <w:spacing w:before="100" w:beforeAutospacing="1" w:after="100" w:afterAutospacing="1"/>
        <w:ind w:firstLine="720"/>
        <w:rPr>
          <w:rFonts w:ascii="Times New Roman" w:eastAsia="Times New Roman" w:hAnsi="Times New Roman" w:cs="Times New Roman"/>
          <w:color w:val="000000"/>
          <w:lang w:eastAsia="en-GB"/>
        </w:rPr>
      </w:pPr>
    </w:p>
    <w:p w14:paraId="7C4D8E3D" w14:textId="77777777" w:rsidR="00BA0DB7" w:rsidRDefault="00BA0DB7" w:rsidP="00BA0DB7">
      <w:pPr>
        <w:spacing w:before="100" w:beforeAutospacing="1" w:after="100" w:afterAutospacing="1"/>
        <w:ind w:firstLine="720"/>
        <w:rPr>
          <w:rFonts w:ascii="Times New Roman" w:eastAsia="Times New Roman" w:hAnsi="Times New Roman" w:cs="Times New Roman"/>
          <w:color w:val="000000"/>
          <w:lang w:eastAsia="en-GB"/>
        </w:rPr>
      </w:pPr>
    </w:p>
    <w:p w14:paraId="4656BF28" w14:textId="77777777" w:rsidR="00BA0DB7" w:rsidRDefault="00BA0DB7" w:rsidP="00BA0DB7">
      <w:pPr>
        <w:spacing w:before="100" w:beforeAutospacing="1" w:after="100" w:afterAutospacing="1"/>
        <w:ind w:firstLine="720"/>
        <w:rPr>
          <w:rFonts w:ascii="Times New Roman" w:eastAsia="Times New Roman" w:hAnsi="Times New Roman" w:cs="Times New Roman"/>
          <w:color w:val="000000"/>
          <w:lang w:eastAsia="en-GB"/>
        </w:rPr>
      </w:pPr>
    </w:p>
    <w:p w14:paraId="08F04B42" w14:textId="77777777" w:rsidR="00BA0DB7" w:rsidRDefault="00BA0DB7" w:rsidP="00BA0DB7">
      <w:pPr>
        <w:spacing w:before="100" w:beforeAutospacing="1" w:after="100" w:afterAutospacing="1"/>
        <w:ind w:firstLine="720"/>
        <w:rPr>
          <w:rFonts w:ascii="Times New Roman" w:eastAsia="Times New Roman" w:hAnsi="Times New Roman" w:cs="Times New Roman"/>
          <w:color w:val="000000"/>
          <w:lang w:eastAsia="en-GB"/>
        </w:rPr>
      </w:pPr>
    </w:p>
    <w:p w14:paraId="0583E1C5" w14:textId="77777777" w:rsidR="00BA0DB7" w:rsidRDefault="00BA0DB7" w:rsidP="00BA0DB7">
      <w:pPr>
        <w:spacing w:before="100" w:beforeAutospacing="1" w:after="100" w:afterAutospacing="1"/>
        <w:ind w:firstLine="720"/>
        <w:rPr>
          <w:rFonts w:ascii="Times New Roman" w:eastAsia="Times New Roman" w:hAnsi="Times New Roman" w:cs="Times New Roman"/>
          <w:color w:val="000000"/>
          <w:lang w:eastAsia="en-GB"/>
        </w:rPr>
      </w:pPr>
    </w:p>
    <w:p w14:paraId="2F78FE49" w14:textId="77777777" w:rsidR="00BA0DB7" w:rsidRDefault="00BA0DB7" w:rsidP="00BA0DB7">
      <w:pPr>
        <w:spacing w:before="100" w:beforeAutospacing="1" w:after="100" w:afterAutospacing="1"/>
        <w:ind w:firstLine="720"/>
        <w:rPr>
          <w:rFonts w:ascii="Times New Roman" w:eastAsia="Times New Roman" w:hAnsi="Times New Roman" w:cs="Times New Roman"/>
          <w:color w:val="000000"/>
          <w:lang w:eastAsia="en-GB"/>
        </w:rPr>
      </w:pPr>
    </w:p>
    <w:p w14:paraId="4FC00771" w14:textId="77777777" w:rsidR="00BA0DB7" w:rsidRDefault="00BA0DB7" w:rsidP="00BA0DB7">
      <w:pPr>
        <w:spacing w:before="100" w:beforeAutospacing="1" w:after="100" w:afterAutospacing="1"/>
        <w:ind w:firstLine="720"/>
        <w:rPr>
          <w:rFonts w:ascii="Times New Roman" w:eastAsia="Times New Roman" w:hAnsi="Times New Roman" w:cs="Times New Roman"/>
          <w:color w:val="000000"/>
          <w:lang w:eastAsia="en-GB"/>
        </w:rPr>
      </w:pPr>
    </w:p>
    <w:p w14:paraId="14EA5A7D" w14:textId="77777777" w:rsidR="00BA0DB7" w:rsidRPr="00E601CE" w:rsidRDefault="00BA0DB7" w:rsidP="00BA0DB7">
      <w:pPr>
        <w:spacing w:before="100" w:beforeAutospacing="1" w:after="100" w:afterAutospacing="1"/>
        <w:ind w:firstLine="720"/>
        <w:rPr>
          <w:rFonts w:ascii="Times New Roman" w:eastAsia="Times New Roman" w:hAnsi="Times New Roman" w:cs="Times New Roman"/>
          <w:color w:val="000000"/>
          <w:lang w:eastAsia="en-GB"/>
        </w:rPr>
      </w:pPr>
    </w:p>
    <w:p w14:paraId="7D9E181E" w14:textId="77777777" w:rsidR="00E601CE" w:rsidRPr="00E601CE" w:rsidRDefault="005F0735" w:rsidP="00BA0DB7">
      <w:pPr>
        <w:rPr>
          <w:rFonts w:ascii="Times New Roman" w:eastAsia="Times New Roman" w:hAnsi="Times New Roman" w:cs="Times New Roman"/>
          <w:lang w:eastAsia="en-GB"/>
        </w:rPr>
      </w:pPr>
      <w:r>
        <w:rPr>
          <w:rFonts w:ascii="Times New Roman" w:eastAsia="Times New Roman" w:hAnsi="Times New Roman" w:cs="Times New Roman"/>
          <w:noProof/>
          <w:lang w:eastAsia="en-GB"/>
        </w:rPr>
        <w:lastRenderedPageBreak/>
        <w:pict w14:anchorId="2C5DE521">
          <v:rect id="_x0000_i1033" alt="" style="width:451.3pt;height:.05pt;mso-width-percent:0;mso-height-percent:0;mso-width-percent:0;mso-height-percent:0" o:hralign="center" o:hrstd="t" o:hr="t" fillcolor="#a0a0a0" stroked="f"/>
        </w:pict>
      </w:r>
      <w:r w:rsidR="00E601CE" w:rsidRPr="00E601CE">
        <w:rPr>
          <w:rFonts w:ascii="Times New Roman" w:eastAsia="Times New Roman" w:hAnsi="Times New Roman" w:cs="Times New Roman"/>
          <w:b/>
          <w:bCs/>
          <w:color w:val="000000"/>
          <w:sz w:val="36"/>
          <w:szCs w:val="36"/>
          <w:lang w:eastAsia="en-GB"/>
        </w:rPr>
        <w:t>4. Oral Symbolic Transmission Without Writing</w:t>
      </w:r>
    </w:p>
    <w:p w14:paraId="35102545" w14:textId="77777777" w:rsidR="00E601CE" w:rsidRPr="00E601CE" w:rsidRDefault="00E601CE" w:rsidP="00BA0DB7">
      <w:pPr>
        <w:spacing w:before="100" w:beforeAutospacing="1" w:after="100" w:afterAutospacing="1"/>
        <w:ind w:firstLine="720"/>
        <w:rPr>
          <w:rFonts w:ascii="Times New Roman" w:eastAsia="Times New Roman" w:hAnsi="Times New Roman" w:cs="Times New Roman"/>
          <w:color w:val="000000"/>
          <w:lang w:eastAsia="en-GB"/>
        </w:rPr>
      </w:pPr>
      <w:r w:rsidRPr="00E601CE">
        <w:rPr>
          <w:rFonts w:ascii="Times New Roman" w:eastAsia="Times New Roman" w:hAnsi="Times New Roman" w:cs="Times New Roman"/>
          <w:b/>
          <w:bCs/>
          <w:color w:val="000000"/>
          <w:sz w:val="27"/>
          <w:szCs w:val="27"/>
          <w:lang w:eastAsia="en-GB"/>
        </w:rPr>
        <w:t>4.1 Repetition Thresholds and Stabilization</w:t>
      </w:r>
      <w:r w:rsidRPr="00E601CE">
        <w:rPr>
          <w:rFonts w:ascii="Times New Roman" w:eastAsia="Times New Roman" w:hAnsi="Times New Roman" w:cs="Times New Roman"/>
          <w:color w:val="000000"/>
          <w:lang w:eastAsia="en-GB"/>
        </w:rPr>
        <w:br/>
        <w:t>Seasonal aggregation and semi-permanent settlements ensured high repetition rates of ritualized activities. Intergenerational continuity was maintained via communal labor, shared ceremonies, and material standardization (stone sickles, grinding stones).</w:t>
      </w:r>
    </w:p>
    <w:p w14:paraId="477290F9" w14:textId="77777777" w:rsidR="00BA0DB7" w:rsidRPr="00E601CE" w:rsidRDefault="00E601CE" w:rsidP="00BA0DB7">
      <w:pPr>
        <w:spacing w:before="100" w:beforeAutospacing="1" w:after="100" w:afterAutospacing="1"/>
        <w:ind w:firstLine="720"/>
        <w:rPr>
          <w:rFonts w:ascii="Times New Roman" w:eastAsia="Times New Roman" w:hAnsi="Times New Roman" w:cs="Times New Roman"/>
          <w:color w:val="000000"/>
          <w:lang w:eastAsia="en-GB"/>
        </w:rPr>
      </w:pPr>
      <w:r w:rsidRPr="00E601CE">
        <w:rPr>
          <w:rFonts w:ascii="Times New Roman" w:eastAsia="Times New Roman" w:hAnsi="Times New Roman" w:cs="Times New Roman"/>
          <w:b/>
          <w:bCs/>
          <w:color w:val="000000"/>
          <w:sz w:val="27"/>
          <w:szCs w:val="27"/>
          <w:lang w:eastAsia="en-GB"/>
        </w:rPr>
        <w:t>4.2 Settlement as Mnemonic Infrastructure</w:t>
      </w:r>
      <w:r w:rsidRPr="00E601CE">
        <w:rPr>
          <w:rFonts w:ascii="Times New Roman" w:eastAsia="Times New Roman" w:hAnsi="Times New Roman" w:cs="Times New Roman"/>
          <w:color w:val="000000"/>
          <w:sz w:val="27"/>
          <w:szCs w:val="27"/>
          <w:lang w:eastAsia="en-GB"/>
        </w:rPr>
        <w:br/>
      </w:r>
      <w:r w:rsidRPr="00E601CE">
        <w:rPr>
          <w:rFonts w:ascii="Times New Roman" w:eastAsia="Times New Roman" w:hAnsi="Times New Roman" w:cs="Times New Roman"/>
          <w:color w:val="000000"/>
          <w:lang w:eastAsia="en-GB"/>
        </w:rPr>
        <w:t>Spatial organization—circular PPNA houses, rectangular Pottery Neolithic dwellings, and storage complexes—externalized social and symbolic norms. Structures and storage acted as tangible memory systems, maintaining coherence without literacy.</w:t>
      </w:r>
    </w:p>
    <w:p w14:paraId="1130702F" w14:textId="77777777" w:rsidR="00E601CE" w:rsidRPr="00E601CE" w:rsidRDefault="005F0735" w:rsidP="00BA0DB7">
      <w:pPr>
        <w:rPr>
          <w:rFonts w:ascii="Times New Roman" w:eastAsia="Times New Roman" w:hAnsi="Times New Roman" w:cs="Times New Roman"/>
          <w:lang w:eastAsia="en-GB"/>
        </w:rPr>
      </w:pPr>
      <w:r>
        <w:rPr>
          <w:rFonts w:ascii="Times New Roman" w:eastAsia="Times New Roman" w:hAnsi="Times New Roman" w:cs="Times New Roman"/>
          <w:noProof/>
          <w:lang w:eastAsia="en-GB"/>
        </w:rPr>
        <w:pict w14:anchorId="1FC6CDA6">
          <v:rect id="_x0000_i1032" alt="" style="width:451.3pt;height:.05pt;mso-width-percent:0;mso-height-percent:0;mso-width-percent:0;mso-height-percent:0" o:hralign="center" o:hrstd="t" o:hr="t" fillcolor="#a0a0a0" stroked="f"/>
        </w:pict>
      </w:r>
      <w:r w:rsidR="00E601CE" w:rsidRPr="00E601CE">
        <w:rPr>
          <w:rFonts w:ascii="Times New Roman" w:eastAsia="Times New Roman" w:hAnsi="Times New Roman" w:cs="Times New Roman"/>
          <w:b/>
          <w:bCs/>
          <w:color w:val="000000"/>
          <w:sz w:val="36"/>
          <w:szCs w:val="36"/>
          <w:lang w:eastAsia="en-GB"/>
        </w:rPr>
        <w:t>5. Symbolic Intensification Without Writing (c. 12,000–4,500 BCE)</w:t>
      </w:r>
    </w:p>
    <w:p w14:paraId="0A4C78BE" w14:textId="77777777" w:rsidR="00E601CE" w:rsidRPr="00E601CE" w:rsidRDefault="00E601CE" w:rsidP="00BA0DB7">
      <w:pPr>
        <w:spacing w:before="100" w:beforeAutospacing="1" w:after="100" w:afterAutospacing="1"/>
        <w:ind w:firstLine="720"/>
        <w:rPr>
          <w:rFonts w:ascii="Times New Roman" w:eastAsia="Times New Roman" w:hAnsi="Times New Roman" w:cs="Times New Roman"/>
          <w:color w:val="000000"/>
          <w:lang w:eastAsia="en-GB"/>
        </w:rPr>
      </w:pPr>
      <w:r w:rsidRPr="00E601CE">
        <w:rPr>
          <w:rFonts w:ascii="Times New Roman" w:eastAsia="Times New Roman" w:hAnsi="Times New Roman" w:cs="Times New Roman"/>
          <w:b/>
          <w:bCs/>
          <w:color w:val="000000"/>
          <w:sz w:val="27"/>
          <w:szCs w:val="27"/>
          <w:lang w:eastAsia="en-GB"/>
        </w:rPr>
        <w:t>5.1 Neolithic Ritual Systems</w:t>
      </w:r>
      <w:r w:rsidRPr="00E601CE">
        <w:rPr>
          <w:rFonts w:ascii="Times New Roman" w:eastAsia="Times New Roman" w:hAnsi="Times New Roman" w:cs="Times New Roman"/>
          <w:color w:val="000000"/>
          <w:sz w:val="27"/>
          <w:szCs w:val="27"/>
          <w:lang w:eastAsia="en-GB"/>
        </w:rPr>
        <w:br/>
      </w:r>
      <w:r w:rsidRPr="00E601CE">
        <w:rPr>
          <w:rFonts w:ascii="Times New Roman" w:eastAsia="Times New Roman" w:hAnsi="Times New Roman" w:cs="Times New Roman"/>
          <w:color w:val="000000"/>
          <w:lang w:eastAsia="en-GB"/>
        </w:rPr>
        <w:t>In Pre-Pottery and Pottery Neolithic villages, repeated settlement plans, plastered floors, figurines, and communal ritual spaces codified symbolic practices. Chalcolithic sites (Samarra, Halaf) display increasingly complex ceramics, weaving, and ritual architecture. These developments show symbolic redundancy across media and resilience under population growth and climatic stress.</w:t>
      </w:r>
    </w:p>
    <w:p w14:paraId="32C0D74F" w14:textId="77777777" w:rsidR="00E601CE" w:rsidRPr="00E601CE" w:rsidRDefault="00E601CE" w:rsidP="00BA0DB7">
      <w:pPr>
        <w:spacing w:before="100" w:beforeAutospacing="1" w:after="100" w:afterAutospacing="1"/>
        <w:ind w:firstLine="720"/>
        <w:rPr>
          <w:rFonts w:ascii="Times New Roman" w:eastAsia="Times New Roman" w:hAnsi="Times New Roman" w:cs="Times New Roman"/>
          <w:color w:val="000000"/>
          <w:lang w:eastAsia="en-GB"/>
        </w:rPr>
      </w:pPr>
      <w:r w:rsidRPr="00E601CE">
        <w:rPr>
          <w:rFonts w:ascii="Times New Roman" w:eastAsia="Times New Roman" w:hAnsi="Times New Roman" w:cs="Times New Roman"/>
          <w:b/>
          <w:bCs/>
          <w:color w:val="000000"/>
          <w:sz w:val="27"/>
          <w:szCs w:val="27"/>
          <w:lang w:eastAsia="en-GB"/>
        </w:rPr>
        <w:t>5.2 Social Differentiation</w:t>
      </w:r>
      <w:r w:rsidRPr="00E601CE">
        <w:rPr>
          <w:rFonts w:ascii="Times New Roman" w:eastAsia="Times New Roman" w:hAnsi="Times New Roman" w:cs="Times New Roman"/>
          <w:color w:val="000000"/>
          <w:sz w:val="27"/>
          <w:szCs w:val="27"/>
          <w:lang w:eastAsia="en-GB"/>
        </w:rPr>
        <w:br/>
      </w:r>
      <w:r w:rsidRPr="00E601CE">
        <w:rPr>
          <w:rFonts w:ascii="Times New Roman" w:eastAsia="Times New Roman" w:hAnsi="Times New Roman" w:cs="Times New Roman"/>
          <w:color w:val="000000"/>
          <w:lang w:eastAsia="en-GB"/>
        </w:rPr>
        <w:t>Craft specialization, communal ritual spaces, and differential grave goods indicate emerging social hierarchies. DSSM interprets this as reallocation of symbolic authority, not invention of new symbolic grammar.</w:t>
      </w:r>
    </w:p>
    <w:p w14:paraId="2B10B3B6" w14:textId="77777777" w:rsidR="00E601CE" w:rsidRDefault="005F0735" w:rsidP="00BA0DB7">
      <w:pPr>
        <w:rPr>
          <w:rFonts w:ascii="Times New Roman" w:eastAsia="Times New Roman" w:hAnsi="Times New Roman" w:cs="Times New Roman"/>
          <w:b/>
          <w:bCs/>
          <w:color w:val="000000"/>
          <w:sz w:val="36"/>
          <w:szCs w:val="36"/>
          <w:lang w:eastAsia="en-GB"/>
        </w:rPr>
      </w:pPr>
      <w:r>
        <w:rPr>
          <w:rFonts w:ascii="Times New Roman" w:eastAsia="Times New Roman" w:hAnsi="Times New Roman" w:cs="Times New Roman"/>
          <w:noProof/>
          <w:lang w:eastAsia="en-GB"/>
        </w:rPr>
        <w:pict w14:anchorId="1B4C8DE1">
          <v:rect id="_x0000_i1031" alt="" style="width:451.3pt;height:.05pt;mso-width-percent:0;mso-height-percent:0;mso-width-percent:0;mso-height-percent:0" o:hralign="center" o:hrstd="t" o:hr="t" fillcolor="#a0a0a0" stroked="f"/>
        </w:pict>
      </w:r>
      <w:r w:rsidR="00E601CE" w:rsidRPr="00E601CE">
        <w:rPr>
          <w:rFonts w:ascii="Times New Roman" w:eastAsia="Times New Roman" w:hAnsi="Times New Roman" w:cs="Times New Roman"/>
          <w:b/>
          <w:bCs/>
          <w:color w:val="000000"/>
          <w:sz w:val="36"/>
          <w:szCs w:val="36"/>
          <w:lang w:eastAsia="en-GB"/>
        </w:rPr>
        <w:t>6. Monumentality as Symbolic Externalization (c. 4,500–3,000 BCE)</w:t>
      </w:r>
    </w:p>
    <w:p w14:paraId="3ACB27EE" w14:textId="77777777" w:rsidR="00BA0DB7" w:rsidRPr="00E601CE" w:rsidRDefault="00BA0DB7" w:rsidP="00BA0DB7">
      <w:pPr>
        <w:rPr>
          <w:rFonts w:ascii="Times New Roman" w:eastAsia="Times New Roman" w:hAnsi="Times New Roman" w:cs="Times New Roman"/>
          <w:lang w:eastAsia="en-GB"/>
        </w:rPr>
      </w:pPr>
    </w:p>
    <w:p w14:paraId="1EC7B4FF" w14:textId="77777777" w:rsidR="00E601CE" w:rsidRDefault="00E601CE" w:rsidP="00E601CE">
      <w:pPr>
        <w:spacing w:before="100" w:beforeAutospacing="1" w:after="100" w:afterAutospacing="1"/>
        <w:rPr>
          <w:rFonts w:ascii="Times New Roman" w:eastAsia="Times New Roman" w:hAnsi="Times New Roman" w:cs="Times New Roman"/>
          <w:color w:val="000000"/>
          <w:lang w:eastAsia="en-GB"/>
        </w:rPr>
      </w:pPr>
      <w:r w:rsidRPr="00E601CE">
        <w:rPr>
          <w:rFonts w:ascii="Times New Roman" w:eastAsia="Times New Roman" w:hAnsi="Times New Roman" w:cs="Times New Roman"/>
          <w:color w:val="000000"/>
          <w:lang w:eastAsia="en-GB"/>
        </w:rPr>
        <w:t>Proto-urban centers such as Eridu and early Uruk exhibit monumental architecture, including temple platforms, canal networks, and multi-room buildings. DSSM interprets these as compressions of accumulated symbolic load: axial planning, repetitive motifs, and centralized ritual spaces extend the symbolic grammar of Neolithic villages. Writing emerges concurrently (proto-cuneiform), formalizing pre-existing symbolic relations rather than creating them. Monumental labor reflects pre-existing symbolic authority mobilized across growing populations.</w:t>
      </w:r>
    </w:p>
    <w:p w14:paraId="6E7764D0" w14:textId="77777777" w:rsidR="00BA0DB7" w:rsidRDefault="00BA0DB7" w:rsidP="00E601CE">
      <w:pPr>
        <w:spacing w:before="100" w:beforeAutospacing="1" w:after="100" w:afterAutospacing="1"/>
        <w:rPr>
          <w:rFonts w:ascii="Times New Roman" w:eastAsia="Times New Roman" w:hAnsi="Times New Roman" w:cs="Times New Roman"/>
          <w:color w:val="000000"/>
          <w:lang w:eastAsia="en-GB"/>
        </w:rPr>
      </w:pPr>
    </w:p>
    <w:p w14:paraId="75637905" w14:textId="77777777" w:rsidR="00BA0DB7" w:rsidRDefault="00BA0DB7" w:rsidP="00E601CE">
      <w:pPr>
        <w:spacing w:before="100" w:beforeAutospacing="1" w:after="100" w:afterAutospacing="1"/>
        <w:rPr>
          <w:rFonts w:ascii="Times New Roman" w:eastAsia="Times New Roman" w:hAnsi="Times New Roman" w:cs="Times New Roman"/>
          <w:color w:val="000000"/>
          <w:lang w:eastAsia="en-GB"/>
        </w:rPr>
      </w:pPr>
    </w:p>
    <w:p w14:paraId="04269F98" w14:textId="77777777" w:rsidR="00E601CE" w:rsidRPr="00E601CE" w:rsidRDefault="005F0735" w:rsidP="00BA0DB7">
      <w:pPr>
        <w:rPr>
          <w:rFonts w:ascii="Times New Roman" w:eastAsia="Times New Roman" w:hAnsi="Times New Roman" w:cs="Times New Roman"/>
          <w:lang w:eastAsia="en-GB"/>
        </w:rPr>
      </w:pPr>
      <w:r>
        <w:rPr>
          <w:rFonts w:ascii="Times New Roman" w:eastAsia="Times New Roman" w:hAnsi="Times New Roman" w:cs="Times New Roman"/>
          <w:noProof/>
          <w:lang w:eastAsia="en-GB"/>
        </w:rPr>
        <w:lastRenderedPageBreak/>
        <w:pict w14:anchorId="49063C0E">
          <v:rect id="_x0000_i1030" alt="" style="width:451.3pt;height:.05pt;mso-width-percent:0;mso-height-percent:0;mso-width-percent:0;mso-height-percent:0" o:hralign="center" o:hrstd="t" o:hr="t" fillcolor="#a0a0a0" stroked="f"/>
        </w:pict>
      </w:r>
      <w:r w:rsidR="00E601CE" w:rsidRPr="00E601CE">
        <w:rPr>
          <w:rFonts w:ascii="Times New Roman" w:eastAsia="Times New Roman" w:hAnsi="Times New Roman" w:cs="Times New Roman"/>
          <w:b/>
          <w:bCs/>
          <w:color w:val="000000"/>
          <w:sz w:val="36"/>
          <w:szCs w:val="36"/>
          <w:lang w:eastAsia="en-GB"/>
        </w:rPr>
        <w:t>7. Proto-Urban Stability as Diagnostic Evidence</w:t>
      </w:r>
    </w:p>
    <w:p w14:paraId="58C5378D" w14:textId="77777777" w:rsidR="00E601CE" w:rsidRPr="00E601CE" w:rsidRDefault="00E601CE" w:rsidP="00BA0DB7">
      <w:pPr>
        <w:spacing w:before="100" w:beforeAutospacing="1" w:after="100" w:afterAutospacing="1"/>
        <w:ind w:firstLine="720"/>
        <w:rPr>
          <w:rFonts w:ascii="Times New Roman" w:eastAsia="Times New Roman" w:hAnsi="Times New Roman" w:cs="Times New Roman"/>
          <w:color w:val="000000"/>
          <w:lang w:eastAsia="en-GB"/>
        </w:rPr>
      </w:pPr>
      <w:r w:rsidRPr="00E601CE">
        <w:rPr>
          <w:rFonts w:ascii="Times New Roman" w:eastAsia="Times New Roman" w:hAnsi="Times New Roman" w:cs="Times New Roman"/>
          <w:b/>
          <w:bCs/>
          <w:color w:val="000000"/>
          <w:sz w:val="27"/>
          <w:szCs w:val="27"/>
          <w:lang w:eastAsia="en-GB"/>
        </w:rPr>
        <w:t>7.1 Symbolic Inertia Across Settlement Evolution</w:t>
      </w:r>
      <w:r w:rsidRPr="00E601CE">
        <w:rPr>
          <w:rFonts w:ascii="Times New Roman" w:eastAsia="Times New Roman" w:hAnsi="Times New Roman" w:cs="Times New Roman"/>
          <w:color w:val="000000"/>
          <w:lang w:eastAsia="en-GB"/>
        </w:rPr>
        <w:br/>
        <w:t>Despite environmental fluctuations and population growth, settlement orientation, ritual continuity, and craft specialization remain structurally consistent from Pottery Neolithic through early Uruk urbanism.</w:t>
      </w:r>
    </w:p>
    <w:p w14:paraId="20F0F1F1" w14:textId="77777777" w:rsidR="00E601CE" w:rsidRPr="00E601CE" w:rsidRDefault="00E601CE" w:rsidP="00BA0DB7">
      <w:pPr>
        <w:spacing w:before="100" w:beforeAutospacing="1" w:after="100" w:afterAutospacing="1"/>
        <w:ind w:firstLine="720"/>
        <w:rPr>
          <w:rFonts w:ascii="Times New Roman" w:eastAsia="Times New Roman" w:hAnsi="Times New Roman" w:cs="Times New Roman"/>
          <w:color w:val="000000"/>
          <w:lang w:eastAsia="en-GB"/>
        </w:rPr>
      </w:pPr>
      <w:r w:rsidRPr="00E601CE">
        <w:rPr>
          <w:rFonts w:ascii="Times New Roman" w:eastAsia="Times New Roman" w:hAnsi="Times New Roman" w:cs="Times New Roman"/>
          <w:b/>
          <w:bCs/>
          <w:color w:val="000000"/>
          <w:sz w:val="27"/>
          <w:szCs w:val="27"/>
          <w:lang w:eastAsia="en-GB"/>
        </w:rPr>
        <w:t>7.2 Collapse Without Symbolic Reset</w:t>
      </w:r>
      <w:r w:rsidRPr="00E601CE">
        <w:rPr>
          <w:rFonts w:ascii="Times New Roman" w:eastAsia="Times New Roman" w:hAnsi="Times New Roman" w:cs="Times New Roman"/>
          <w:color w:val="000000"/>
          <w:lang w:eastAsia="en-GB"/>
        </w:rPr>
        <w:br/>
        <w:t>Regional disruptions, including localized flooding or demographic contraction, do not erase symbolic grammar. Standardized pottery, architectural layouts, and ritual installations reassert continuity.</w:t>
      </w:r>
    </w:p>
    <w:p w14:paraId="567E7C99" w14:textId="77777777" w:rsidR="00E601CE" w:rsidRPr="00E601CE" w:rsidRDefault="00E601CE" w:rsidP="00BA0DB7">
      <w:pPr>
        <w:spacing w:before="100" w:beforeAutospacing="1" w:after="100" w:afterAutospacing="1"/>
        <w:ind w:firstLine="720"/>
        <w:rPr>
          <w:rFonts w:ascii="Times New Roman" w:eastAsia="Times New Roman" w:hAnsi="Times New Roman" w:cs="Times New Roman"/>
          <w:color w:val="000000"/>
          <w:lang w:eastAsia="en-GB"/>
        </w:rPr>
      </w:pPr>
      <w:r w:rsidRPr="00E601CE">
        <w:rPr>
          <w:rFonts w:ascii="Times New Roman" w:eastAsia="Times New Roman" w:hAnsi="Times New Roman" w:cs="Times New Roman"/>
          <w:b/>
          <w:bCs/>
          <w:color w:val="000000"/>
          <w:sz w:val="27"/>
          <w:szCs w:val="27"/>
          <w:lang w:eastAsia="en-GB"/>
        </w:rPr>
        <w:t>7.3 Ubaid as Stress Test</w:t>
      </w:r>
      <w:r w:rsidRPr="00E601CE">
        <w:rPr>
          <w:rFonts w:ascii="Times New Roman" w:eastAsia="Times New Roman" w:hAnsi="Times New Roman" w:cs="Times New Roman"/>
          <w:color w:val="000000"/>
          <w:lang w:eastAsia="en-GB"/>
        </w:rPr>
        <w:br/>
        <w:t>The Ubaid sequence (c. 5,500–4,000 BCE) demonstrates symbolic stabilization prior to dynastic control. Ritual and settlement grammar are maintained without administrative centralization, illustrating DSSM’s predictive scope.</w:t>
      </w:r>
    </w:p>
    <w:p w14:paraId="4D7ECF73" w14:textId="77777777" w:rsidR="00BA0DB7" w:rsidRPr="00BA0DB7" w:rsidRDefault="005F0735" w:rsidP="00BA0DB7">
      <w:pPr>
        <w:rPr>
          <w:rFonts w:ascii="Times New Roman" w:eastAsia="Times New Roman" w:hAnsi="Times New Roman" w:cs="Times New Roman"/>
          <w:lang w:eastAsia="en-GB"/>
        </w:rPr>
      </w:pPr>
      <w:r>
        <w:rPr>
          <w:rFonts w:ascii="Times New Roman" w:eastAsia="Times New Roman" w:hAnsi="Times New Roman" w:cs="Times New Roman"/>
          <w:noProof/>
          <w:lang w:eastAsia="en-GB"/>
        </w:rPr>
        <w:pict w14:anchorId="20A5CCB2">
          <v:rect id="_x0000_i1029" alt="" style="width:451.3pt;height:.05pt;mso-width-percent:0;mso-height-percent:0;mso-width-percent:0;mso-height-percent:0" o:hralign="center" o:hrstd="t" o:hr="t" fillcolor="#a0a0a0" stroked="f"/>
        </w:pict>
      </w:r>
      <w:r w:rsidR="00E601CE" w:rsidRPr="00E601CE">
        <w:rPr>
          <w:rFonts w:ascii="Times New Roman" w:eastAsia="Times New Roman" w:hAnsi="Times New Roman" w:cs="Times New Roman"/>
          <w:b/>
          <w:bCs/>
          <w:color w:val="000000"/>
          <w:sz w:val="36"/>
          <w:szCs w:val="36"/>
          <w:lang w:eastAsia="en-GB"/>
        </w:rPr>
        <w:t>8. Why Mesopotamia Is Not an Outlier</w:t>
      </w:r>
      <w:r w:rsidR="00E601CE" w:rsidRPr="00E601CE">
        <w:rPr>
          <w:rFonts w:ascii="Times New Roman" w:eastAsia="Times New Roman" w:hAnsi="Times New Roman" w:cs="Times New Roman"/>
          <w:color w:val="000000"/>
          <w:sz w:val="36"/>
          <w:szCs w:val="36"/>
          <w:lang w:eastAsia="en-GB"/>
        </w:rPr>
        <w:br/>
      </w:r>
    </w:p>
    <w:p w14:paraId="14E94EC3" w14:textId="77777777" w:rsidR="00E601CE" w:rsidRPr="00E601CE" w:rsidRDefault="00E601CE" w:rsidP="00E601CE">
      <w:pPr>
        <w:spacing w:before="100" w:beforeAutospacing="1" w:after="100" w:afterAutospacing="1"/>
        <w:rPr>
          <w:rFonts w:ascii="Times New Roman" w:eastAsia="Times New Roman" w:hAnsi="Times New Roman" w:cs="Times New Roman"/>
          <w:color w:val="000000"/>
          <w:lang w:eastAsia="en-GB"/>
        </w:rPr>
      </w:pPr>
      <w:r w:rsidRPr="00E601CE">
        <w:rPr>
          <w:rFonts w:ascii="Times New Roman" w:eastAsia="Times New Roman" w:hAnsi="Times New Roman" w:cs="Times New Roman"/>
          <w:color w:val="000000"/>
          <w:lang w:eastAsia="en-GB"/>
        </w:rPr>
        <w:t>Mesopotamia’s ecological variability and dense archaeological visibility allow symbolic stabilization to be empirically observed. Other regions may have exhibited comparable symbolic patterns, but often lack preservation continuity, or later urban overprinting obscures Neolithic stabilization.</w:t>
      </w:r>
    </w:p>
    <w:p w14:paraId="557F5C77" w14:textId="77777777" w:rsidR="00BA0DB7" w:rsidRDefault="005F0735" w:rsidP="00BA0DB7">
      <w:pPr>
        <w:rPr>
          <w:rFonts w:ascii="Times New Roman" w:eastAsia="Times New Roman" w:hAnsi="Times New Roman" w:cs="Times New Roman"/>
          <w:b/>
          <w:bCs/>
          <w:color w:val="000000"/>
          <w:sz w:val="36"/>
          <w:szCs w:val="36"/>
          <w:lang w:eastAsia="en-GB"/>
        </w:rPr>
      </w:pPr>
      <w:r>
        <w:rPr>
          <w:rFonts w:ascii="Times New Roman" w:eastAsia="Times New Roman" w:hAnsi="Times New Roman" w:cs="Times New Roman"/>
          <w:noProof/>
          <w:lang w:eastAsia="en-GB"/>
        </w:rPr>
        <w:pict w14:anchorId="345F4CC9">
          <v:rect id="_x0000_i1028" alt="" style="width:451.3pt;height:.05pt;mso-width-percent:0;mso-height-percent:0;mso-width-percent:0;mso-height-percent:0" o:hralign="center" o:hrstd="t" o:hr="t" fillcolor="#a0a0a0" stroked="f"/>
        </w:pict>
      </w:r>
      <w:r w:rsidR="00E601CE" w:rsidRPr="00E601CE">
        <w:rPr>
          <w:rFonts w:ascii="Times New Roman" w:eastAsia="Times New Roman" w:hAnsi="Times New Roman" w:cs="Times New Roman"/>
          <w:b/>
          <w:bCs/>
          <w:color w:val="000000"/>
          <w:sz w:val="36"/>
          <w:szCs w:val="36"/>
          <w:lang w:eastAsia="en-GB"/>
        </w:rPr>
        <w:t>9. Comparative Scope and the Mesopotamian Baseline</w:t>
      </w:r>
    </w:p>
    <w:p w14:paraId="120B21F7" w14:textId="77777777" w:rsidR="00E601CE" w:rsidRDefault="00E601CE" w:rsidP="00BA0DB7">
      <w:pPr>
        <w:rPr>
          <w:rFonts w:ascii="Times New Roman" w:eastAsia="Times New Roman" w:hAnsi="Times New Roman" w:cs="Times New Roman"/>
          <w:color w:val="000000"/>
          <w:lang w:eastAsia="en-GB"/>
        </w:rPr>
      </w:pPr>
      <w:r w:rsidRPr="00E601CE">
        <w:rPr>
          <w:rFonts w:ascii="Times New Roman" w:eastAsia="Times New Roman" w:hAnsi="Times New Roman" w:cs="Times New Roman"/>
          <w:color w:val="000000"/>
          <w:sz w:val="36"/>
          <w:szCs w:val="36"/>
          <w:lang w:eastAsia="en-GB"/>
        </w:rPr>
        <w:br/>
      </w:r>
      <w:r w:rsidRPr="00E601CE">
        <w:rPr>
          <w:rFonts w:ascii="Times New Roman" w:eastAsia="Times New Roman" w:hAnsi="Times New Roman" w:cs="Times New Roman"/>
          <w:color w:val="000000"/>
          <w:lang w:eastAsia="en-GB"/>
        </w:rPr>
        <w:t>Mesopotamia provides a diagnostic benchmark for DSSM. Its combination of predictable seasonal aggregation, long-term occupation, and preserved settlement sequence demonstrates early symbolic stabilization followed by delayed monumental externalization. Comparative evaluation with Egypt, Mesoamerica, or the Indus Valley suggests DSSM principles are generalizable but preservation conditions mediate visibility.</w:t>
      </w:r>
    </w:p>
    <w:p w14:paraId="5022C750" w14:textId="77777777" w:rsidR="00BA0DB7" w:rsidRPr="00E601CE" w:rsidRDefault="00BA0DB7" w:rsidP="00BA0DB7">
      <w:pPr>
        <w:rPr>
          <w:rFonts w:ascii="Times New Roman" w:eastAsia="Times New Roman" w:hAnsi="Times New Roman" w:cs="Times New Roman"/>
          <w:lang w:eastAsia="en-GB"/>
        </w:rPr>
      </w:pPr>
    </w:p>
    <w:p w14:paraId="614525F2" w14:textId="77777777" w:rsidR="00BA0DB7" w:rsidRDefault="005F0735" w:rsidP="00BA0DB7">
      <w:pPr>
        <w:rPr>
          <w:rFonts w:ascii="Times New Roman" w:eastAsia="Times New Roman" w:hAnsi="Times New Roman" w:cs="Times New Roman"/>
          <w:b/>
          <w:bCs/>
          <w:color w:val="000000"/>
          <w:sz w:val="36"/>
          <w:szCs w:val="36"/>
          <w:lang w:eastAsia="en-GB"/>
        </w:rPr>
      </w:pPr>
      <w:r>
        <w:rPr>
          <w:rFonts w:ascii="Times New Roman" w:eastAsia="Times New Roman" w:hAnsi="Times New Roman" w:cs="Times New Roman"/>
          <w:noProof/>
          <w:lang w:eastAsia="en-GB"/>
        </w:rPr>
        <w:pict w14:anchorId="2651151B">
          <v:rect id="_x0000_i1027" alt="" style="width:451.3pt;height:.05pt;mso-width-percent:0;mso-height-percent:0;mso-width-percent:0;mso-height-percent:0" o:hralign="center" o:hrstd="t" o:hr="t" fillcolor="#a0a0a0" stroked="f"/>
        </w:pict>
      </w:r>
      <w:r w:rsidR="00E601CE" w:rsidRPr="00E601CE">
        <w:rPr>
          <w:rFonts w:ascii="Times New Roman" w:eastAsia="Times New Roman" w:hAnsi="Times New Roman" w:cs="Times New Roman"/>
          <w:b/>
          <w:bCs/>
          <w:color w:val="000000"/>
          <w:sz w:val="36"/>
          <w:szCs w:val="36"/>
          <w:lang w:eastAsia="en-GB"/>
        </w:rPr>
        <w:t>10. Agency, Social Differentiation, and Deep-Time Analysis</w:t>
      </w:r>
    </w:p>
    <w:p w14:paraId="34CDA59B" w14:textId="77777777" w:rsidR="00E601CE" w:rsidRDefault="00E601CE" w:rsidP="00BA0DB7">
      <w:pPr>
        <w:rPr>
          <w:rFonts w:ascii="Times New Roman" w:eastAsia="Times New Roman" w:hAnsi="Times New Roman" w:cs="Times New Roman"/>
          <w:color w:val="000000"/>
          <w:lang w:eastAsia="en-GB"/>
        </w:rPr>
      </w:pPr>
      <w:r w:rsidRPr="00E601CE">
        <w:rPr>
          <w:rFonts w:ascii="Times New Roman" w:eastAsia="Times New Roman" w:hAnsi="Times New Roman" w:cs="Times New Roman"/>
          <w:color w:val="000000"/>
          <w:lang w:eastAsia="en-GB"/>
        </w:rPr>
        <w:br/>
        <w:t>DSSM abstracts beyond individual agency, though Neolithic and Chalcolithic differentiation (gendered labor, craft specialization) is fully compatible. Emergent elites in Ubaid and Proto-Urban Mesopotamia reallocate symbolic authority rather than create new grammar. Deep-time analysis requires understanding symbolic persistence as infrastructure for social complexity rather than its direct consequence.</w:t>
      </w:r>
    </w:p>
    <w:p w14:paraId="50570C57" w14:textId="77777777" w:rsidR="00BA0DB7" w:rsidRDefault="00BA0DB7" w:rsidP="00BA0DB7">
      <w:pPr>
        <w:rPr>
          <w:rFonts w:ascii="Times New Roman" w:eastAsia="Times New Roman" w:hAnsi="Times New Roman" w:cs="Times New Roman"/>
          <w:color w:val="000000"/>
          <w:lang w:eastAsia="en-GB"/>
        </w:rPr>
      </w:pPr>
    </w:p>
    <w:p w14:paraId="36814810" w14:textId="77777777" w:rsidR="00BA0DB7" w:rsidRDefault="00BA0DB7" w:rsidP="00BA0DB7">
      <w:pPr>
        <w:rPr>
          <w:rFonts w:ascii="Times New Roman" w:eastAsia="Times New Roman" w:hAnsi="Times New Roman" w:cs="Times New Roman"/>
          <w:color w:val="000000"/>
          <w:lang w:eastAsia="en-GB"/>
        </w:rPr>
      </w:pPr>
    </w:p>
    <w:p w14:paraId="18B65B37" w14:textId="77777777" w:rsidR="00BA0DB7" w:rsidRPr="00E601CE" w:rsidRDefault="00BA0DB7" w:rsidP="00BA0DB7">
      <w:pPr>
        <w:rPr>
          <w:rFonts w:ascii="Times New Roman" w:eastAsia="Times New Roman" w:hAnsi="Times New Roman" w:cs="Times New Roman"/>
          <w:lang w:eastAsia="en-GB"/>
        </w:rPr>
      </w:pPr>
    </w:p>
    <w:p w14:paraId="26D618CF" w14:textId="77777777" w:rsidR="00E601CE" w:rsidRPr="00E601CE" w:rsidRDefault="005F0735" w:rsidP="00E601CE">
      <w:pPr>
        <w:rPr>
          <w:rFonts w:ascii="Times New Roman" w:eastAsia="Times New Roman" w:hAnsi="Times New Roman" w:cs="Times New Roman"/>
          <w:lang w:eastAsia="en-GB"/>
        </w:rPr>
      </w:pPr>
      <w:r>
        <w:rPr>
          <w:rFonts w:ascii="Times New Roman" w:eastAsia="Times New Roman" w:hAnsi="Times New Roman" w:cs="Times New Roman"/>
          <w:noProof/>
          <w:lang w:eastAsia="en-GB"/>
        </w:rPr>
        <w:pict w14:anchorId="0D7CF71F">
          <v:rect id="_x0000_i1026" alt="" style="width:451.3pt;height:.05pt;mso-width-percent:0;mso-height-percent:0;mso-width-percent:0;mso-height-percent:0" o:hralign="center" o:hrstd="t" o:hr="t" fillcolor="#a0a0a0" stroked="f"/>
        </w:pict>
      </w:r>
    </w:p>
    <w:p w14:paraId="7E829024" w14:textId="77777777" w:rsidR="00E601CE" w:rsidRDefault="00E601CE" w:rsidP="00E601CE">
      <w:pPr>
        <w:spacing w:before="100" w:beforeAutospacing="1" w:after="100" w:afterAutospacing="1"/>
        <w:rPr>
          <w:rFonts w:ascii="Times New Roman" w:eastAsia="Times New Roman" w:hAnsi="Times New Roman" w:cs="Times New Roman"/>
          <w:color w:val="000000"/>
          <w:lang w:eastAsia="en-GB"/>
        </w:rPr>
      </w:pPr>
      <w:r w:rsidRPr="00E601CE">
        <w:rPr>
          <w:rFonts w:ascii="Times New Roman" w:eastAsia="Times New Roman" w:hAnsi="Times New Roman" w:cs="Times New Roman"/>
          <w:b/>
          <w:bCs/>
          <w:color w:val="000000"/>
          <w:sz w:val="36"/>
          <w:szCs w:val="36"/>
          <w:lang w:eastAsia="en-GB"/>
        </w:rPr>
        <w:t>11. Conclusion</w:t>
      </w:r>
      <w:r w:rsidRPr="00E601CE">
        <w:rPr>
          <w:rFonts w:ascii="Times New Roman" w:eastAsia="Times New Roman" w:hAnsi="Times New Roman" w:cs="Times New Roman"/>
          <w:color w:val="000000"/>
          <w:lang w:eastAsia="en-GB"/>
        </w:rPr>
        <w:br/>
        <w:t>Mesopotamian prehistory validates DSSM as a framework for symbolic continuity, demonstrating that oral, ritual, and material systems achieve stabilization across millennia prior to writing, bureaucracy, or monumental labor. Monumental architecture emerges as a late-stage externalization of deeply rooted symbolic grammars. Mesopotamia thus functions as a theoretical benchmark, complementing insights from Egypt and other ancient regions.</w:t>
      </w:r>
    </w:p>
    <w:p w14:paraId="71E0B833" w14:textId="77777777" w:rsidR="00BA0DB7" w:rsidRDefault="00BA0DB7" w:rsidP="00E601CE">
      <w:pPr>
        <w:spacing w:before="100" w:beforeAutospacing="1" w:after="100" w:afterAutospacing="1"/>
        <w:rPr>
          <w:rFonts w:ascii="Times New Roman" w:eastAsia="Times New Roman" w:hAnsi="Times New Roman" w:cs="Times New Roman"/>
          <w:color w:val="000000"/>
          <w:lang w:eastAsia="en-GB"/>
        </w:rPr>
      </w:pPr>
    </w:p>
    <w:p w14:paraId="550777C9" w14:textId="77777777" w:rsidR="00BA0DB7" w:rsidRDefault="00BA0DB7" w:rsidP="00E601CE">
      <w:pPr>
        <w:spacing w:before="100" w:beforeAutospacing="1" w:after="100" w:afterAutospacing="1"/>
        <w:rPr>
          <w:rFonts w:ascii="Times New Roman" w:eastAsia="Times New Roman" w:hAnsi="Times New Roman" w:cs="Times New Roman"/>
          <w:color w:val="000000"/>
          <w:lang w:eastAsia="en-GB"/>
        </w:rPr>
      </w:pPr>
    </w:p>
    <w:p w14:paraId="1A8B2C38" w14:textId="77777777" w:rsidR="00BA0DB7" w:rsidRDefault="00BA0DB7" w:rsidP="00E601CE">
      <w:pPr>
        <w:spacing w:before="100" w:beforeAutospacing="1" w:after="100" w:afterAutospacing="1"/>
        <w:rPr>
          <w:rFonts w:ascii="Times New Roman" w:eastAsia="Times New Roman" w:hAnsi="Times New Roman" w:cs="Times New Roman"/>
          <w:color w:val="000000"/>
          <w:lang w:eastAsia="en-GB"/>
        </w:rPr>
      </w:pPr>
    </w:p>
    <w:p w14:paraId="682C1DC8" w14:textId="77777777" w:rsidR="00BA0DB7" w:rsidRDefault="00BA0DB7" w:rsidP="00E601CE">
      <w:pPr>
        <w:spacing w:before="100" w:beforeAutospacing="1" w:after="100" w:afterAutospacing="1"/>
        <w:rPr>
          <w:rFonts w:ascii="Times New Roman" w:eastAsia="Times New Roman" w:hAnsi="Times New Roman" w:cs="Times New Roman"/>
          <w:color w:val="000000"/>
          <w:lang w:eastAsia="en-GB"/>
        </w:rPr>
      </w:pPr>
    </w:p>
    <w:p w14:paraId="7F7F7FC2" w14:textId="77777777" w:rsidR="00BA0DB7" w:rsidRDefault="00BA0DB7" w:rsidP="00E601CE">
      <w:pPr>
        <w:spacing w:before="100" w:beforeAutospacing="1" w:after="100" w:afterAutospacing="1"/>
        <w:rPr>
          <w:rFonts w:ascii="Times New Roman" w:eastAsia="Times New Roman" w:hAnsi="Times New Roman" w:cs="Times New Roman"/>
          <w:color w:val="000000"/>
          <w:lang w:eastAsia="en-GB"/>
        </w:rPr>
      </w:pPr>
    </w:p>
    <w:p w14:paraId="59552A37" w14:textId="77777777" w:rsidR="00BA0DB7" w:rsidRDefault="00BA0DB7" w:rsidP="00E601CE">
      <w:pPr>
        <w:spacing w:before="100" w:beforeAutospacing="1" w:after="100" w:afterAutospacing="1"/>
        <w:rPr>
          <w:rFonts w:ascii="Times New Roman" w:eastAsia="Times New Roman" w:hAnsi="Times New Roman" w:cs="Times New Roman"/>
          <w:color w:val="000000"/>
          <w:lang w:eastAsia="en-GB"/>
        </w:rPr>
      </w:pPr>
    </w:p>
    <w:p w14:paraId="334159AC" w14:textId="77777777" w:rsidR="00BA0DB7" w:rsidRDefault="00BA0DB7" w:rsidP="00E601CE">
      <w:pPr>
        <w:spacing w:before="100" w:beforeAutospacing="1" w:after="100" w:afterAutospacing="1"/>
        <w:rPr>
          <w:rFonts w:ascii="Times New Roman" w:eastAsia="Times New Roman" w:hAnsi="Times New Roman" w:cs="Times New Roman"/>
          <w:color w:val="000000"/>
          <w:lang w:eastAsia="en-GB"/>
        </w:rPr>
      </w:pPr>
    </w:p>
    <w:p w14:paraId="6D19DF38" w14:textId="77777777" w:rsidR="00BA0DB7" w:rsidRDefault="00BA0DB7" w:rsidP="00E601CE">
      <w:pPr>
        <w:spacing w:before="100" w:beforeAutospacing="1" w:after="100" w:afterAutospacing="1"/>
        <w:rPr>
          <w:rFonts w:ascii="Times New Roman" w:eastAsia="Times New Roman" w:hAnsi="Times New Roman" w:cs="Times New Roman"/>
          <w:color w:val="000000"/>
          <w:lang w:eastAsia="en-GB"/>
        </w:rPr>
      </w:pPr>
    </w:p>
    <w:p w14:paraId="149548FA" w14:textId="77777777" w:rsidR="00BA0DB7" w:rsidRDefault="00BA0DB7" w:rsidP="00E601CE">
      <w:pPr>
        <w:spacing w:before="100" w:beforeAutospacing="1" w:after="100" w:afterAutospacing="1"/>
        <w:rPr>
          <w:rFonts w:ascii="Times New Roman" w:eastAsia="Times New Roman" w:hAnsi="Times New Roman" w:cs="Times New Roman"/>
          <w:color w:val="000000"/>
          <w:lang w:eastAsia="en-GB"/>
        </w:rPr>
      </w:pPr>
    </w:p>
    <w:p w14:paraId="3E1D6C5F" w14:textId="77777777" w:rsidR="00BA0DB7" w:rsidRDefault="00BA0DB7" w:rsidP="00E601CE">
      <w:pPr>
        <w:spacing w:before="100" w:beforeAutospacing="1" w:after="100" w:afterAutospacing="1"/>
        <w:rPr>
          <w:rFonts w:ascii="Times New Roman" w:eastAsia="Times New Roman" w:hAnsi="Times New Roman" w:cs="Times New Roman"/>
          <w:color w:val="000000"/>
          <w:lang w:eastAsia="en-GB"/>
        </w:rPr>
      </w:pPr>
    </w:p>
    <w:p w14:paraId="09D35248" w14:textId="77777777" w:rsidR="00BA0DB7" w:rsidRDefault="00BA0DB7" w:rsidP="00E601CE">
      <w:pPr>
        <w:spacing w:before="100" w:beforeAutospacing="1" w:after="100" w:afterAutospacing="1"/>
        <w:rPr>
          <w:rFonts w:ascii="Times New Roman" w:eastAsia="Times New Roman" w:hAnsi="Times New Roman" w:cs="Times New Roman"/>
          <w:color w:val="000000"/>
          <w:lang w:eastAsia="en-GB"/>
        </w:rPr>
      </w:pPr>
    </w:p>
    <w:p w14:paraId="0B083880" w14:textId="77777777" w:rsidR="00BA0DB7" w:rsidRDefault="00BA0DB7" w:rsidP="00E601CE">
      <w:pPr>
        <w:spacing w:before="100" w:beforeAutospacing="1" w:after="100" w:afterAutospacing="1"/>
        <w:rPr>
          <w:rFonts w:ascii="Times New Roman" w:eastAsia="Times New Roman" w:hAnsi="Times New Roman" w:cs="Times New Roman"/>
          <w:color w:val="000000"/>
          <w:lang w:eastAsia="en-GB"/>
        </w:rPr>
      </w:pPr>
    </w:p>
    <w:p w14:paraId="556C3DA5" w14:textId="77777777" w:rsidR="00BA0DB7" w:rsidRDefault="00BA0DB7" w:rsidP="00E601CE">
      <w:pPr>
        <w:spacing w:before="100" w:beforeAutospacing="1" w:after="100" w:afterAutospacing="1"/>
        <w:rPr>
          <w:rFonts w:ascii="Times New Roman" w:eastAsia="Times New Roman" w:hAnsi="Times New Roman" w:cs="Times New Roman"/>
          <w:color w:val="000000"/>
          <w:lang w:eastAsia="en-GB"/>
        </w:rPr>
      </w:pPr>
    </w:p>
    <w:p w14:paraId="3485D728" w14:textId="77777777" w:rsidR="00BA0DB7" w:rsidRDefault="00BA0DB7" w:rsidP="00E601CE">
      <w:pPr>
        <w:spacing w:before="100" w:beforeAutospacing="1" w:after="100" w:afterAutospacing="1"/>
        <w:rPr>
          <w:rFonts w:ascii="Times New Roman" w:eastAsia="Times New Roman" w:hAnsi="Times New Roman" w:cs="Times New Roman"/>
          <w:color w:val="000000"/>
          <w:lang w:eastAsia="en-GB"/>
        </w:rPr>
      </w:pPr>
    </w:p>
    <w:p w14:paraId="0D9BE8CF" w14:textId="77777777" w:rsidR="00BA0DB7" w:rsidRDefault="00BA0DB7" w:rsidP="00E601CE">
      <w:pPr>
        <w:spacing w:before="100" w:beforeAutospacing="1" w:after="100" w:afterAutospacing="1"/>
        <w:rPr>
          <w:rFonts w:ascii="Times New Roman" w:eastAsia="Times New Roman" w:hAnsi="Times New Roman" w:cs="Times New Roman"/>
          <w:color w:val="000000"/>
          <w:lang w:eastAsia="en-GB"/>
        </w:rPr>
      </w:pPr>
    </w:p>
    <w:p w14:paraId="313F076B" w14:textId="77777777" w:rsidR="00BA0DB7" w:rsidRDefault="00BA0DB7" w:rsidP="00E601CE">
      <w:pPr>
        <w:spacing w:before="100" w:beforeAutospacing="1" w:after="100" w:afterAutospacing="1"/>
        <w:rPr>
          <w:rFonts w:ascii="Times New Roman" w:eastAsia="Times New Roman" w:hAnsi="Times New Roman" w:cs="Times New Roman"/>
          <w:color w:val="000000"/>
          <w:lang w:eastAsia="en-GB"/>
        </w:rPr>
      </w:pPr>
    </w:p>
    <w:p w14:paraId="5A0C72E1" w14:textId="77777777" w:rsidR="00BA0DB7" w:rsidRDefault="00BA0DB7" w:rsidP="00E601CE">
      <w:pPr>
        <w:spacing w:before="100" w:beforeAutospacing="1" w:after="100" w:afterAutospacing="1"/>
        <w:rPr>
          <w:rFonts w:ascii="Times New Roman" w:eastAsia="Times New Roman" w:hAnsi="Times New Roman" w:cs="Times New Roman"/>
          <w:color w:val="000000"/>
          <w:lang w:eastAsia="en-GB"/>
        </w:rPr>
      </w:pPr>
    </w:p>
    <w:p w14:paraId="2AA007DE" w14:textId="77777777" w:rsidR="00BA0DB7" w:rsidRDefault="00BA0DB7" w:rsidP="00E601CE">
      <w:pPr>
        <w:spacing w:before="100" w:beforeAutospacing="1" w:after="100" w:afterAutospacing="1"/>
        <w:rPr>
          <w:rFonts w:ascii="Times New Roman" w:eastAsia="Times New Roman" w:hAnsi="Times New Roman" w:cs="Times New Roman"/>
          <w:color w:val="000000"/>
          <w:lang w:eastAsia="en-GB"/>
        </w:rPr>
      </w:pPr>
    </w:p>
    <w:p w14:paraId="585A993A" w14:textId="77777777" w:rsidR="00BA0DB7" w:rsidRDefault="00BA0DB7" w:rsidP="00E601CE">
      <w:pPr>
        <w:spacing w:before="100" w:beforeAutospacing="1" w:after="100" w:afterAutospacing="1"/>
        <w:rPr>
          <w:rFonts w:ascii="Times New Roman" w:eastAsia="Times New Roman" w:hAnsi="Times New Roman" w:cs="Times New Roman"/>
          <w:color w:val="000000"/>
          <w:lang w:eastAsia="en-GB"/>
        </w:rPr>
      </w:pPr>
    </w:p>
    <w:p w14:paraId="26B52E26" w14:textId="77777777" w:rsidR="00BA0DB7" w:rsidRPr="00E601CE" w:rsidRDefault="00BA0DB7" w:rsidP="00E601CE">
      <w:pPr>
        <w:spacing w:before="100" w:beforeAutospacing="1" w:after="100" w:afterAutospacing="1"/>
        <w:rPr>
          <w:rFonts w:ascii="Times New Roman" w:eastAsia="Times New Roman" w:hAnsi="Times New Roman" w:cs="Times New Roman"/>
          <w:color w:val="000000"/>
          <w:lang w:eastAsia="en-GB"/>
        </w:rPr>
      </w:pPr>
    </w:p>
    <w:p w14:paraId="0FB826BF" w14:textId="77777777" w:rsidR="00E601CE" w:rsidRPr="00E601CE" w:rsidRDefault="005F0735" w:rsidP="00E601CE">
      <w:pPr>
        <w:rPr>
          <w:rFonts w:ascii="Times New Roman" w:eastAsia="Times New Roman" w:hAnsi="Times New Roman" w:cs="Times New Roman"/>
          <w:lang w:eastAsia="en-GB"/>
        </w:rPr>
      </w:pPr>
      <w:r>
        <w:rPr>
          <w:rFonts w:ascii="Times New Roman" w:eastAsia="Times New Roman" w:hAnsi="Times New Roman" w:cs="Times New Roman"/>
          <w:noProof/>
          <w:lang w:eastAsia="en-GB"/>
        </w:rPr>
        <w:lastRenderedPageBreak/>
        <w:pict w14:anchorId="1D39BF75">
          <v:rect id="_x0000_i1025" alt="" style="width:451.3pt;height:.05pt;mso-width-percent:0;mso-height-percent:0;mso-width-percent:0;mso-height-percent:0" o:hralign="center" o:hrstd="t" o:hr="t" fillcolor="#a0a0a0" stroked="f"/>
        </w:pict>
      </w:r>
    </w:p>
    <w:p w14:paraId="26B3370B" w14:textId="77777777" w:rsidR="00E601CE" w:rsidRPr="00E601CE" w:rsidRDefault="00E601CE" w:rsidP="00E601CE">
      <w:pPr>
        <w:spacing w:before="100" w:beforeAutospacing="1" w:after="100" w:afterAutospacing="1"/>
        <w:rPr>
          <w:rFonts w:ascii="Times New Roman" w:eastAsia="Times New Roman" w:hAnsi="Times New Roman" w:cs="Times New Roman"/>
          <w:color w:val="000000"/>
          <w:sz w:val="36"/>
          <w:szCs w:val="36"/>
          <w:lang w:eastAsia="en-GB"/>
        </w:rPr>
      </w:pPr>
      <w:r w:rsidRPr="00E601CE">
        <w:rPr>
          <w:rFonts w:ascii="Times New Roman" w:eastAsia="Times New Roman" w:hAnsi="Times New Roman" w:cs="Times New Roman"/>
          <w:b/>
          <w:bCs/>
          <w:color w:val="000000"/>
          <w:sz w:val="36"/>
          <w:szCs w:val="36"/>
          <w:lang w:eastAsia="en-GB"/>
        </w:rPr>
        <w:t>12. References</w:t>
      </w:r>
    </w:p>
    <w:p w14:paraId="445369AD" w14:textId="77777777" w:rsidR="00E601CE" w:rsidRPr="00E601CE" w:rsidRDefault="00E601CE" w:rsidP="00E601CE">
      <w:pPr>
        <w:spacing w:before="100" w:beforeAutospacing="1" w:after="100" w:afterAutospacing="1"/>
        <w:rPr>
          <w:rFonts w:ascii="Times New Roman" w:eastAsia="Times New Roman" w:hAnsi="Times New Roman" w:cs="Times New Roman"/>
          <w:color w:val="000000"/>
          <w:lang w:eastAsia="en-GB"/>
        </w:rPr>
      </w:pPr>
      <w:r w:rsidRPr="00E601CE">
        <w:rPr>
          <w:rFonts w:ascii="Times New Roman" w:eastAsia="Times New Roman" w:hAnsi="Times New Roman" w:cs="Times New Roman"/>
          <w:b/>
          <w:bCs/>
          <w:color w:val="000000"/>
          <w:lang w:eastAsia="en-GB"/>
        </w:rPr>
        <w:t>Archaeological Evidence (Primary)</w:t>
      </w:r>
    </w:p>
    <w:p w14:paraId="4F09F307" w14:textId="77777777" w:rsidR="00E601CE" w:rsidRPr="00E601CE" w:rsidRDefault="00E601CE" w:rsidP="00E601CE">
      <w:pPr>
        <w:numPr>
          <w:ilvl w:val="0"/>
          <w:numId w:val="12"/>
        </w:numPr>
        <w:spacing w:before="100" w:beforeAutospacing="1" w:after="100" w:afterAutospacing="1"/>
        <w:rPr>
          <w:rFonts w:ascii="Times New Roman" w:eastAsia="Times New Roman" w:hAnsi="Times New Roman" w:cs="Times New Roman"/>
          <w:color w:val="000000"/>
          <w:lang w:eastAsia="en-GB"/>
        </w:rPr>
      </w:pPr>
      <w:r w:rsidRPr="00E601CE">
        <w:rPr>
          <w:rFonts w:ascii="Times New Roman" w:eastAsia="Times New Roman" w:hAnsi="Times New Roman" w:cs="Times New Roman"/>
          <w:color w:val="000000"/>
          <w:lang w:eastAsia="en-GB"/>
        </w:rPr>
        <w:t>Shanidar Cave – Solecki, 1971</w:t>
      </w:r>
    </w:p>
    <w:p w14:paraId="4BBD43EF" w14:textId="77777777" w:rsidR="00E601CE" w:rsidRPr="00E601CE" w:rsidRDefault="00E601CE" w:rsidP="00E601CE">
      <w:pPr>
        <w:numPr>
          <w:ilvl w:val="0"/>
          <w:numId w:val="12"/>
        </w:numPr>
        <w:spacing w:before="100" w:beforeAutospacing="1" w:after="100" w:afterAutospacing="1"/>
        <w:rPr>
          <w:rFonts w:ascii="Times New Roman" w:eastAsia="Times New Roman" w:hAnsi="Times New Roman" w:cs="Times New Roman"/>
          <w:color w:val="000000"/>
          <w:lang w:eastAsia="en-GB"/>
        </w:rPr>
      </w:pPr>
      <w:r w:rsidRPr="00E601CE">
        <w:rPr>
          <w:rFonts w:ascii="Times New Roman" w:eastAsia="Times New Roman" w:hAnsi="Times New Roman" w:cs="Times New Roman"/>
          <w:color w:val="000000"/>
          <w:lang w:eastAsia="en-GB"/>
        </w:rPr>
        <w:t>Zarzi – McBurney, 1967</w:t>
      </w:r>
    </w:p>
    <w:p w14:paraId="36E41359" w14:textId="77777777" w:rsidR="00E601CE" w:rsidRPr="00E601CE" w:rsidRDefault="00E601CE" w:rsidP="00E601CE">
      <w:pPr>
        <w:numPr>
          <w:ilvl w:val="0"/>
          <w:numId w:val="12"/>
        </w:numPr>
        <w:spacing w:before="100" w:beforeAutospacing="1" w:after="100" w:afterAutospacing="1"/>
        <w:rPr>
          <w:rFonts w:ascii="Times New Roman" w:eastAsia="Times New Roman" w:hAnsi="Times New Roman" w:cs="Times New Roman"/>
          <w:color w:val="000000"/>
          <w:lang w:eastAsia="en-GB"/>
        </w:rPr>
      </w:pPr>
      <w:r w:rsidRPr="00E601CE">
        <w:rPr>
          <w:rFonts w:ascii="Times New Roman" w:eastAsia="Times New Roman" w:hAnsi="Times New Roman" w:cs="Times New Roman"/>
          <w:color w:val="000000"/>
          <w:lang w:eastAsia="en-GB"/>
        </w:rPr>
        <w:t>Tell Abu Hureyra – Moore et al., 2000</w:t>
      </w:r>
    </w:p>
    <w:p w14:paraId="66C709E8" w14:textId="77777777" w:rsidR="00E601CE" w:rsidRPr="00E601CE" w:rsidRDefault="00E601CE" w:rsidP="00E601CE">
      <w:pPr>
        <w:numPr>
          <w:ilvl w:val="0"/>
          <w:numId w:val="12"/>
        </w:numPr>
        <w:spacing w:before="100" w:beforeAutospacing="1" w:after="100" w:afterAutospacing="1"/>
        <w:rPr>
          <w:rFonts w:ascii="Times New Roman" w:eastAsia="Times New Roman" w:hAnsi="Times New Roman" w:cs="Times New Roman"/>
          <w:color w:val="000000"/>
          <w:lang w:eastAsia="en-GB"/>
        </w:rPr>
      </w:pPr>
      <w:r w:rsidRPr="00E601CE">
        <w:rPr>
          <w:rFonts w:ascii="Times New Roman" w:eastAsia="Times New Roman" w:hAnsi="Times New Roman" w:cs="Times New Roman"/>
          <w:color w:val="000000"/>
          <w:lang w:eastAsia="en-GB"/>
        </w:rPr>
        <w:t>Mureybit – Cauvin, 1972–74</w:t>
      </w:r>
    </w:p>
    <w:p w14:paraId="7CD3FB8B" w14:textId="77777777" w:rsidR="00E601CE" w:rsidRPr="00E601CE" w:rsidRDefault="00E601CE" w:rsidP="00E601CE">
      <w:pPr>
        <w:numPr>
          <w:ilvl w:val="0"/>
          <w:numId w:val="12"/>
        </w:numPr>
        <w:spacing w:before="100" w:beforeAutospacing="1" w:after="100" w:afterAutospacing="1"/>
        <w:rPr>
          <w:rFonts w:ascii="Times New Roman" w:eastAsia="Times New Roman" w:hAnsi="Times New Roman" w:cs="Times New Roman"/>
          <w:color w:val="000000"/>
          <w:lang w:eastAsia="en-GB"/>
        </w:rPr>
      </w:pPr>
      <w:r w:rsidRPr="00E601CE">
        <w:rPr>
          <w:rFonts w:ascii="Times New Roman" w:eastAsia="Times New Roman" w:hAnsi="Times New Roman" w:cs="Times New Roman"/>
          <w:color w:val="000000"/>
          <w:lang w:eastAsia="en-GB"/>
        </w:rPr>
        <w:t>Hassuna – Lloyd, 1984</w:t>
      </w:r>
    </w:p>
    <w:p w14:paraId="6B6603C5" w14:textId="77777777" w:rsidR="00E601CE" w:rsidRPr="00E601CE" w:rsidRDefault="00E601CE" w:rsidP="00E601CE">
      <w:pPr>
        <w:numPr>
          <w:ilvl w:val="0"/>
          <w:numId w:val="12"/>
        </w:numPr>
        <w:spacing w:before="100" w:beforeAutospacing="1" w:after="100" w:afterAutospacing="1"/>
        <w:rPr>
          <w:rFonts w:ascii="Times New Roman" w:eastAsia="Times New Roman" w:hAnsi="Times New Roman" w:cs="Times New Roman"/>
          <w:color w:val="000000"/>
          <w:lang w:eastAsia="en-GB"/>
        </w:rPr>
      </w:pPr>
      <w:r w:rsidRPr="00E601CE">
        <w:rPr>
          <w:rFonts w:ascii="Times New Roman" w:eastAsia="Times New Roman" w:hAnsi="Times New Roman" w:cs="Times New Roman"/>
          <w:color w:val="000000"/>
          <w:lang w:eastAsia="en-GB"/>
        </w:rPr>
        <w:t>Samarra – Adams, 1981</w:t>
      </w:r>
    </w:p>
    <w:p w14:paraId="43AB9B92" w14:textId="77777777" w:rsidR="00E601CE" w:rsidRPr="00E601CE" w:rsidRDefault="00E601CE" w:rsidP="00E601CE">
      <w:pPr>
        <w:numPr>
          <w:ilvl w:val="0"/>
          <w:numId w:val="12"/>
        </w:numPr>
        <w:spacing w:before="100" w:beforeAutospacing="1" w:after="100" w:afterAutospacing="1"/>
        <w:rPr>
          <w:rFonts w:ascii="Times New Roman" w:eastAsia="Times New Roman" w:hAnsi="Times New Roman" w:cs="Times New Roman"/>
          <w:color w:val="000000"/>
          <w:lang w:eastAsia="en-GB"/>
        </w:rPr>
      </w:pPr>
      <w:r w:rsidRPr="00E601CE">
        <w:rPr>
          <w:rFonts w:ascii="Times New Roman" w:eastAsia="Times New Roman" w:hAnsi="Times New Roman" w:cs="Times New Roman"/>
          <w:color w:val="000000"/>
          <w:lang w:eastAsia="en-GB"/>
        </w:rPr>
        <w:t>Halaf – Campbell, 1998</w:t>
      </w:r>
    </w:p>
    <w:p w14:paraId="297C0562" w14:textId="77777777" w:rsidR="00E601CE" w:rsidRPr="00E601CE" w:rsidRDefault="00E601CE" w:rsidP="00E601CE">
      <w:pPr>
        <w:numPr>
          <w:ilvl w:val="0"/>
          <w:numId w:val="12"/>
        </w:numPr>
        <w:spacing w:before="100" w:beforeAutospacing="1" w:after="100" w:afterAutospacing="1"/>
        <w:rPr>
          <w:rFonts w:ascii="Times New Roman" w:eastAsia="Times New Roman" w:hAnsi="Times New Roman" w:cs="Times New Roman"/>
          <w:color w:val="000000"/>
          <w:lang w:eastAsia="en-GB"/>
        </w:rPr>
      </w:pPr>
      <w:r w:rsidRPr="00E601CE">
        <w:rPr>
          <w:rFonts w:ascii="Times New Roman" w:eastAsia="Times New Roman" w:hAnsi="Times New Roman" w:cs="Times New Roman"/>
          <w:color w:val="000000"/>
          <w:lang w:eastAsia="en-GB"/>
        </w:rPr>
        <w:t>Eridu – Crawford, 1991</w:t>
      </w:r>
    </w:p>
    <w:p w14:paraId="15E7562C" w14:textId="77777777" w:rsidR="00E601CE" w:rsidRPr="00E601CE" w:rsidRDefault="00E601CE" w:rsidP="00E601CE">
      <w:pPr>
        <w:numPr>
          <w:ilvl w:val="0"/>
          <w:numId w:val="12"/>
        </w:numPr>
        <w:spacing w:before="100" w:beforeAutospacing="1" w:after="100" w:afterAutospacing="1"/>
        <w:rPr>
          <w:rFonts w:ascii="Times New Roman" w:eastAsia="Times New Roman" w:hAnsi="Times New Roman" w:cs="Times New Roman"/>
          <w:color w:val="000000"/>
          <w:lang w:eastAsia="en-GB"/>
        </w:rPr>
      </w:pPr>
      <w:r w:rsidRPr="00E601CE">
        <w:rPr>
          <w:rFonts w:ascii="Times New Roman" w:eastAsia="Times New Roman" w:hAnsi="Times New Roman" w:cs="Times New Roman"/>
          <w:color w:val="000000"/>
          <w:lang w:eastAsia="en-GB"/>
        </w:rPr>
        <w:t>Uruk – Nissen, 1988</w:t>
      </w:r>
    </w:p>
    <w:p w14:paraId="66E19A18" w14:textId="77777777" w:rsidR="00E601CE" w:rsidRPr="00E601CE" w:rsidRDefault="00E601CE" w:rsidP="00E601CE">
      <w:pPr>
        <w:spacing w:before="100" w:beforeAutospacing="1" w:after="100" w:afterAutospacing="1"/>
        <w:rPr>
          <w:rFonts w:ascii="Times New Roman" w:eastAsia="Times New Roman" w:hAnsi="Times New Roman" w:cs="Times New Roman"/>
          <w:color w:val="000000"/>
          <w:lang w:eastAsia="en-GB"/>
        </w:rPr>
      </w:pPr>
      <w:r w:rsidRPr="00E601CE">
        <w:rPr>
          <w:rFonts w:ascii="Times New Roman" w:eastAsia="Times New Roman" w:hAnsi="Times New Roman" w:cs="Times New Roman"/>
          <w:b/>
          <w:bCs/>
          <w:color w:val="000000"/>
          <w:lang w:eastAsia="en-GB"/>
        </w:rPr>
        <w:t>Climatic and Environmental Context</w:t>
      </w:r>
    </w:p>
    <w:p w14:paraId="77E168D3" w14:textId="77777777" w:rsidR="00E601CE" w:rsidRPr="00E601CE" w:rsidRDefault="00E601CE" w:rsidP="00E601CE">
      <w:pPr>
        <w:numPr>
          <w:ilvl w:val="0"/>
          <w:numId w:val="13"/>
        </w:numPr>
        <w:spacing w:before="100" w:beforeAutospacing="1" w:after="100" w:afterAutospacing="1"/>
        <w:rPr>
          <w:rFonts w:ascii="Times New Roman" w:eastAsia="Times New Roman" w:hAnsi="Times New Roman" w:cs="Times New Roman"/>
          <w:color w:val="000000"/>
          <w:lang w:eastAsia="en-GB"/>
        </w:rPr>
      </w:pPr>
      <w:r w:rsidRPr="00E601CE">
        <w:rPr>
          <w:rFonts w:ascii="Times New Roman" w:eastAsia="Times New Roman" w:hAnsi="Times New Roman" w:cs="Times New Roman"/>
          <w:color w:val="000000"/>
          <w:lang w:eastAsia="en-GB"/>
        </w:rPr>
        <w:t>Last Glacial Maximum – Armitage, 2015</w:t>
      </w:r>
    </w:p>
    <w:p w14:paraId="1D7F6C40" w14:textId="77777777" w:rsidR="00E601CE" w:rsidRPr="00E601CE" w:rsidRDefault="00E601CE" w:rsidP="00E601CE">
      <w:pPr>
        <w:numPr>
          <w:ilvl w:val="0"/>
          <w:numId w:val="13"/>
        </w:numPr>
        <w:spacing w:before="100" w:beforeAutospacing="1" w:after="100" w:afterAutospacing="1"/>
        <w:rPr>
          <w:rFonts w:ascii="Times New Roman" w:eastAsia="Times New Roman" w:hAnsi="Times New Roman" w:cs="Times New Roman"/>
          <w:color w:val="000000"/>
          <w:lang w:eastAsia="en-GB"/>
        </w:rPr>
      </w:pPr>
      <w:r w:rsidRPr="00E601CE">
        <w:rPr>
          <w:rFonts w:ascii="Times New Roman" w:eastAsia="Times New Roman" w:hAnsi="Times New Roman" w:cs="Times New Roman"/>
          <w:color w:val="000000"/>
          <w:lang w:eastAsia="en-GB"/>
        </w:rPr>
        <w:t>Younger Dryas – deMenocal, 2000</w:t>
      </w:r>
    </w:p>
    <w:p w14:paraId="3C68A7FF" w14:textId="77777777" w:rsidR="00E601CE" w:rsidRPr="00E601CE" w:rsidRDefault="00E601CE" w:rsidP="00E601CE">
      <w:pPr>
        <w:numPr>
          <w:ilvl w:val="0"/>
          <w:numId w:val="13"/>
        </w:numPr>
        <w:spacing w:before="100" w:beforeAutospacing="1" w:after="100" w:afterAutospacing="1"/>
        <w:rPr>
          <w:rFonts w:ascii="Times New Roman" w:eastAsia="Times New Roman" w:hAnsi="Times New Roman" w:cs="Times New Roman"/>
          <w:color w:val="000000"/>
          <w:lang w:eastAsia="en-GB"/>
        </w:rPr>
      </w:pPr>
      <w:r w:rsidRPr="00E601CE">
        <w:rPr>
          <w:rFonts w:ascii="Times New Roman" w:eastAsia="Times New Roman" w:hAnsi="Times New Roman" w:cs="Times New Roman"/>
          <w:color w:val="000000"/>
          <w:lang w:eastAsia="en-GB"/>
        </w:rPr>
        <w:t>Holocene climate variability – Weiss, 1982</w:t>
      </w:r>
    </w:p>
    <w:p w14:paraId="1601A5D3" w14:textId="77777777" w:rsidR="00E601CE" w:rsidRPr="00E601CE" w:rsidRDefault="00E601CE" w:rsidP="00E601CE">
      <w:pPr>
        <w:spacing w:before="100" w:beforeAutospacing="1" w:after="100" w:afterAutospacing="1"/>
        <w:rPr>
          <w:rFonts w:ascii="Times New Roman" w:eastAsia="Times New Roman" w:hAnsi="Times New Roman" w:cs="Times New Roman"/>
          <w:color w:val="000000"/>
          <w:lang w:eastAsia="en-GB"/>
        </w:rPr>
      </w:pPr>
      <w:r w:rsidRPr="00E601CE">
        <w:rPr>
          <w:rFonts w:ascii="Times New Roman" w:eastAsia="Times New Roman" w:hAnsi="Times New Roman" w:cs="Times New Roman"/>
          <w:b/>
          <w:bCs/>
          <w:color w:val="000000"/>
          <w:lang w:eastAsia="en-GB"/>
        </w:rPr>
        <w:t>Theoretical and Methodological Framework</w:t>
      </w:r>
    </w:p>
    <w:p w14:paraId="58434E5E" w14:textId="77777777" w:rsidR="00E601CE" w:rsidRPr="00E601CE" w:rsidRDefault="00E601CE" w:rsidP="00E601CE">
      <w:pPr>
        <w:numPr>
          <w:ilvl w:val="0"/>
          <w:numId w:val="14"/>
        </w:numPr>
        <w:spacing w:before="100" w:beforeAutospacing="1" w:after="100" w:afterAutospacing="1"/>
        <w:rPr>
          <w:rFonts w:ascii="Times New Roman" w:eastAsia="Times New Roman" w:hAnsi="Times New Roman" w:cs="Times New Roman"/>
          <w:color w:val="000000"/>
          <w:lang w:eastAsia="en-GB"/>
        </w:rPr>
      </w:pPr>
      <w:r w:rsidRPr="00E601CE">
        <w:rPr>
          <w:rFonts w:ascii="Times New Roman" w:eastAsia="Times New Roman" w:hAnsi="Times New Roman" w:cs="Times New Roman"/>
          <w:color w:val="000000"/>
          <w:lang w:eastAsia="en-GB"/>
        </w:rPr>
        <w:t>Deep Symbolic Systems Model preprint – Vondoom, 2025</w:t>
      </w:r>
    </w:p>
    <w:p w14:paraId="29224743" w14:textId="77777777" w:rsidR="00E601CE" w:rsidRPr="00E601CE" w:rsidRDefault="00E601CE" w:rsidP="00E601CE">
      <w:pPr>
        <w:numPr>
          <w:ilvl w:val="0"/>
          <w:numId w:val="14"/>
        </w:numPr>
        <w:spacing w:before="100" w:beforeAutospacing="1" w:after="100" w:afterAutospacing="1"/>
        <w:rPr>
          <w:rFonts w:ascii="Times New Roman" w:eastAsia="Times New Roman" w:hAnsi="Times New Roman" w:cs="Times New Roman"/>
          <w:color w:val="000000"/>
          <w:lang w:eastAsia="en-GB"/>
        </w:rPr>
      </w:pPr>
      <w:r w:rsidRPr="00E601CE">
        <w:rPr>
          <w:rFonts w:ascii="Times New Roman" w:eastAsia="Times New Roman" w:hAnsi="Times New Roman" w:cs="Times New Roman"/>
          <w:color w:val="000000"/>
          <w:lang w:eastAsia="en-GB"/>
        </w:rPr>
        <w:t>Cognitive archaeology – Hodder, 2011</w:t>
      </w:r>
    </w:p>
    <w:p w14:paraId="2314AA63" w14:textId="77777777" w:rsidR="00E601CE" w:rsidRPr="00E601CE" w:rsidRDefault="00E601CE" w:rsidP="00E601CE">
      <w:pPr>
        <w:numPr>
          <w:ilvl w:val="0"/>
          <w:numId w:val="14"/>
        </w:numPr>
        <w:spacing w:before="100" w:beforeAutospacing="1" w:after="100" w:afterAutospacing="1"/>
        <w:rPr>
          <w:rFonts w:ascii="Times New Roman" w:eastAsia="Times New Roman" w:hAnsi="Times New Roman" w:cs="Times New Roman"/>
          <w:color w:val="000000"/>
          <w:lang w:eastAsia="en-GB"/>
        </w:rPr>
      </w:pPr>
      <w:r w:rsidRPr="00E601CE">
        <w:rPr>
          <w:rFonts w:ascii="Times New Roman" w:eastAsia="Times New Roman" w:hAnsi="Times New Roman" w:cs="Times New Roman"/>
          <w:color w:val="000000"/>
          <w:lang w:eastAsia="en-GB"/>
        </w:rPr>
        <w:t>Archaeology and language – Renfrew, 1987</w:t>
      </w:r>
    </w:p>
    <w:p w14:paraId="6AD951A8" w14:textId="77777777" w:rsidR="00E601CE" w:rsidRPr="00E601CE" w:rsidRDefault="00E601CE" w:rsidP="00E601CE">
      <w:pPr>
        <w:numPr>
          <w:ilvl w:val="0"/>
          <w:numId w:val="14"/>
        </w:numPr>
        <w:spacing w:before="100" w:beforeAutospacing="1" w:after="100" w:afterAutospacing="1"/>
        <w:rPr>
          <w:rFonts w:ascii="Times New Roman" w:eastAsia="Times New Roman" w:hAnsi="Times New Roman" w:cs="Times New Roman"/>
          <w:color w:val="000000"/>
          <w:lang w:eastAsia="en-GB"/>
        </w:rPr>
      </w:pPr>
      <w:r w:rsidRPr="00E601CE">
        <w:rPr>
          <w:rFonts w:ascii="Times New Roman" w:eastAsia="Times New Roman" w:hAnsi="Times New Roman" w:cs="Times New Roman"/>
          <w:color w:val="000000"/>
          <w:lang w:eastAsia="en-GB"/>
        </w:rPr>
        <w:t>Oral transmission and memory – Connerton, 1989</w:t>
      </w:r>
    </w:p>
    <w:p w14:paraId="2E1E94FD" w14:textId="77777777" w:rsidR="00E601CE" w:rsidRPr="00E601CE" w:rsidRDefault="00E601CE" w:rsidP="00E601CE"/>
    <w:sectPr w:rsidR="00E601CE" w:rsidRPr="00E601C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571549"/>
    <w:multiLevelType w:val="multilevel"/>
    <w:tmpl w:val="934AFA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B4C611E"/>
    <w:multiLevelType w:val="multilevel"/>
    <w:tmpl w:val="FE4432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03F23CE"/>
    <w:multiLevelType w:val="multilevel"/>
    <w:tmpl w:val="B6487A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6BD23EE"/>
    <w:multiLevelType w:val="multilevel"/>
    <w:tmpl w:val="5A7E03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93A284B"/>
    <w:multiLevelType w:val="multilevel"/>
    <w:tmpl w:val="FEE8CA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0AD6322"/>
    <w:multiLevelType w:val="multilevel"/>
    <w:tmpl w:val="A7B082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5DD68A8"/>
    <w:multiLevelType w:val="multilevel"/>
    <w:tmpl w:val="8DF8C6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9AD3276"/>
    <w:multiLevelType w:val="multilevel"/>
    <w:tmpl w:val="4830C1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0E23E85"/>
    <w:multiLevelType w:val="multilevel"/>
    <w:tmpl w:val="6F7A14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3FE02E6"/>
    <w:multiLevelType w:val="multilevel"/>
    <w:tmpl w:val="AB6CE0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6332DE3"/>
    <w:multiLevelType w:val="multilevel"/>
    <w:tmpl w:val="40FA21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95A2171"/>
    <w:multiLevelType w:val="multilevel"/>
    <w:tmpl w:val="5BC4C6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98F13E5"/>
    <w:multiLevelType w:val="multilevel"/>
    <w:tmpl w:val="DC7C21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47F1F15"/>
    <w:multiLevelType w:val="multilevel"/>
    <w:tmpl w:val="642C7C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5594F2D"/>
    <w:multiLevelType w:val="multilevel"/>
    <w:tmpl w:val="860280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64283850">
    <w:abstractNumId w:val="6"/>
  </w:num>
  <w:num w:numId="2" w16cid:durableId="1137449926">
    <w:abstractNumId w:val="5"/>
  </w:num>
  <w:num w:numId="3" w16cid:durableId="710033884">
    <w:abstractNumId w:val="2"/>
  </w:num>
  <w:num w:numId="4" w16cid:durableId="1949462443">
    <w:abstractNumId w:val="13"/>
  </w:num>
  <w:num w:numId="5" w16cid:durableId="2047830171">
    <w:abstractNumId w:val="9"/>
  </w:num>
  <w:num w:numId="6" w16cid:durableId="427118108">
    <w:abstractNumId w:val="7"/>
  </w:num>
  <w:num w:numId="7" w16cid:durableId="363141533">
    <w:abstractNumId w:val="8"/>
  </w:num>
  <w:num w:numId="8" w16cid:durableId="1564833188">
    <w:abstractNumId w:val="0"/>
  </w:num>
  <w:num w:numId="9" w16cid:durableId="319388139">
    <w:abstractNumId w:val="11"/>
  </w:num>
  <w:num w:numId="10" w16cid:durableId="1624187460">
    <w:abstractNumId w:val="10"/>
  </w:num>
  <w:num w:numId="11" w16cid:durableId="142082830">
    <w:abstractNumId w:val="3"/>
  </w:num>
  <w:num w:numId="12" w16cid:durableId="1840387145">
    <w:abstractNumId w:val="12"/>
  </w:num>
  <w:num w:numId="13" w16cid:durableId="1113013892">
    <w:abstractNumId w:val="14"/>
  </w:num>
  <w:num w:numId="14" w16cid:durableId="1942031882">
    <w:abstractNumId w:val="1"/>
  </w:num>
  <w:num w:numId="15" w16cid:durableId="118181889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9"/>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3CEA"/>
    <w:rsid w:val="001C1833"/>
    <w:rsid w:val="00384D23"/>
    <w:rsid w:val="004D560B"/>
    <w:rsid w:val="00523CEA"/>
    <w:rsid w:val="005F0735"/>
    <w:rsid w:val="009B5645"/>
    <w:rsid w:val="00A0166E"/>
    <w:rsid w:val="00A90B35"/>
    <w:rsid w:val="00B3437A"/>
    <w:rsid w:val="00BA0DB7"/>
    <w:rsid w:val="00E50B22"/>
    <w:rsid w:val="00E601CE"/>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EB578E"/>
  <w15:chartTrackingRefBased/>
  <w15:docId w15:val="{C2306BAD-1459-9545-B014-2D227B6D73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601CE"/>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E601CE"/>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523CEA"/>
    <w:pPr>
      <w:spacing w:before="100" w:beforeAutospacing="1" w:after="100" w:afterAutospacing="1"/>
      <w:outlineLvl w:val="2"/>
    </w:pPr>
    <w:rPr>
      <w:rFonts w:ascii="Times New Roman" w:eastAsia="Times New Roman" w:hAnsi="Times New Roman" w:cs="Times New Roman"/>
      <w:b/>
      <w:bCs/>
      <w:sz w:val="27"/>
      <w:szCs w:val="27"/>
      <w:lang w:eastAsia="en-GB"/>
    </w:rPr>
  </w:style>
  <w:style w:type="paragraph" w:styleId="Heading4">
    <w:name w:val="heading 4"/>
    <w:basedOn w:val="Normal"/>
    <w:next w:val="Normal"/>
    <w:link w:val="Heading4Char"/>
    <w:uiPriority w:val="9"/>
    <w:semiHidden/>
    <w:unhideWhenUsed/>
    <w:qFormat/>
    <w:rsid w:val="00E601CE"/>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523CEA"/>
    <w:rPr>
      <w:rFonts w:ascii="Times New Roman" w:eastAsia="Times New Roman" w:hAnsi="Times New Roman" w:cs="Times New Roman"/>
      <w:b/>
      <w:bCs/>
      <w:sz w:val="27"/>
      <w:szCs w:val="27"/>
      <w:lang w:eastAsia="en-GB"/>
    </w:rPr>
  </w:style>
  <w:style w:type="paragraph" w:customStyle="1" w:styleId="p1">
    <w:name w:val="p1"/>
    <w:basedOn w:val="Normal"/>
    <w:rsid w:val="00523CEA"/>
    <w:pPr>
      <w:spacing w:before="100" w:beforeAutospacing="1" w:after="100" w:afterAutospacing="1"/>
    </w:pPr>
    <w:rPr>
      <w:rFonts w:ascii="Times New Roman" w:eastAsia="Times New Roman" w:hAnsi="Times New Roman" w:cs="Times New Roman"/>
      <w:lang w:eastAsia="en-GB"/>
    </w:rPr>
  </w:style>
  <w:style w:type="character" w:customStyle="1" w:styleId="s1">
    <w:name w:val="s1"/>
    <w:basedOn w:val="DefaultParagraphFont"/>
    <w:rsid w:val="00523CEA"/>
  </w:style>
  <w:style w:type="character" w:customStyle="1" w:styleId="s2">
    <w:name w:val="s2"/>
    <w:basedOn w:val="DefaultParagraphFont"/>
    <w:rsid w:val="00523CEA"/>
  </w:style>
  <w:style w:type="paragraph" w:customStyle="1" w:styleId="p3">
    <w:name w:val="p3"/>
    <w:basedOn w:val="Normal"/>
    <w:rsid w:val="00523CEA"/>
    <w:pPr>
      <w:spacing w:before="100" w:beforeAutospacing="1" w:after="100" w:afterAutospacing="1"/>
    </w:pPr>
    <w:rPr>
      <w:rFonts w:ascii="Times New Roman" w:eastAsia="Times New Roman" w:hAnsi="Times New Roman" w:cs="Times New Roman"/>
      <w:lang w:eastAsia="en-GB"/>
    </w:rPr>
  </w:style>
  <w:style w:type="character" w:customStyle="1" w:styleId="s3">
    <w:name w:val="s3"/>
    <w:basedOn w:val="DefaultParagraphFont"/>
    <w:rsid w:val="00523CEA"/>
  </w:style>
  <w:style w:type="paragraph" w:customStyle="1" w:styleId="p4">
    <w:name w:val="p4"/>
    <w:basedOn w:val="Normal"/>
    <w:rsid w:val="00523CEA"/>
    <w:pPr>
      <w:spacing w:before="100" w:beforeAutospacing="1" w:after="100" w:afterAutospacing="1"/>
    </w:pPr>
    <w:rPr>
      <w:rFonts w:ascii="Times New Roman" w:eastAsia="Times New Roman" w:hAnsi="Times New Roman" w:cs="Times New Roman"/>
      <w:lang w:eastAsia="en-GB"/>
    </w:rPr>
  </w:style>
  <w:style w:type="character" w:customStyle="1" w:styleId="Heading2Char">
    <w:name w:val="Heading 2 Char"/>
    <w:basedOn w:val="DefaultParagraphFont"/>
    <w:link w:val="Heading2"/>
    <w:uiPriority w:val="9"/>
    <w:semiHidden/>
    <w:rsid w:val="00E601CE"/>
    <w:rPr>
      <w:rFonts w:asciiTheme="majorHAnsi" w:eastAsiaTheme="majorEastAsia" w:hAnsiTheme="majorHAnsi" w:cstheme="majorBidi"/>
      <w:color w:val="2F5496" w:themeColor="accent1" w:themeShade="BF"/>
      <w:sz w:val="26"/>
      <w:szCs w:val="26"/>
    </w:rPr>
  </w:style>
  <w:style w:type="character" w:customStyle="1" w:styleId="Heading4Char">
    <w:name w:val="Heading 4 Char"/>
    <w:basedOn w:val="DefaultParagraphFont"/>
    <w:link w:val="Heading4"/>
    <w:uiPriority w:val="9"/>
    <w:semiHidden/>
    <w:rsid w:val="00E601CE"/>
    <w:rPr>
      <w:rFonts w:asciiTheme="majorHAnsi" w:eastAsiaTheme="majorEastAsia" w:hAnsiTheme="majorHAnsi" w:cstheme="majorBidi"/>
      <w:i/>
      <w:iCs/>
      <w:color w:val="2F5496" w:themeColor="accent1" w:themeShade="BF"/>
    </w:rPr>
  </w:style>
  <w:style w:type="paragraph" w:styleId="NormalWeb">
    <w:name w:val="Normal (Web)"/>
    <w:basedOn w:val="Normal"/>
    <w:uiPriority w:val="99"/>
    <w:semiHidden/>
    <w:unhideWhenUsed/>
    <w:rsid w:val="00E601CE"/>
    <w:pPr>
      <w:spacing w:before="100" w:beforeAutospacing="1" w:after="100" w:afterAutospacing="1"/>
    </w:pPr>
    <w:rPr>
      <w:rFonts w:ascii="Times New Roman" w:eastAsia="Times New Roman" w:hAnsi="Times New Roman" w:cs="Times New Roman"/>
      <w:lang w:eastAsia="en-GB"/>
    </w:rPr>
  </w:style>
  <w:style w:type="character" w:styleId="Strong">
    <w:name w:val="Strong"/>
    <w:basedOn w:val="DefaultParagraphFont"/>
    <w:uiPriority w:val="22"/>
    <w:qFormat/>
    <w:rsid w:val="00E601CE"/>
    <w:rPr>
      <w:b/>
      <w:bCs/>
    </w:rPr>
  </w:style>
  <w:style w:type="character" w:customStyle="1" w:styleId="Heading1Char">
    <w:name w:val="Heading 1 Char"/>
    <w:basedOn w:val="DefaultParagraphFont"/>
    <w:link w:val="Heading1"/>
    <w:uiPriority w:val="9"/>
    <w:rsid w:val="00E601CE"/>
    <w:rPr>
      <w:rFonts w:asciiTheme="majorHAnsi" w:eastAsiaTheme="majorEastAsia" w:hAnsiTheme="majorHAnsi" w:cstheme="majorBidi"/>
      <w:color w:val="2F5496" w:themeColor="accent1" w:themeShade="BF"/>
      <w:sz w:val="32"/>
      <w:szCs w:val="32"/>
    </w:rPr>
  </w:style>
  <w:style w:type="character" w:styleId="Hyperlink">
    <w:name w:val="Hyperlink"/>
    <w:basedOn w:val="DefaultParagraphFont"/>
    <w:uiPriority w:val="99"/>
    <w:unhideWhenUsed/>
    <w:rsid w:val="009B5645"/>
    <w:rPr>
      <w:color w:val="0563C1" w:themeColor="hyperlink"/>
      <w:u w:val="single"/>
    </w:rPr>
  </w:style>
  <w:style w:type="character" w:styleId="UnresolvedMention">
    <w:name w:val="Unresolved Mention"/>
    <w:basedOn w:val="DefaultParagraphFont"/>
    <w:uiPriority w:val="99"/>
    <w:semiHidden/>
    <w:unhideWhenUsed/>
    <w:rsid w:val="00384D2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9910875">
      <w:bodyDiv w:val="1"/>
      <w:marLeft w:val="0"/>
      <w:marRight w:val="0"/>
      <w:marTop w:val="0"/>
      <w:marBottom w:val="0"/>
      <w:divBdr>
        <w:top w:val="none" w:sz="0" w:space="0" w:color="auto"/>
        <w:left w:val="none" w:sz="0" w:space="0" w:color="auto"/>
        <w:bottom w:val="none" w:sz="0" w:space="0" w:color="auto"/>
        <w:right w:val="none" w:sz="0" w:space="0" w:color="auto"/>
      </w:divBdr>
    </w:div>
    <w:div w:id="1153716019">
      <w:bodyDiv w:val="1"/>
      <w:marLeft w:val="0"/>
      <w:marRight w:val="0"/>
      <w:marTop w:val="0"/>
      <w:marBottom w:val="0"/>
      <w:divBdr>
        <w:top w:val="none" w:sz="0" w:space="0" w:color="auto"/>
        <w:left w:val="none" w:sz="0" w:space="0" w:color="auto"/>
        <w:bottom w:val="none" w:sz="0" w:space="0" w:color="auto"/>
        <w:right w:val="none" w:sz="0" w:space="0" w:color="auto"/>
      </w:divBdr>
    </w:div>
    <w:div w:id="11770429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doi.org/10.17605/OSF.IO/25AJW"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oi.org/10.17605/OSF.IO/MRZFU" TargetMode="External"/><Relationship Id="rId5" Type="http://schemas.openxmlformats.org/officeDocument/2006/relationships/hyperlink" Target="https://doi.org/10.6084/m9.figshare.31059385"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1266</TotalTime>
  <Pages>9</Pages>
  <Words>1303</Words>
  <Characters>9375</Characters>
  <Application>Microsoft Office Word</Application>
  <DocSecurity>0</DocSecurity>
  <Lines>312</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anthony vondoom</cp:lastModifiedBy>
  <cp:revision>4</cp:revision>
  <dcterms:created xsi:type="dcterms:W3CDTF">2026-01-03T22:15:00Z</dcterms:created>
  <dcterms:modified xsi:type="dcterms:W3CDTF">2026-05-16T12:50:00Z</dcterms:modified>
</cp:coreProperties>
</file>