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0EB" w:rsidRPr="007D1790" w:rsidRDefault="00664942" w:rsidP="001950EB">
      <w:pPr>
        <w:rPr>
          <w:rFonts w:ascii="Gill Sans MT" w:eastAsia="Times New Roman" w:hAnsi="Gill Sans MT" w:cs="Times New Roman"/>
          <w:lang w:eastAsia="en-GB"/>
        </w:rPr>
      </w:pPr>
      <w:r>
        <w:rPr>
          <w:rFonts w:ascii="Gill Sans MT" w:eastAsia="Times New Roman" w:hAnsi="Gill Sans MT" w:cs="Times New Roman"/>
          <w:noProof/>
          <w:lang w:eastAsia="en-GB"/>
        </w:rPr>
        <w:pict>
          <v:rect id="_x0000_i1026" alt="" style="width:451.3pt;height:.05pt;mso-width-percent:0;mso-height-percent:0;mso-width-percent:0;mso-height-percent:0" o:hralign="center" o:hrstd="t" o:hr="t" fillcolor="#a0a0a0" stroked="f"/>
        </w:pict>
      </w:r>
    </w:p>
    <w:p w:rsidR="001950EB" w:rsidRPr="007D1790" w:rsidRDefault="001950EB" w:rsidP="007D1790">
      <w:pPr>
        <w:spacing w:before="100" w:beforeAutospacing="1" w:after="100" w:afterAutospacing="1"/>
        <w:jc w:val="center"/>
        <w:rPr>
          <w:rFonts w:ascii="Gill Sans MT" w:eastAsia="Times New Roman" w:hAnsi="Gill Sans MT" w:cs="Times New Roman"/>
          <w:sz w:val="52"/>
          <w:szCs w:val="52"/>
          <w:lang w:eastAsia="en-GB"/>
        </w:rPr>
      </w:pPr>
      <w:r w:rsidRPr="007D1790">
        <w:rPr>
          <w:rFonts w:ascii="Gill Sans MT" w:eastAsia="Times New Roman" w:hAnsi="Gill Sans MT" w:cs="Times New Roman"/>
          <w:b/>
          <w:bCs/>
          <w:sz w:val="52"/>
          <w:szCs w:val="52"/>
          <w:lang w:eastAsia="en-GB"/>
        </w:rPr>
        <w:t>From Ritual to Protocol Power</w:t>
      </w:r>
    </w:p>
    <w:p w:rsidR="007D1790" w:rsidRPr="007D1790" w:rsidRDefault="001950EB" w:rsidP="007D1790">
      <w:pPr>
        <w:spacing w:before="100" w:beforeAutospacing="1" w:after="100" w:afterAutospacing="1"/>
        <w:jc w:val="center"/>
        <w:rPr>
          <w:rFonts w:ascii="Gill Sans MT" w:eastAsia="Times New Roman" w:hAnsi="Gill Sans MT" w:cs="Times New Roman"/>
          <w:b/>
          <w:bCs/>
          <w:i/>
          <w:iCs/>
          <w:lang w:eastAsia="en-GB"/>
        </w:rPr>
      </w:pPr>
      <w:r w:rsidRPr="007D1790">
        <w:rPr>
          <w:rFonts w:ascii="Gill Sans MT" w:eastAsia="Times New Roman" w:hAnsi="Gill Sans MT" w:cs="Times New Roman"/>
          <w:i/>
          <w:iCs/>
          <w:lang w:eastAsia="en-GB"/>
        </w:rPr>
        <w:t xml:space="preserve">A Deep Symbolic Systems Model (DSSM) Account of </w:t>
      </w:r>
      <w:r w:rsidRPr="007D1790">
        <w:rPr>
          <w:rFonts w:ascii="Gill Sans MT" w:eastAsia="Times New Roman" w:hAnsi="Gill Sans MT" w:cs="Times New Roman"/>
          <w:b/>
          <w:bCs/>
          <w:i/>
          <w:iCs/>
          <w:lang w:eastAsia="en-GB"/>
        </w:rPr>
        <w:t>How Humanity Engineered the Present</w:t>
      </w:r>
    </w:p>
    <w:p w:rsidR="007D1790" w:rsidRPr="007D1790" w:rsidRDefault="007D1790" w:rsidP="007D1790">
      <w:pPr>
        <w:spacing w:before="100" w:beforeAutospacing="1" w:after="100" w:afterAutospacing="1"/>
        <w:jc w:val="center"/>
        <w:rPr>
          <w:rFonts w:ascii="Gill Sans MT" w:eastAsia="Times New Roman" w:hAnsi="Gill Sans MT" w:cs="Times New Roman"/>
          <w:i/>
          <w:iCs/>
          <w:lang w:eastAsia="en-GB"/>
        </w:rPr>
      </w:pPr>
    </w:p>
    <w:p w:rsidR="007D1790" w:rsidRPr="007D1790" w:rsidRDefault="007D1790" w:rsidP="007D1790">
      <w:pPr>
        <w:spacing w:before="100" w:beforeAutospacing="1" w:after="100" w:afterAutospacing="1"/>
        <w:jc w:val="center"/>
        <w:rPr>
          <w:rFonts w:ascii="Gill Sans MT" w:eastAsia="Times New Roman" w:hAnsi="Gill Sans MT" w:cs="Times New Roman"/>
          <w:lang w:eastAsia="en-GB"/>
        </w:rPr>
      </w:pPr>
      <w:r w:rsidRPr="007D1790">
        <w:rPr>
          <w:rFonts w:ascii="Gill Sans MT" w:eastAsia="Times New Roman" w:hAnsi="Gill Sans MT" w:cs="Times New Roman"/>
          <w:b/>
          <w:bCs/>
          <w:lang w:eastAsia="en-GB"/>
        </w:rPr>
        <w:t>Anthony Vondoom</w:t>
      </w:r>
    </w:p>
    <w:p w:rsidR="007D1790" w:rsidRPr="007D1790" w:rsidRDefault="00664942" w:rsidP="007D1790">
      <w:pPr>
        <w:spacing w:before="100" w:beforeAutospacing="1" w:after="100" w:afterAutospacing="1"/>
        <w:jc w:val="center"/>
        <w:rPr>
          <w:rFonts w:ascii="Gill Sans MT" w:eastAsia="Times New Roman" w:hAnsi="Gill Sans MT" w:cs="Times New Roman"/>
          <w:lang w:eastAsia="en-GB"/>
        </w:rPr>
      </w:pPr>
      <w:r>
        <w:rPr>
          <w:rFonts w:ascii="Gill Sans MT" w:eastAsia="Times New Roman" w:hAnsi="Gill Sans MT" w:cs="Times New Roman"/>
          <w:noProof/>
          <w:lang w:eastAsia="en-GB"/>
        </w:rPr>
        <w:pict w14:anchorId="3F97D4C3">
          <v:rect id="_x0000_i1025" alt="" style="width:451.3pt;height:.05pt;mso-width-percent:0;mso-height-percent:0;mso-width-percent:0;mso-height-percent:0" o:hralign="center" o:hrstd="t" o:hr="t" fillcolor="#a0a0a0" stroked="f"/>
        </w:pict>
      </w:r>
    </w:p>
    <w:p w:rsidR="001950EB" w:rsidRPr="007D1790" w:rsidRDefault="001950EB" w:rsidP="001950EB">
      <w:pPr>
        <w:rPr>
          <w:rFonts w:ascii="Gill Sans MT" w:eastAsia="Times New Roman" w:hAnsi="Gill Sans MT" w:cs="Times New Roman"/>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p>
    <w:p w:rsidR="001950EB" w:rsidRDefault="001950EB" w:rsidP="001950EB">
      <w:pPr>
        <w:spacing w:before="100" w:beforeAutospacing="1" w:after="100" w:afterAutospacing="1"/>
        <w:rPr>
          <w:rFonts w:ascii="Gill Sans MT" w:eastAsia="Times New Roman" w:hAnsi="Gill Sans MT" w:cs="Times New Roman"/>
          <w:b/>
          <w:bCs/>
          <w:lang w:eastAsia="en-GB"/>
        </w:rPr>
      </w:pPr>
    </w:p>
    <w:p w:rsidR="007D1790" w:rsidRDefault="007D1790" w:rsidP="001950EB">
      <w:pPr>
        <w:spacing w:before="100" w:beforeAutospacing="1" w:after="100" w:afterAutospacing="1"/>
        <w:rPr>
          <w:rFonts w:ascii="Gill Sans MT" w:eastAsia="Times New Roman" w:hAnsi="Gill Sans MT" w:cs="Times New Roman"/>
          <w:b/>
          <w:bCs/>
          <w:lang w:eastAsia="en-GB"/>
        </w:rPr>
      </w:pPr>
    </w:p>
    <w:p w:rsidR="007D1790" w:rsidRPr="007D1790" w:rsidRDefault="007D1790" w:rsidP="001950EB">
      <w:pPr>
        <w:spacing w:before="100" w:beforeAutospacing="1" w:after="100" w:afterAutospacing="1"/>
        <w:rPr>
          <w:rFonts w:ascii="Gill Sans MT" w:eastAsia="Times New Roman" w:hAnsi="Gill Sans MT" w:cs="Times New Roman"/>
          <w:b/>
          <w:bCs/>
          <w:lang w:eastAsia="en-GB"/>
        </w:rPr>
      </w:pPr>
    </w:p>
    <w:p w:rsidR="007D1790" w:rsidRPr="007D1790" w:rsidRDefault="007D1790" w:rsidP="007D1790">
      <w:pPr>
        <w:spacing w:before="100" w:beforeAutospacing="1" w:after="100" w:afterAutospacing="1"/>
        <w:rPr>
          <w:rFonts w:ascii="Gill Sans MT" w:eastAsia="Times New Roman" w:hAnsi="Gill Sans MT" w:cs="Times New Roman"/>
          <w:lang w:val="en-US" w:eastAsia="en-GB"/>
        </w:rPr>
      </w:pPr>
      <w:r w:rsidRPr="007D1790">
        <w:rPr>
          <w:rFonts w:ascii="Gill Sans MT" w:eastAsia="Times New Roman" w:hAnsi="Gill Sans MT" w:cs="Times New Roman"/>
          <w:lang w:eastAsia="en-GB"/>
        </w:rPr>
        <w:t>February 3, 2026</w:t>
      </w:r>
      <w:r w:rsidRPr="007D1790">
        <w:rPr>
          <w:rFonts w:ascii="Gill Sans MT" w:eastAsia="Times New Roman" w:hAnsi="Gill Sans MT" w:cs="Times New Roman"/>
          <w:lang w:val="en-US" w:eastAsia="en-GB"/>
        </w:rPr>
        <w:t xml:space="preserve">  </w:t>
      </w:r>
      <w:proofErr w:type="spellStart"/>
      <w:r w:rsidRPr="007D1790">
        <w:rPr>
          <w:rFonts w:ascii="Gill Sans MT" w:eastAsia="Times New Roman" w:hAnsi="Gill Sans MT" w:cs="Times New Roman"/>
          <w:lang w:val="en-US" w:eastAsia="en-GB"/>
        </w:rPr>
        <w:t>Zenodo</w:t>
      </w:r>
      <w:proofErr w:type="spellEnd"/>
      <w:r w:rsidRPr="007D1790">
        <w:rPr>
          <w:rFonts w:ascii="Gill Sans MT" w:eastAsia="Times New Roman" w:hAnsi="Gill Sans MT" w:cs="Times New Roman"/>
          <w:lang w:val="en-US" w:eastAsia="en-GB"/>
        </w:rPr>
        <w:t xml:space="preserve"> </w:t>
      </w:r>
      <w:r w:rsidR="00571BC0">
        <w:rPr>
          <w:rFonts w:ascii="Gill Sans MT" w:eastAsia="Times New Roman" w:hAnsi="Gill Sans MT" w:cs="Times New Roman"/>
          <w:lang w:val="en-US" w:eastAsia="en-GB"/>
        </w:rPr>
        <w:t xml:space="preserve">| </w:t>
      </w:r>
      <w:r w:rsidR="00571BC0" w:rsidRPr="00571BC0">
        <w:rPr>
          <w:rFonts w:ascii="Gill Sans MT" w:eastAsia="Times New Roman" w:hAnsi="Gill Sans MT" w:cs="Times New Roman"/>
          <w:lang w:val="en-US" w:eastAsia="en-GB"/>
        </w:rPr>
        <w:t>10.5281/zenodo.18607182</w:t>
      </w:r>
    </w:p>
    <w:p w:rsidR="001950EB" w:rsidRDefault="007D1790" w:rsidP="001950EB">
      <w:p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lang w:eastAsia="en-GB"/>
        </w:rPr>
        <w:t xml:space="preserve">This paper builds on the foundational Deep Symbolic Systems Model (DSSM) by Vondoom, A. 2025, OSF: </w:t>
      </w:r>
      <w:r>
        <w:rPr>
          <w:rFonts w:ascii="Gill Sans MT" w:eastAsia="Times New Roman" w:hAnsi="Gill Sans MT" w:cs="Times New Roman"/>
          <w:lang w:eastAsia="en-GB"/>
        </w:rPr>
        <w:fldChar w:fldCharType="begin"/>
      </w:r>
      <w:r>
        <w:rPr>
          <w:rFonts w:ascii="Gill Sans MT" w:eastAsia="Times New Roman" w:hAnsi="Gill Sans MT" w:cs="Times New Roman"/>
          <w:lang w:eastAsia="en-GB"/>
        </w:rPr>
        <w:instrText>HYPERLINK "</w:instrText>
      </w:r>
      <w:r w:rsidRPr="007D1790">
        <w:rPr>
          <w:rFonts w:ascii="Gill Sans MT" w:eastAsia="Times New Roman" w:hAnsi="Gill Sans MT" w:cs="Times New Roman"/>
          <w:lang w:eastAsia="en-GB"/>
        </w:rPr>
        <w:instrText>https://doi.org/10.17605/OSF.IO/YW5GM</w:instrText>
      </w:r>
      <w:r>
        <w:rPr>
          <w:rFonts w:ascii="Gill Sans MT" w:eastAsia="Times New Roman" w:hAnsi="Gill Sans MT" w:cs="Times New Roman"/>
          <w:lang w:eastAsia="en-GB"/>
        </w:rPr>
        <w:instrText>"</w:instrText>
      </w:r>
      <w:r>
        <w:rPr>
          <w:rFonts w:ascii="Gill Sans MT" w:eastAsia="Times New Roman" w:hAnsi="Gill Sans MT" w:cs="Times New Roman"/>
          <w:lang w:eastAsia="en-GB"/>
        </w:rPr>
      </w:r>
      <w:r>
        <w:rPr>
          <w:rFonts w:ascii="Gill Sans MT" w:eastAsia="Times New Roman" w:hAnsi="Gill Sans MT" w:cs="Times New Roman"/>
          <w:lang w:eastAsia="en-GB"/>
        </w:rPr>
        <w:fldChar w:fldCharType="separate"/>
      </w:r>
      <w:r w:rsidRPr="00F21B8D">
        <w:rPr>
          <w:rStyle w:val="Hyperlink"/>
          <w:rFonts w:ascii="Gill Sans MT" w:eastAsia="Times New Roman" w:hAnsi="Gill Sans MT" w:cs="Times New Roman"/>
          <w:lang w:eastAsia="en-GB"/>
        </w:rPr>
        <w:t>https://doi.org/10.17605/OSF.IO/YW5GM</w:t>
      </w:r>
      <w:r>
        <w:rPr>
          <w:rFonts w:ascii="Gill Sans MT" w:eastAsia="Times New Roman" w:hAnsi="Gill Sans MT" w:cs="Times New Roman"/>
          <w:lang w:eastAsia="en-GB"/>
        </w:rPr>
        <w:fldChar w:fldCharType="end"/>
      </w:r>
    </w:p>
    <w:p w:rsidR="007D1790" w:rsidRPr="00571BC0" w:rsidRDefault="007D1790" w:rsidP="001950EB">
      <w:pPr>
        <w:spacing w:before="100" w:beforeAutospacing="1" w:after="100" w:afterAutospacing="1"/>
        <w:rPr>
          <w:rFonts w:ascii="Gill Sans MT" w:eastAsia="Times New Roman" w:hAnsi="Gill Sans MT" w:cs="Times New Roman"/>
          <w:lang w:val="en-US" w:eastAsia="en-GB"/>
        </w:rPr>
      </w:pPr>
      <w:r w:rsidRPr="007D1790">
        <w:rPr>
          <w:rFonts w:ascii="Gill Sans MT" w:eastAsia="Times New Roman" w:hAnsi="Gill Sans MT" w:cs="Times New Roman"/>
          <w:lang w:val="en-US" w:eastAsia="en-GB"/>
        </w:rPr>
        <w:t xml:space="preserve">And </w:t>
      </w:r>
      <w:proofErr w:type="spellStart"/>
      <w:r>
        <w:rPr>
          <w:rFonts w:ascii="Gill Sans MT" w:eastAsia="Times New Roman" w:hAnsi="Gill Sans MT" w:cs="Times New Roman"/>
          <w:lang w:val="en-US" w:eastAsia="en-GB"/>
        </w:rPr>
        <w:t>Vondoom</w:t>
      </w:r>
      <w:proofErr w:type="spellEnd"/>
      <w:r>
        <w:rPr>
          <w:rFonts w:ascii="Gill Sans MT" w:eastAsia="Times New Roman" w:hAnsi="Gill Sans MT" w:cs="Times New Roman"/>
          <w:lang w:val="en-US" w:eastAsia="en-GB"/>
        </w:rPr>
        <w:t>, A</w:t>
      </w:r>
      <w:r w:rsidRPr="007D1790">
        <w:rPr>
          <w:rFonts w:ascii="Gill Sans MT" w:eastAsia="Times New Roman" w:hAnsi="Gill Sans MT" w:cs="Times New Roman"/>
          <w:lang w:val="en-US" w:eastAsia="en-GB"/>
        </w:rPr>
        <w:t xml:space="preserve">. 2026. “cognitive Continuities Across Human and AI </w:t>
      </w:r>
      <w:proofErr w:type="spellStart"/>
      <w:r w:rsidRPr="007D1790">
        <w:rPr>
          <w:rFonts w:ascii="Gill Sans MT" w:eastAsia="Times New Roman" w:hAnsi="Gill Sans MT" w:cs="Times New Roman"/>
          <w:lang w:val="en-US" w:eastAsia="en-GB"/>
        </w:rPr>
        <w:t>Dssms</w:t>
      </w:r>
      <w:proofErr w:type="spellEnd"/>
      <w:r w:rsidRPr="007D1790">
        <w:rPr>
          <w:rFonts w:ascii="Gill Sans MT" w:eastAsia="Times New Roman" w:hAnsi="Gill Sans MT" w:cs="Times New Roman"/>
          <w:lang w:val="en-US" w:eastAsia="en-GB"/>
        </w:rPr>
        <w:t xml:space="preserve">”. </w:t>
      </w:r>
      <w:proofErr w:type="spellStart"/>
      <w:r w:rsidRPr="007D1790">
        <w:rPr>
          <w:rFonts w:ascii="Gill Sans MT" w:eastAsia="Times New Roman" w:hAnsi="Gill Sans MT" w:cs="Times New Roman"/>
          <w:lang w:val="en-US" w:eastAsia="en-GB"/>
        </w:rPr>
        <w:t>figshare</w:t>
      </w:r>
      <w:proofErr w:type="spellEnd"/>
      <w:r w:rsidRPr="007D1790">
        <w:rPr>
          <w:rFonts w:ascii="Gill Sans MT" w:eastAsia="Times New Roman" w:hAnsi="Gill Sans MT" w:cs="Times New Roman"/>
          <w:lang w:val="en-US" w:eastAsia="en-GB"/>
        </w:rPr>
        <w:t xml:space="preserve">. </w:t>
      </w:r>
      <w:proofErr w:type="gramStart"/>
      <w:r w:rsidRPr="007D1790">
        <w:rPr>
          <w:rFonts w:ascii="Gill Sans MT" w:eastAsia="Times New Roman" w:hAnsi="Gill Sans MT" w:cs="Times New Roman"/>
          <w:lang w:val="en-US" w:eastAsia="en-GB"/>
        </w:rPr>
        <w:t>doi:10.6084/m9.figshare</w:t>
      </w:r>
      <w:proofErr w:type="gramEnd"/>
      <w:r w:rsidRPr="007D1790">
        <w:rPr>
          <w:rFonts w:ascii="Gill Sans MT" w:eastAsia="Times New Roman" w:hAnsi="Gill Sans MT" w:cs="Times New Roman"/>
          <w:lang w:val="en-US" w:eastAsia="en-GB"/>
        </w:rPr>
        <w:t>.31095565.v1.</w:t>
      </w:r>
    </w:p>
    <w:p w:rsidR="007D1790" w:rsidRPr="007D1790" w:rsidRDefault="007D1790" w:rsidP="001950EB">
      <w:pPr>
        <w:spacing w:before="100" w:beforeAutospacing="1" w:after="100" w:afterAutospacing="1"/>
        <w:rPr>
          <w:rFonts w:ascii="Gill Sans MT" w:eastAsia="Times New Roman" w:hAnsi="Gill Sans MT" w:cs="Times New Roman"/>
          <w:color w:val="0563C1" w:themeColor="hyperlink"/>
          <w:u w:val="single"/>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lastRenderedPageBreak/>
        <w:t>Abstract</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How did humanity arrive at a world governed less by persons and persuasion than by protocols, infrastructures, and abstract systems of coordination? This paper argues that the present historical condition—often described as alienating, technocratic, or dehumanizing—is neither accidental nor pathological. It is the structurally inevitable outcome of a long process of symbolic stabilization operating under persistent cognitive, ecological, and demographic constraints.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Using the Deep Symbolic Systems Model (DSSM), this work reconstructs a continuous narrative from Paleolithic ritual life through agriculture, trade, writing, empire, industrial bureaucracy, and contemporary AI-mediated infrastructures. Across these domains, the same deep pattern recurs: repeated actions stabilize into ritual; rituals condense into symbols; symbols externalize into protocols; protocols persist beyond belief, intention, and individual agency. Drawing on archaeology, cognitive psychology, political economy, and post-2020 scholarship in complexity theory and AI, this paper shows that modern protocol power is not a rupture from human history but its most compressed and scalable expression.</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The conclusion is intentionally austere. The present was not chosen. It was constructed—slowly, redundantly, and correctly—according to the internal logic of symbolic survival.</w:t>
      </w:r>
    </w:p>
    <w:p w:rsidR="007D1790" w:rsidRDefault="007D1790" w:rsidP="007D1790">
      <w:pPr>
        <w:pStyle w:val="p1"/>
        <w:jc w:val="right"/>
        <w:rPr>
          <w:rFonts w:ascii="Gill Sans MT" w:hAnsi="Gill Sans MT"/>
          <w:b/>
          <w:bCs/>
          <w:sz w:val="22"/>
          <w:szCs w:val="22"/>
        </w:rPr>
      </w:pPr>
    </w:p>
    <w:p w:rsidR="007D1790" w:rsidRPr="007D1790" w:rsidRDefault="007D1790" w:rsidP="007D1790">
      <w:pPr>
        <w:pStyle w:val="p1"/>
        <w:jc w:val="right"/>
        <w:rPr>
          <w:rFonts w:ascii="Gill Sans MT" w:hAnsi="Gill Sans MT"/>
          <w:sz w:val="22"/>
          <w:szCs w:val="22"/>
        </w:rPr>
      </w:pPr>
      <w:r w:rsidRPr="007D1790">
        <w:rPr>
          <w:rFonts w:ascii="Gill Sans MT" w:hAnsi="Gill Sans MT"/>
          <w:b/>
          <w:bCs/>
          <w:sz w:val="22"/>
          <w:szCs w:val="22"/>
        </w:rPr>
        <w:t>Keywords:</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Deep Symbolic Systems Model (DSSM)</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Protocol power</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Symbolic evolution</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Cognitive archaeology</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Distributed intelligence</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AI-mediated coordination</w:t>
      </w:r>
    </w:p>
    <w:p w:rsidR="007D1790" w:rsidRPr="007D1790" w:rsidRDefault="007D1790" w:rsidP="00B7120A">
      <w:pPr>
        <w:pStyle w:val="p1"/>
        <w:numPr>
          <w:ilvl w:val="0"/>
          <w:numId w:val="3"/>
        </w:numPr>
        <w:jc w:val="right"/>
        <w:rPr>
          <w:rFonts w:ascii="Gill Sans MT" w:hAnsi="Gill Sans MT"/>
          <w:sz w:val="22"/>
          <w:szCs w:val="22"/>
        </w:rPr>
      </w:pPr>
      <w:r w:rsidRPr="007D1790">
        <w:rPr>
          <w:rFonts w:ascii="Gill Sans MT" w:hAnsi="Gill Sans MT"/>
          <w:sz w:val="22"/>
          <w:szCs w:val="22"/>
        </w:rPr>
        <w:t>Institutional cognition</w:t>
      </w:r>
    </w:p>
    <w:p w:rsidR="007D1790" w:rsidRPr="007D1790" w:rsidRDefault="007D1790" w:rsidP="007D1790">
      <w:pPr>
        <w:spacing w:before="100" w:beforeAutospacing="1" w:after="100" w:afterAutospacing="1"/>
        <w:ind w:left="720"/>
        <w:jc w:val="right"/>
        <w:rPr>
          <w:rFonts w:ascii="Gill Sans MT" w:eastAsia="Times New Roman" w:hAnsi="Gill Sans MT" w:cs="Times New Roman"/>
          <w:sz w:val="22"/>
          <w:szCs w:val="22"/>
          <w:lang w:eastAsia="en-GB"/>
        </w:rPr>
      </w:pPr>
    </w:p>
    <w:p w:rsidR="007D1790" w:rsidRDefault="007D1790" w:rsidP="007D1790">
      <w:pPr>
        <w:spacing w:before="100" w:beforeAutospacing="1" w:after="100" w:afterAutospacing="1"/>
        <w:jc w:val="right"/>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lastRenderedPageBreak/>
        <w:t xml:space="preserve">1. Beginning Without Myths: </w:t>
      </w:r>
      <w:r w:rsidRPr="007D1790">
        <w:rPr>
          <w:rFonts w:ascii="Gill Sans MT" w:eastAsia="Times New Roman" w:hAnsi="Gill Sans MT" w:cs="Times New Roman"/>
          <w:b/>
          <w:bCs/>
          <w:sz w:val="28"/>
          <w:szCs w:val="28"/>
          <w:lang w:eastAsia="en-GB"/>
        </w:rPr>
        <w:t>History Under Constraint</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Most accounts of human history begin with beliefs, ideas, or intentions. DSSM begins elsewhere: with constraints.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Across all periods of human existence, the same problems recur. Individuals die, but coordination must persist. Memory decays, but obligations endure. Trust is local, but trade networks expand. Violence is costly, but resource extraction is advantageous. These are not cultural peculiarities; they are structural facts of social life.</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When the same symbolic solutions emerge independently across continents and millennia, explanation by intention collapses. Constraint becomes causal.</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Where convergence appears without contact, selection—not ideology—is at work.</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DSSM therefore treats symbolic systems the way evolutionary biology treats morphology: not as expressions of identity or belief, but as stabilized solutions to recurring problems.</w:t>
      </w: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 xml:space="preserve">2. The First Bottleneck: </w:t>
      </w:r>
      <w:r w:rsidRPr="007D1790">
        <w:rPr>
          <w:rFonts w:ascii="Gill Sans MT" w:eastAsia="Times New Roman" w:hAnsi="Gill Sans MT" w:cs="Times New Roman"/>
          <w:b/>
          <w:bCs/>
          <w:sz w:val="28"/>
          <w:szCs w:val="28"/>
          <w:lang w:eastAsia="en-GB"/>
        </w:rPr>
        <w:t>Memory Under Mortality</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Early human societies confronted a brutal limitation: biological memory is short, fragile, and disappears with the body. Yet hunting coordination, territorial claims, kinship rules, and sharing obligations must outlive individuals.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The earliest symbolic systems solved this not through abstract thought, but through enactment. Meaning was embedded in repeated action, bodily skill, spatial arrangement, and ritual obligation. Participation mattered more than interpretation. One did not need to believe in a ritual for it to function; one only needed to perform it.</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Meaning that must be believed is unstable. Meaning that must be enacted survives.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Monuments fixed memory in space. Mortuary practices stabilized identity across generations. Standardized trade weights and measures corrected error through redundancy rather than calculation. These systems were cognitive infrastructure.</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Archaeological evidence—from engraved ochres at Blombos Cave, monumental pillars at Göbekli Tepe, to complex early mortuary landscapes—shows that symbolic stabilization long predates writing, hierarchy, or agriculture (Henshilwood et al., 2018; Hodder, 2021). For readers less familiar with these sites: these were not mere decorations; they were early tools for social coordination and memory.</w:t>
      </w: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lastRenderedPageBreak/>
        <w:t>3. Writing as Compression, Not Awakening</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Writing appears late in human history and never everywhere. When it does, it does so under pressure. DSSM predicts this pattern precisely.</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Writing does not create complexity; it responds to it. Accounting appears before literature. Lists appear before laws. Administration appears before philosophy.</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Writing is what happens when redundancy becomes inefficient and memory exceeds embodied capacity.</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Early writing systems—from Mesopotamian clay tokens to Egyptian administrative inscriptions—functioned primarily as impersonal memory devices. They stabilized obligations without requiring presence, reputation, or shared belief. Writing is symbolic compression: a technology for managing cognitive overload once ritual and material redundancy reach saturation.</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Literacy, in this light, is not enlightenment. It is debt management.</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Concrete example: the Uruk IV tokens encoded quantities of grain or livestock. They did not record “ideas” but ensured consistent, reproducible accounting across time and space.</w:t>
      </w: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4. When Survival Is Solved, Power Fossilizes</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As subsistence stabilizes, symbolic systems shift their target. They stop preserving how to live and begin preserving who controls.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This phase shift is consequential. Surplus does not create freedom; it creates persistence. Once resources can be stored, symbolic systems reorganize around ownership, inheritance, and authority.</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Scarcity selects for techniques. Surplus selects for continuity.</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This explains why early states and empires converge structurally across regions with no shared ideology. Similar symbolic bottlenecks produce similar solutions. Granaries become accounting centers; accounting becomes administration; administration becomes rule.</w:t>
      </w:r>
    </w:p>
    <w:p w:rsidR="007D1790" w:rsidRDefault="007D1790" w:rsidP="007D1790">
      <w:pPr>
        <w:spacing w:before="100" w:beforeAutospacing="1" w:after="100" w:afterAutospacing="1"/>
        <w:ind w:left="720"/>
        <w:rPr>
          <w:rFonts w:ascii="Gill Sans MT" w:eastAsia="Times New Roman" w:hAnsi="Gill Sans MT" w:cs="Times New Roman"/>
          <w:b/>
          <w:bCs/>
          <w:i/>
          <w:iCs/>
          <w:sz w:val="28"/>
          <w:szCs w:val="28"/>
          <w:lang w:eastAsia="en-GB"/>
        </w:rPr>
      </w:pPr>
    </w:p>
    <w:p w:rsidR="007D1790" w:rsidRDefault="007D1790" w:rsidP="007D1790">
      <w:pPr>
        <w:spacing w:before="100" w:beforeAutospacing="1" w:after="100" w:afterAutospacing="1"/>
        <w:ind w:left="720"/>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5. Protocol Power: Control Without Persuasion</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Modern power operates primarily through protocols rather than belief. Protocols succeed not because they are convincing, but because they are unavoidable.</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A protocol reduces interpretation, minimizes discretion, and persists despite disagreement. Legal categories, tax codes, digital identity systems, databases, and even API structures do not ask for loyalty—they require participation.</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The most stable symbol is one you cannot argue with.</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This is not tyranny in the classical sense. It is symbolic efficiency. Power no longer needs to persuade. It routes.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Example: submitting a tax return is not a question of belief; the form must be completed. Accessing an app like a banking API or government service requires compliance with data protocols, not consent or ideology.</w:t>
      </w: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 xml:space="preserve">6. </w:t>
      </w:r>
      <w:r w:rsidRPr="007D1790">
        <w:rPr>
          <w:rFonts w:ascii="Gill Sans MT" w:eastAsia="Times New Roman" w:hAnsi="Gill Sans MT" w:cs="Times New Roman"/>
          <w:b/>
          <w:bCs/>
          <w:i/>
          <w:iCs/>
          <w:sz w:val="28"/>
          <w:szCs w:val="28"/>
          <w:lang w:val="en-US" w:eastAsia="en-GB"/>
        </w:rPr>
        <w:t>A</w:t>
      </w:r>
      <w:r w:rsidRPr="007D1790">
        <w:rPr>
          <w:rFonts w:ascii="Gill Sans MT" w:eastAsia="Times New Roman" w:hAnsi="Gill Sans MT" w:cs="Times New Roman"/>
          <w:b/>
          <w:bCs/>
          <w:i/>
          <w:iCs/>
          <w:sz w:val="28"/>
          <w:szCs w:val="28"/>
          <w:lang w:eastAsia="en-GB"/>
        </w:rPr>
        <w:t>rtificial Intelligence as Confirmation</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AI does not inaugurate a new logic of cognition. It confirms an old one. Long before machines “learned,” humans externalized memory, classification, and decision-making into objects, institutions, and procedures.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AI represents the extreme compression of this trajectory. It formalizes similarity, optimizes coordination, and operates at scales no human symbolic system could sustain unaided.</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Intelligence was externalized long before it was automated.</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Seen through DSSM, AI is not alien—it is a continuation of the symbolic engineering that produced writing, bureaucracy, and markets (Floridi, 2022; Pasquinelli, 2023; Russell &amp; Norvig, 2022; Tegmark, 2023). For example, recommendation algorithms in social platforms extend traditional classification and memory systems into real-time decision networks.</w:t>
      </w: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7. Why the Pattern Persists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Persistence is structural.</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Once a symbolic solution works, selection favors replication, not reflection.</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This explains why empires resemble one another, bureaucracies converge, platforms centralize, and optimization accelerates. History does not repeat because humans forget; it repeats because constraints remain stable while scale increases.</w:t>
      </w: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 xml:space="preserve">8. In Synthesis: </w:t>
      </w:r>
      <w:r w:rsidRPr="007D1790">
        <w:rPr>
          <w:rFonts w:ascii="Gill Sans MT" w:eastAsia="Times New Roman" w:hAnsi="Gill Sans MT" w:cs="Times New Roman"/>
          <w:b/>
          <w:bCs/>
          <w:sz w:val="28"/>
          <w:szCs w:val="28"/>
          <w:lang w:eastAsia="en-GB"/>
        </w:rPr>
        <w:t>What This Means for Us</w:t>
      </w:r>
    </w:p>
    <w:p w:rsidR="001950EB" w:rsidRPr="007D1790" w:rsidRDefault="001950EB" w:rsidP="007D1790">
      <w:pPr>
        <w:spacing w:before="100" w:beforeAutospacing="1" w:after="100" w:afterAutospacing="1"/>
        <w:ind w:left="720" w:firstLine="720"/>
        <w:rPr>
          <w:rFonts w:ascii="Gill Sans MT" w:eastAsia="Times New Roman" w:hAnsi="Gill Sans MT" w:cs="Times New Roman"/>
          <w:lang w:eastAsia="en-GB"/>
        </w:rPr>
      </w:pPr>
      <w:r w:rsidRPr="007D1790">
        <w:rPr>
          <w:rFonts w:ascii="Gill Sans MT" w:eastAsia="Times New Roman" w:hAnsi="Gill Sans MT" w:cs="Times New Roman"/>
          <w:lang w:eastAsia="en-GB"/>
        </w:rPr>
        <w:t>Humanity did not lose control of the world. It succeeded in building systems that no longer require constant human judgment.</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Each step was reasonable: more memory, more efficiency, more coordination, less ambiguity. No single step was catastrophic. Yet the outcome is profound.</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Systems optimized for survival and coordination do not optimize for meaning. They optimize for persistence.</w:t>
      </w:r>
    </w:p>
    <w:p w:rsidR="001950EB" w:rsidRPr="007D1790" w:rsidRDefault="001950EB" w:rsidP="007D1790">
      <w:pPr>
        <w:spacing w:before="100" w:beforeAutospacing="1" w:after="100" w:afterAutospacing="1"/>
        <w:ind w:left="1440"/>
        <w:rPr>
          <w:rFonts w:ascii="Gill Sans MT" w:eastAsia="Times New Roman" w:hAnsi="Gill Sans MT" w:cs="Times New Roman"/>
          <w:i/>
          <w:iCs/>
          <w:lang w:eastAsia="en-GB"/>
        </w:rPr>
      </w:pPr>
      <w:r w:rsidRPr="007D1790">
        <w:rPr>
          <w:rFonts w:ascii="Arial" w:eastAsia="Times New Roman" w:hAnsi="Arial" w:cs="Arial"/>
          <w:i/>
          <w:iCs/>
          <w:lang w:eastAsia="en-GB"/>
        </w:rPr>
        <w:t>→</w:t>
      </w:r>
      <w:r w:rsidRPr="007D1790">
        <w:rPr>
          <w:rFonts w:ascii="Gill Sans MT" w:eastAsia="Times New Roman" w:hAnsi="Gill Sans MT" w:cs="Times New Roman"/>
          <w:i/>
          <w:iCs/>
          <w:lang w:eastAsia="en-GB"/>
        </w:rPr>
        <w:t xml:space="preserve"> You cannot negotiate with a database. You cannot shame an algorithm. You cannot persuade a protocol.</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This is not a moral failure; it is the structural outcome of symbolic success.</w:t>
      </w: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t xml:space="preserve">9. Conclusion: </w:t>
      </w:r>
      <w:r w:rsidRPr="007D1790">
        <w:rPr>
          <w:rFonts w:ascii="Gill Sans MT" w:eastAsia="Times New Roman" w:hAnsi="Gill Sans MT" w:cs="Times New Roman"/>
          <w:b/>
          <w:bCs/>
          <w:sz w:val="28"/>
          <w:szCs w:val="28"/>
          <w:lang w:eastAsia="en-GB"/>
        </w:rPr>
        <w:t>A Human Verdict</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Across archaeology, cognitive science, and systems theory, the evidence converges. Human cognition has always been distributed, scaffolded, and externalized. The present represents a maximum compression state of that process.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Writing was optional. Protocol was not.</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DSSM does not predict collapse. It predicts continued optimization until human-scale meaning becomes irrelevant—unless symbolic systems are deliberately redesigned with humane constraints</w:t>
      </w:r>
    </w:p>
    <w:p w:rsidR="001950EB" w:rsidRPr="007D1790" w:rsidRDefault="001950EB" w:rsidP="007D1790">
      <w:pPr>
        <w:spacing w:before="100" w:beforeAutospacing="1" w:after="100" w:afterAutospacing="1"/>
        <w:ind w:left="720"/>
        <w:rPr>
          <w:rFonts w:ascii="Gill Sans MT" w:eastAsia="Times New Roman" w:hAnsi="Gill Sans MT" w:cs="Times New Roman"/>
          <w:lang w:eastAsia="en-GB"/>
        </w:rPr>
      </w:pPr>
      <w:r w:rsidRPr="007D1790">
        <w:rPr>
          <w:rFonts w:ascii="Gill Sans MT" w:eastAsia="Times New Roman" w:hAnsi="Gill Sans MT" w:cs="Times New Roman"/>
          <w:lang w:eastAsia="en-GB"/>
        </w:rPr>
        <w:t>The future is not a question of invention, but of symbolic choice.</w:t>
      </w:r>
    </w:p>
    <w:p w:rsidR="007D1790" w:rsidRDefault="007D1790" w:rsidP="001950EB">
      <w:pPr>
        <w:spacing w:before="100" w:beforeAutospacing="1" w:after="100" w:afterAutospacing="1"/>
        <w:rPr>
          <w:rFonts w:ascii="Gill Sans MT" w:eastAsia="Times New Roman" w:hAnsi="Gill Sans MT" w:cs="Times New Roman"/>
          <w:b/>
          <w:bCs/>
          <w:lang w:eastAsia="en-GB"/>
        </w:rPr>
      </w:pPr>
    </w:p>
    <w:p w:rsidR="007D1790" w:rsidRDefault="007D1790" w:rsidP="001950EB">
      <w:pPr>
        <w:spacing w:before="100" w:beforeAutospacing="1" w:after="100" w:afterAutospacing="1"/>
        <w:rPr>
          <w:rFonts w:ascii="Gill Sans MT" w:eastAsia="Times New Roman" w:hAnsi="Gill Sans MT" w:cs="Times New Roman"/>
          <w:b/>
          <w:bCs/>
          <w:lang w:eastAsia="en-GB"/>
        </w:rPr>
      </w:pPr>
    </w:p>
    <w:p w:rsidR="001950EB" w:rsidRPr="007D1790" w:rsidRDefault="001950EB" w:rsidP="001950EB">
      <w:pPr>
        <w:spacing w:before="100" w:beforeAutospacing="1" w:after="100" w:afterAutospacing="1"/>
        <w:rPr>
          <w:rFonts w:ascii="Gill Sans MT" w:eastAsia="Times New Roman" w:hAnsi="Gill Sans MT" w:cs="Times New Roman"/>
          <w:b/>
          <w:bCs/>
          <w:lang w:eastAsia="en-GB"/>
        </w:rPr>
      </w:pPr>
      <w:r w:rsidRPr="007D1790">
        <w:rPr>
          <w:rFonts w:ascii="Gill Sans MT" w:eastAsia="Times New Roman" w:hAnsi="Gill Sans MT" w:cs="Times New Roman"/>
          <w:b/>
          <w:bCs/>
          <w:lang w:eastAsia="en-GB"/>
        </w:rPr>
        <w:t>Pro Humanitate.</w:t>
      </w:r>
    </w:p>
    <w:p w:rsidR="001950EB" w:rsidRPr="007D1790" w:rsidRDefault="001950EB" w:rsidP="001950EB">
      <w:pPr>
        <w:rPr>
          <w:rFonts w:ascii="Gill Sans MT" w:eastAsia="Times New Roman" w:hAnsi="Gill Sans MT" w:cs="Times New Roman"/>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7D1790" w:rsidRDefault="007D1790" w:rsidP="001950EB">
      <w:pPr>
        <w:spacing w:before="100" w:beforeAutospacing="1" w:after="100" w:afterAutospacing="1"/>
        <w:rPr>
          <w:rFonts w:ascii="Gill Sans MT" w:eastAsia="Times New Roman" w:hAnsi="Gill Sans MT" w:cs="Times New Roman"/>
          <w:b/>
          <w:bCs/>
          <w:i/>
          <w:iCs/>
          <w:sz w:val="28"/>
          <w:szCs w:val="28"/>
          <w:lang w:eastAsia="en-GB"/>
        </w:rPr>
      </w:pPr>
    </w:p>
    <w:p w:rsidR="001950EB" w:rsidRPr="007D1790" w:rsidRDefault="001950EB" w:rsidP="001950EB">
      <w:pPr>
        <w:spacing w:before="100" w:beforeAutospacing="1" w:after="100" w:afterAutospacing="1"/>
        <w:rPr>
          <w:rFonts w:ascii="Gill Sans MT" w:eastAsia="Times New Roman" w:hAnsi="Gill Sans MT" w:cs="Times New Roman"/>
          <w:i/>
          <w:iCs/>
          <w:sz w:val="28"/>
          <w:szCs w:val="28"/>
          <w:lang w:eastAsia="en-GB"/>
        </w:rPr>
      </w:pPr>
      <w:r w:rsidRPr="007D1790">
        <w:rPr>
          <w:rFonts w:ascii="Gill Sans MT" w:eastAsia="Times New Roman" w:hAnsi="Gill Sans MT" w:cs="Times New Roman"/>
          <w:b/>
          <w:bCs/>
          <w:i/>
          <w:iCs/>
          <w:sz w:val="28"/>
          <w:szCs w:val="28"/>
          <w:lang w:eastAsia="en-GB"/>
        </w:rPr>
        <w:lastRenderedPageBreak/>
        <w:t xml:space="preserve">References </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Bar-Yosef, O., &amp; Belfer-Cohen, A.</w:t>
      </w:r>
      <w:r w:rsidRPr="007D1790">
        <w:rPr>
          <w:rFonts w:ascii="Gill Sans MT" w:eastAsia="Times New Roman" w:hAnsi="Gill Sans MT" w:cs="Times New Roman"/>
          <w:lang w:eastAsia="en-GB"/>
        </w:rPr>
        <w:t xml:space="preserve"> (2020). </w:t>
      </w:r>
      <w:r w:rsidRPr="007D1790">
        <w:rPr>
          <w:rFonts w:ascii="Gill Sans MT" w:eastAsia="Times New Roman" w:hAnsi="Gill Sans MT" w:cs="Times New Roman"/>
          <w:i/>
          <w:iCs/>
          <w:lang w:eastAsia="en-GB"/>
        </w:rPr>
        <w:t>Early food storage and social organization: Tel Tsaf, Israel</w:t>
      </w:r>
      <w:r w:rsidRPr="007D1790">
        <w:rPr>
          <w:rFonts w:ascii="Gill Sans MT" w:eastAsia="Times New Roman" w:hAnsi="Gill Sans MT" w:cs="Times New Roman"/>
          <w:lang w:eastAsia="en-GB"/>
        </w:rPr>
        <w:t>. Journal of Archaeological Science: Reports, 31, 102280. https://doi.org/10.1016/j.jasrep.2020.102280</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Clark, A., &amp; Chalmers, D</w:t>
      </w:r>
      <w:r w:rsidRPr="007D1790">
        <w:rPr>
          <w:rFonts w:ascii="Gill Sans MT" w:eastAsia="Times New Roman" w:hAnsi="Gill Sans MT" w:cs="Times New Roman"/>
          <w:lang w:eastAsia="en-GB"/>
        </w:rPr>
        <w:t xml:space="preserve">. (1998). </w:t>
      </w:r>
      <w:r w:rsidRPr="007D1790">
        <w:rPr>
          <w:rFonts w:ascii="Gill Sans MT" w:eastAsia="Times New Roman" w:hAnsi="Gill Sans MT" w:cs="Times New Roman"/>
          <w:i/>
          <w:iCs/>
          <w:lang w:eastAsia="en-GB"/>
        </w:rPr>
        <w:t>The extended mind</w:t>
      </w:r>
      <w:r w:rsidRPr="007D1790">
        <w:rPr>
          <w:rFonts w:ascii="Gill Sans MT" w:eastAsia="Times New Roman" w:hAnsi="Gill Sans MT" w:cs="Times New Roman"/>
          <w:lang w:eastAsia="en-GB"/>
        </w:rPr>
        <w:t>. Analysis, 58(1), 7–19. https://doi.org/10.1093/analys/58.1.7</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Floridi, L.</w:t>
      </w:r>
      <w:r w:rsidRPr="007D1790">
        <w:rPr>
          <w:rFonts w:ascii="Gill Sans MT" w:eastAsia="Times New Roman" w:hAnsi="Gill Sans MT" w:cs="Times New Roman"/>
          <w:lang w:eastAsia="en-GB"/>
        </w:rPr>
        <w:t xml:space="preserve"> (2022). </w:t>
      </w:r>
      <w:r w:rsidRPr="007D1790">
        <w:rPr>
          <w:rFonts w:ascii="Gill Sans MT" w:eastAsia="Times New Roman" w:hAnsi="Gill Sans MT" w:cs="Times New Roman"/>
          <w:i/>
          <w:iCs/>
          <w:lang w:eastAsia="en-GB"/>
        </w:rPr>
        <w:t>Ethics of Artificial Intelligence</w:t>
      </w:r>
      <w:r w:rsidRPr="007D1790">
        <w:rPr>
          <w:rFonts w:ascii="Gill Sans MT" w:eastAsia="Times New Roman" w:hAnsi="Gill Sans MT" w:cs="Times New Roman"/>
          <w:lang w:eastAsia="en-GB"/>
        </w:rPr>
        <w:t>. Oxford University Press. ISBN 9780192844811.</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Graeber, D., &amp; Wengrow, D.</w:t>
      </w:r>
      <w:r w:rsidRPr="007D1790">
        <w:rPr>
          <w:rFonts w:ascii="Gill Sans MT" w:eastAsia="Times New Roman" w:hAnsi="Gill Sans MT" w:cs="Times New Roman"/>
          <w:lang w:eastAsia="en-GB"/>
        </w:rPr>
        <w:t xml:space="preserve"> (2021). </w:t>
      </w:r>
      <w:r w:rsidRPr="007D1790">
        <w:rPr>
          <w:rFonts w:ascii="Gill Sans MT" w:eastAsia="Times New Roman" w:hAnsi="Gill Sans MT" w:cs="Times New Roman"/>
          <w:i/>
          <w:iCs/>
          <w:lang w:eastAsia="en-GB"/>
        </w:rPr>
        <w:t>The Dawn of Everything</w:t>
      </w:r>
      <w:r w:rsidRPr="007D1790">
        <w:rPr>
          <w:rFonts w:ascii="Gill Sans MT" w:eastAsia="Times New Roman" w:hAnsi="Gill Sans MT" w:cs="Times New Roman"/>
          <w:lang w:eastAsia="en-GB"/>
        </w:rPr>
        <w:t>. Farrar, Straus and Giroux. ISBN 9780374157357.</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Henshilwood, C. S., et al.</w:t>
      </w:r>
      <w:r w:rsidRPr="007D1790">
        <w:rPr>
          <w:rFonts w:ascii="Gill Sans MT" w:eastAsia="Times New Roman" w:hAnsi="Gill Sans MT" w:cs="Times New Roman"/>
          <w:lang w:eastAsia="en-GB"/>
        </w:rPr>
        <w:t xml:space="preserve"> (2018). </w:t>
      </w:r>
      <w:r w:rsidRPr="007D1790">
        <w:rPr>
          <w:rFonts w:ascii="Gill Sans MT" w:eastAsia="Times New Roman" w:hAnsi="Gill Sans MT" w:cs="Times New Roman"/>
          <w:i/>
          <w:iCs/>
          <w:lang w:eastAsia="en-GB"/>
        </w:rPr>
        <w:t>Blombos Cave engraved ochres</w:t>
      </w:r>
      <w:r w:rsidRPr="007D1790">
        <w:rPr>
          <w:rFonts w:ascii="Gill Sans MT" w:eastAsia="Times New Roman" w:hAnsi="Gill Sans MT" w:cs="Times New Roman"/>
          <w:lang w:eastAsia="en-GB"/>
        </w:rPr>
        <w:t>. Science Advances, 4(6), eaap8688. https://doi.org/10.1126/sciadv.aap8688</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Hodder, I.</w:t>
      </w:r>
      <w:r w:rsidRPr="007D1790">
        <w:rPr>
          <w:rFonts w:ascii="Gill Sans MT" w:eastAsia="Times New Roman" w:hAnsi="Gill Sans MT" w:cs="Times New Roman"/>
          <w:lang w:eastAsia="en-GB"/>
        </w:rPr>
        <w:t xml:space="preserve"> (2021). </w:t>
      </w:r>
      <w:r w:rsidRPr="007D1790">
        <w:rPr>
          <w:rFonts w:ascii="Gill Sans MT" w:eastAsia="Times New Roman" w:hAnsi="Gill Sans MT" w:cs="Times New Roman"/>
          <w:i/>
          <w:iCs/>
          <w:lang w:eastAsia="en-GB"/>
        </w:rPr>
        <w:t>Where Are We Heading? The Evolution of Humans and Things</w:t>
      </w:r>
      <w:r w:rsidRPr="007D1790">
        <w:rPr>
          <w:rFonts w:ascii="Gill Sans MT" w:eastAsia="Times New Roman" w:hAnsi="Gill Sans MT" w:cs="Times New Roman"/>
          <w:lang w:eastAsia="en-GB"/>
        </w:rPr>
        <w:t>. Yale University Press. ISBN 9780300250121.</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Malafouris, L.</w:t>
      </w:r>
      <w:r w:rsidRPr="007D1790">
        <w:rPr>
          <w:rFonts w:ascii="Gill Sans MT" w:eastAsia="Times New Roman" w:hAnsi="Gill Sans MT" w:cs="Times New Roman"/>
          <w:lang w:eastAsia="en-GB"/>
        </w:rPr>
        <w:t xml:space="preserve"> (2021). </w:t>
      </w:r>
      <w:r w:rsidRPr="007D1790">
        <w:rPr>
          <w:rFonts w:ascii="Gill Sans MT" w:eastAsia="Times New Roman" w:hAnsi="Gill Sans MT" w:cs="Times New Roman"/>
          <w:i/>
          <w:iCs/>
          <w:lang w:eastAsia="en-GB"/>
        </w:rPr>
        <w:t>How Things Shape the Mind</w:t>
      </w:r>
      <w:r w:rsidRPr="007D1790">
        <w:rPr>
          <w:rFonts w:ascii="Gill Sans MT" w:eastAsia="Times New Roman" w:hAnsi="Gill Sans MT" w:cs="Times New Roman"/>
          <w:lang w:eastAsia="en-GB"/>
        </w:rPr>
        <w:t>. MIT Press. ISBN 9780262045304.</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Pasquinelli, M.</w:t>
      </w:r>
      <w:r w:rsidRPr="007D1790">
        <w:rPr>
          <w:rFonts w:ascii="Gill Sans MT" w:eastAsia="Times New Roman" w:hAnsi="Gill Sans MT" w:cs="Times New Roman"/>
          <w:lang w:eastAsia="en-GB"/>
        </w:rPr>
        <w:t xml:space="preserve"> (2023). </w:t>
      </w:r>
      <w:r w:rsidRPr="007D1790">
        <w:rPr>
          <w:rFonts w:ascii="Gill Sans MT" w:eastAsia="Times New Roman" w:hAnsi="Gill Sans MT" w:cs="Times New Roman"/>
          <w:i/>
          <w:iCs/>
          <w:lang w:eastAsia="en-GB"/>
        </w:rPr>
        <w:t>The Eye of the Master</w:t>
      </w:r>
      <w:r w:rsidRPr="007D1790">
        <w:rPr>
          <w:rFonts w:ascii="Gill Sans MT" w:eastAsia="Times New Roman" w:hAnsi="Gill Sans MT" w:cs="Times New Roman"/>
          <w:lang w:eastAsia="en-GB"/>
        </w:rPr>
        <w:t>. Verso. ISBN 9781839764352.</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Russell, S., &amp; Norvig, P.</w:t>
      </w:r>
      <w:r w:rsidRPr="007D1790">
        <w:rPr>
          <w:rFonts w:ascii="Gill Sans MT" w:eastAsia="Times New Roman" w:hAnsi="Gill Sans MT" w:cs="Times New Roman"/>
          <w:lang w:eastAsia="en-GB"/>
        </w:rPr>
        <w:t xml:space="preserve"> (2022). </w:t>
      </w:r>
      <w:r w:rsidRPr="007D1790">
        <w:rPr>
          <w:rFonts w:ascii="Gill Sans MT" w:eastAsia="Times New Roman" w:hAnsi="Gill Sans MT" w:cs="Times New Roman"/>
          <w:i/>
          <w:iCs/>
          <w:lang w:eastAsia="en-GB"/>
        </w:rPr>
        <w:t>Artificial Intelligence: A Modern Approach</w:t>
      </w:r>
      <w:r w:rsidRPr="007D1790">
        <w:rPr>
          <w:rFonts w:ascii="Gill Sans MT" w:eastAsia="Times New Roman" w:hAnsi="Gill Sans MT" w:cs="Times New Roman"/>
          <w:lang w:eastAsia="en-GB"/>
        </w:rPr>
        <w:t>. 5th edition. Pearson. ISBN 9780134610993.</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Tegmark, M.</w:t>
      </w:r>
      <w:r w:rsidRPr="007D1790">
        <w:rPr>
          <w:rFonts w:ascii="Gill Sans MT" w:eastAsia="Times New Roman" w:hAnsi="Gill Sans MT" w:cs="Times New Roman"/>
          <w:lang w:eastAsia="en-GB"/>
        </w:rPr>
        <w:t xml:space="preserve"> (2023). </w:t>
      </w:r>
      <w:r w:rsidRPr="007D1790">
        <w:rPr>
          <w:rFonts w:ascii="Gill Sans MT" w:eastAsia="Times New Roman" w:hAnsi="Gill Sans MT" w:cs="Times New Roman"/>
          <w:i/>
          <w:iCs/>
          <w:lang w:eastAsia="en-GB"/>
        </w:rPr>
        <w:t>Life 3.0: Being Human in the Age of Artificial Intelligence</w:t>
      </w:r>
      <w:r w:rsidRPr="007D1790">
        <w:rPr>
          <w:rFonts w:ascii="Gill Sans MT" w:eastAsia="Times New Roman" w:hAnsi="Gill Sans MT" w:cs="Times New Roman"/>
          <w:lang w:eastAsia="en-GB"/>
        </w:rPr>
        <w:t>. Knopf. ISBN 9780525513715.</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Vondoom, A.</w:t>
      </w:r>
      <w:r w:rsidRPr="007D1790">
        <w:rPr>
          <w:rFonts w:ascii="Gill Sans MT" w:eastAsia="Times New Roman" w:hAnsi="Gill Sans MT" w:cs="Times New Roman"/>
          <w:lang w:eastAsia="en-GB"/>
        </w:rPr>
        <w:t xml:space="preserve"> (2025). </w:t>
      </w:r>
      <w:r w:rsidRPr="007D1790">
        <w:rPr>
          <w:rFonts w:ascii="Gill Sans MT" w:eastAsia="Times New Roman" w:hAnsi="Gill Sans MT" w:cs="Times New Roman"/>
          <w:i/>
          <w:iCs/>
          <w:lang w:eastAsia="en-GB"/>
        </w:rPr>
        <w:t>The Deep Symbolic Systems Model (DSSM)</w:t>
      </w:r>
      <w:r w:rsidRPr="007D1790">
        <w:rPr>
          <w:rFonts w:ascii="Gill Sans MT" w:eastAsia="Times New Roman" w:hAnsi="Gill Sans MT" w:cs="Times New Roman"/>
          <w:lang w:eastAsia="en-GB"/>
        </w:rPr>
        <w:t>. OSF Preprints. https://doi.org/10.17605/OSF.IO/MRZFU</w:t>
      </w:r>
    </w:p>
    <w:p w:rsidR="001950EB" w:rsidRPr="007D1790" w:rsidRDefault="001950EB" w:rsidP="001950EB">
      <w:pPr>
        <w:pStyle w:val="ListParagraph"/>
        <w:numPr>
          <w:ilvl w:val="0"/>
          <w:numId w:val="1"/>
        </w:numPr>
        <w:spacing w:before="100" w:beforeAutospacing="1" w:after="100" w:afterAutospacing="1"/>
        <w:rPr>
          <w:rFonts w:ascii="Gill Sans MT" w:eastAsia="Times New Roman" w:hAnsi="Gill Sans MT" w:cs="Times New Roman"/>
          <w:lang w:eastAsia="en-GB"/>
        </w:rPr>
      </w:pPr>
      <w:r w:rsidRPr="007D1790">
        <w:rPr>
          <w:rFonts w:ascii="Gill Sans MT" w:eastAsia="Times New Roman" w:hAnsi="Gill Sans MT" w:cs="Times New Roman"/>
          <w:b/>
          <w:bCs/>
          <w:lang w:eastAsia="en-GB"/>
        </w:rPr>
        <w:t xml:space="preserve">Vondoom, A. </w:t>
      </w:r>
      <w:r w:rsidRPr="007D1790">
        <w:rPr>
          <w:rFonts w:ascii="Gill Sans MT" w:eastAsia="Times New Roman" w:hAnsi="Gill Sans MT" w:cs="Times New Roman"/>
          <w:lang w:eastAsia="en-GB"/>
        </w:rPr>
        <w:t xml:space="preserve">(2026). </w:t>
      </w:r>
      <w:r w:rsidRPr="007D1790">
        <w:rPr>
          <w:rFonts w:ascii="Gill Sans MT" w:eastAsia="Times New Roman" w:hAnsi="Gill Sans MT" w:cs="Times New Roman"/>
          <w:i/>
          <w:iCs/>
          <w:lang w:eastAsia="en-GB"/>
        </w:rPr>
        <w:t>From Fossilized Ritual to Fossilized Power</w:t>
      </w:r>
      <w:r w:rsidRPr="007D1790">
        <w:rPr>
          <w:rFonts w:ascii="Gill Sans MT" w:eastAsia="Times New Roman" w:hAnsi="Gill Sans MT" w:cs="Times New Roman"/>
          <w:lang w:eastAsia="en-GB"/>
        </w:rPr>
        <w:t>. Figshare. https://doi.org/10.6084/m9.figshare.31081444</w:t>
      </w:r>
    </w:p>
    <w:p w:rsidR="001950EB" w:rsidRPr="007D1790" w:rsidRDefault="001950EB" w:rsidP="001950EB">
      <w:pPr>
        <w:rPr>
          <w:rFonts w:ascii="Gill Sans MT" w:eastAsia="Times New Roman" w:hAnsi="Gill Sans MT" w:cs="Times New Roman"/>
          <w:lang w:eastAsia="en-GB"/>
        </w:rPr>
      </w:pPr>
    </w:p>
    <w:p w:rsidR="005476B5" w:rsidRPr="007D1790" w:rsidRDefault="005476B5">
      <w:pPr>
        <w:rPr>
          <w:rFonts w:ascii="Gill Sans MT" w:hAnsi="Gill Sans MT"/>
        </w:rPr>
      </w:pPr>
    </w:p>
    <w:sectPr w:rsidR="005476B5" w:rsidRPr="007D1790" w:rsidSect="001950EB">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942" w:rsidRDefault="00664942" w:rsidP="007D1790">
      <w:r>
        <w:separator/>
      </w:r>
    </w:p>
  </w:endnote>
  <w:endnote w:type="continuationSeparator" w:id="0">
    <w:p w:rsidR="00664942" w:rsidRDefault="00664942" w:rsidP="007D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5069956"/>
      <w:docPartObj>
        <w:docPartGallery w:val="Page Numbers (Bottom of Page)"/>
        <w:docPartUnique/>
      </w:docPartObj>
    </w:sdtPr>
    <w:sdtContent>
      <w:p w:rsidR="007D1790" w:rsidRDefault="007D1790" w:rsidP="00F21B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D1790" w:rsidRDefault="007D1790" w:rsidP="007D17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21153"/>
      <w:docPartObj>
        <w:docPartGallery w:val="Page Numbers (Bottom of Page)"/>
        <w:docPartUnique/>
      </w:docPartObj>
    </w:sdtPr>
    <w:sdtContent>
      <w:p w:rsidR="007D1790" w:rsidRDefault="007D1790" w:rsidP="00F21B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D1790" w:rsidRDefault="007D1790" w:rsidP="007D17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942" w:rsidRDefault="00664942" w:rsidP="007D1790">
      <w:r>
        <w:separator/>
      </w:r>
    </w:p>
  </w:footnote>
  <w:footnote w:type="continuationSeparator" w:id="0">
    <w:p w:rsidR="00664942" w:rsidRDefault="00664942" w:rsidP="007D1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C5A9E"/>
    <w:multiLevelType w:val="multilevel"/>
    <w:tmpl w:val="47E6CC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56292C9B"/>
    <w:multiLevelType w:val="hybridMultilevel"/>
    <w:tmpl w:val="EA06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82E68"/>
    <w:multiLevelType w:val="hybridMultilevel"/>
    <w:tmpl w:val="FE42D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6435599">
    <w:abstractNumId w:val="1"/>
  </w:num>
  <w:num w:numId="2" w16cid:durableId="1160779636">
    <w:abstractNumId w:val="0"/>
  </w:num>
  <w:num w:numId="3" w16cid:durableId="140352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B"/>
    <w:rsid w:val="001950EB"/>
    <w:rsid w:val="005476B5"/>
    <w:rsid w:val="00571BC0"/>
    <w:rsid w:val="00664942"/>
    <w:rsid w:val="007D1790"/>
    <w:rsid w:val="00917F4D"/>
    <w:rsid w:val="00934E18"/>
    <w:rsid w:val="009B6258"/>
    <w:rsid w:val="00B7120A"/>
    <w:rsid w:val="00EF740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641B"/>
  <w15:chartTrackingRefBased/>
  <w15:docId w15:val="{AC57BCA6-6CF6-9748-B9ED-D7765972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950EB"/>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1950EB"/>
  </w:style>
  <w:style w:type="paragraph" w:customStyle="1" w:styleId="p3">
    <w:name w:val="p3"/>
    <w:basedOn w:val="Normal"/>
    <w:rsid w:val="001950EB"/>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1950EB"/>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1950EB"/>
  </w:style>
  <w:style w:type="paragraph" w:styleId="ListParagraph">
    <w:name w:val="List Paragraph"/>
    <w:basedOn w:val="Normal"/>
    <w:uiPriority w:val="34"/>
    <w:qFormat/>
    <w:rsid w:val="001950EB"/>
    <w:pPr>
      <w:ind w:left="720"/>
      <w:contextualSpacing/>
    </w:pPr>
  </w:style>
  <w:style w:type="character" w:styleId="Hyperlink">
    <w:name w:val="Hyperlink"/>
    <w:basedOn w:val="DefaultParagraphFont"/>
    <w:uiPriority w:val="99"/>
    <w:unhideWhenUsed/>
    <w:rsid w:val="007D1790"/>
    <w:rPr>
      <w:color w:val="0563C1" w:themeColor="hyperlink"/>
      <w:u w:val="single"/>
    </w:rPr>
  </w:style>
  <w:style w:type="character" w:styleId="UnresolvedMention">
    <w:name w:val="Unresolved Mention"/>
    <w:basedOn w:val="DefaultParagraphFont"/>
    <w:uiPriority w:val="99"/>
    <w:semiHidden/>
    <w:unhideWhenUsed/>
    <w:rsid w:val="007D1790"/>
    <w:rPr>
      <w:color w:val="605E5C"/>
      <w:shd w:val="clear" w:color="auto" w:fill="E1DFDD"/>
    </w:rPr>
  </w:style>
  <w:style w:type="paragraph" w:styleId="Footer">
    <w:name w:val="footer"/>
    <w:basedOn w:val="Normal"/>
    <w:link w:val="FooterChar"/>
    <w:uiPriority w:val="99"/>
    <w:unhideWhenUsed/>
    <w:rsid w:val="007D1790"/>
    <w:pPr>
      <w:tabs>
        <w:tab w:val="center" w:pos="4513"/>
        <w:tab w:val="right" w:pos="9026"/>
      </w:tabs>
    </w:pPr>
  </w:style>
  <w:style w:type="character" w:customStyle="1" w:styleId="FooterChar">
    <w:name w:val="Footer Char"/>
    <w:basedOn w:val="DefaultParagraphFont"/>
    <w:link w:val="Footer"/>
    <w:uiPriority w:val="99"/>
    <w:rsid w:val="007D1790"/>
  </w:style>
  <w:style w:type="character" w:styleId="PageNumber">
    <w:name w:val="page number"/>
    <w:basedOn w:val="DefaultParagraphFont"/>
    <w:uiPriority w:val="99"/>
    <w:semiHidden/>
    <w:unhideWhenUsed/>
    <w:rsid w:val="007D1790"/>
  </w:style>
  <w:style w:type="character" w:styleId="FollowedHyperlink">
    <w:name w:val="FollowedHyperlink"/>
    <w:basedOn w:val="DefaultParagraphFont"/>
    <w:uiPriority w:val="99"/>
    <w:semiHidden/>
    <w:unhideWhenUsed/>
    <w:rsid w:val="00571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18156">
      <w:bodyDiv w:val="1"/>
      <w:marLeft w:val="0"/>
      <w:marRight w:val="0"/>
      <w:marTop w:val="0"/>
      <w:marBottom w:val="0"/>
      <w:divBdr>
        <w:top w:val="none" w:sz="0" w:space="0" w:color="auto"/>
        <w:left w:val="none" w:sz="0" w:space="0" w:color="auto"/>
        <w:bottom w:val="none" w:sz="0" w:space="0" w:color="auto"/>
        <w:right w:val="none" w:sz="0" w:space="0" w:color="auto"/>
      </w:divBdr>
    </w:div>
    <w:div w:id="20650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2026-02-08T23:10:00Z</dcterms:created>
  <dcterms:modified xsi:type="dcterms:W3CDTF">2026-02-11T09:40:00Z</dcterms:modified>
</cp:coreProperties>
</file>