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9F3B7" w14:textId="6BB29D82" w:rsidR="00D25C59" w:rsidRPr="00D25C59" w:rsidRDefault="00D25C59" w:rsidP="00D25C59">
      <w:pPr>
        <w:rPr>
          <w:rFonts w:ascii="Gill Sans MT" w:eastAsia="Times New Roman" w:hAnsi="Gill Sans MT" w:cs="Times New Roman"/>
          <w:lang w:eastAsia="en-GB"/>
        </w:rPr>
      </w:pPr>
    </w:p>
    <w:p w14:paraId="056E7E51" w14:textId="7AF0AD1F" w:rsidR="00D25C59" w:rsidRPr="00D25C59" w:rsidRDefault="00D25C59" w:rsidP="00D25C59">
      <w:pPr>
        <w:spacing w:before="100" w:beforeAutospacing="1" w:after="100" w:afterAutospacing="1"/>
        <w:jc w:val="center"/>
        <w:outlineLvl w:val="0"/>
        <w:rPr>
          <w:rFonts w:ascii="Gill Sans MT" w:eastAsia="Times New Roman" w:hAnsi="Gill Sans MT" w:cs="Times New Roman"/>
          <w:b/>
          <w:bCs/>
          <w:kern w:val="36"/>
          <w:sz w:val="48"/>
          <w:szCs w:val="48"/>
          <w:lang w:eastAsia="en-GB"/>
        </w:rPr>
      </w:pPr>
      <w:r w:rsidRPr="00D25C59">
        <w:rPr>
          <w:rFonts w:ascii="Gill Sans MT" w:eastAsia="Times New Roman" w:hAnsi="Gill Sans MT" w:cs="Times New Roman"/>
          <w:b/>
          <w:bCs/>
          <w:kern w:val="36"/>
          <w:sz w:val="48"/>
          <w:szCs w:val="48"/>
          <w:lang w:eastAsia="en-GB"/>
        </w:rPr>
        <w:t>Vinča Symbols, Distributed Symbolic Stabilization, and the Contingent Emergence of Writing</w:t>
      </w:r>
    </w:p>
    <w:p w14:paraId="291C7F84" w14:textId="77777777" w:rsidR="00D25C59" w:rsidRPr="00D25C59" w:rsidRDefault="00D25C59" w:rsidP="00D25C59">
      <w:pPr>
        <w:spacing w:before="100" w:beforeAutospacing="1" w:after="100" w:afterAutospacing="1"/>
        <w:jc w:val="center"/>
        <w:rPr>
          <w:rFonts w:ascii="Gill Sans MT" w:eastAsia="Times New Roman" w:hAnsi="Gill Sans MT" w:cs="Times New Roman"/>
          <w:i/>
          <w:iCs/>
          <w:lang w:eastAsia="en-GB"/>
        </w:rPr>
      </w:pPr>
      <w:r w:rsidRPr="00D25C59">
        <w:rPr>
          <w:rFonts w:ascii="Gill Sans MT" w:eastAsia="Times New Roman" w:hAnsi="Gill Sans MT" w:cs="Times New Roman"/>
          <w:i/>
          <w:iCs/>
          <w:lang w:eastAsia="en-GB"/>
        </w:rPr>
        <w:t>A DSSM-Based Reassessment Across Europe, the Near East, and the Indus Valley</w:t>
      </w:r>
    </w:p>
    <w:p w14:paraId="4554AF5D"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2D802C38"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4318DD0B"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0588EDEE"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6EE5C602"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562EA1DD"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06EDFD31"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5574B922"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6782CBAD"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081F9559"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3002FF02"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09507233"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3A66DFEE"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5D6DAA01"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08E7E2D6" w14:textId="77777777" w:rsidR="00D25C59" w:rsidRDefault="00D25C59" w:rsidP="00D25C59">
      <w:pPr>
        <w:spacing w:before="100" w:beforeAutospacing="1" w:after="100" w:afterAutospacing="1"/>
        <w:rPr>
          <w:rFonts w:ascii="Gill Sans MT" w:eastAsia="Times New Roman" w:hAnsi="Gill Sans MT" w:cs="Times New Roman"/>
          <w:lang w:eastAsia="en-GB"/>
        </w:rPr>
      </w:pPr>
    </w:p>
    <w:p w14:paraId="696566E3" w14:textId="77777777" w:rsidR="00C40476" w:rsidRDefault="00C40476" w:rsidP="00D25C59">
      <w:pPr>
        <w:spacing w:before="100" w:beforeAutospacing="1" w:after="100" w:afterAutospacing="1"/>
        <w:rPr>
          <w:rFonts w:ascii="Gill Sans MT" w:eastAsia="Times New Roman" w:hAnsi="Gill Sans MT" w:cs="Times New Roman"/>
          <w:lang w:eastAsia="en-GB"/>
        </w:rPr>
      </w:pPr>
    </w:p>
    <w:p w14:paraId="1DEC6AAD" w14:textId="77777777" w:rsidR="00C40476" w:rsidRDefault="00C40476" w:rsidP="00D25C59">
      <w:pPr>
        <w:spacing w:before="100" w:beforeAutospacing="1" w:after="100" w:afterAutospacing="1"/>
        <w:rPr>
          <w:rFonts w:ascii="Gill Sans MT" w:eastAsia="Times New Roman" w:hAnsi="Gill Sans MT" w:cs="Times New Roman"/>
          <w:lang w:eastAsia="en-GB"/>
        </w:rPr>
      </w:pPr>
    </w:p>
    <w:p w14:paraId="778179CB" w14:textId="77777777" w:rsidR="00D25C59" w:rsidRPr="00D25C59" w:rsidRDefault="00D25C59" w:rsidP="00D25C59">
      <w:pPr>
        <w:spacing w:before="100" w:beforeAutospacing="1" w:after="100" w:afterAutospacing="1"/>
        <w:rPr>
          <w:rFonts w:ascii="Gill Sans MT" w:eastAsia="Times New Roman" w:hAnsi="Gill Sans MT" w:cs="Times New Roman"/>
          <w:lang w:eastAsia="en-GB"/>
        </w:rPr>
      </w:pPr>
    </w:p>
    <w:p w14:paraId="5CD85667" w14:textId="77777777" w:rsidR="00D25C59" w:rsidRPr="00D25C59" w:rsidRDefault="00D25C59" w:rsidP="00D25C59">
      <w:p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Anthony Vondoom</w:t>
      </w:r>
    </w:p>
    <w:p w14:paraId="72A31192" w14:textId="7A2CA970" w:rsidR="00D25C59" w:rsidRPr="00C40476" w:rsidRDefault="00D25C59" w:rsidP="00D25C59">
      <w:pPr>
        <w:spacing w:before="100" w:beforeAutospacing="1" w:after="100" w:afterAutospacing="1"/>
        <w:rPr>
          <w:rFonts w:ascii="Gill Sans MT" w:eastAsia="Times New Roman" w:hAnsi="Gill Sans MT" w:cs="Times New Roman"/>
          <w:lang w:val="en-US" w:eastAsia="en-GB"/>
        </w:rPr>
      </w:pPr>
      <w:r w:rsidRPr="00D25C59">
        <w:rPr>
          <w:rFonts w:ascii="Gill Sans MT" w:eastAsia="Times New Roman" w:hAnsi="Gill Sans MT" w:cs="Times New Roman"/>
          <w:lang w:eastAsia="en-GB"/>
        </w:rPr>
        <w:t>February 3, 2026</w:t>
      </w:r>
      <w:r w:rsidR="00C40476" w:rsidRPr="00C40476">
        <w:rPr>
          <w:rFonts w:ascii="Gill Sans MT" w:eastAsia="Times New Roman" w:hAnsi="Gill Sans MT" w:cs="Times New Roman"/>
          <w:lang w:val="en-US" w:eastAsia="en-GB"/>
        </w:rPr>
        <w:t xml:space="preserve">  </w:t>
      </w:r>
      <w:proofErr w:type="spellStart"/>
      <w:r w:rsidR="00C40476" w:rsidRPr="00C40476">
        <w:rPr>
          <w:rFonts w:ascii="Gill Sans MT" w:eastAsia="Times New Roman" w:hAnsi="Gill Sans MT" w:cs="Times New Roman"/>
          <w:lang w:val="en-US" w:eastAsia="en-GB"/>
        </w:rPr>
        <w:t>a</w:t>
      </w:r>
      <w:proofErr w:type="spellEnd"/>
      <w:r w:rsidR="00C40476">
        <w:rPr>
          <w:rFonts w:ascii="Gill Sans MT" w:eastAsia="Times New Roman" w:hAnsi="Gill Sans MT" w:cs="Times New Roman"/>
          <w:lang w:val="en-US" w:eastAsia="en-GB"/>
        </w:rPr>
        <w:t xml:space="preserve"> </w:t>
      </w:r>
      <w:r w:rsidR="00C40476" w:rsidRPr="00C40476">
        <w:rPr>
          <w:rFonts w:ascii="Gill Sans MT" w:eastAsia="Times New Roman" w:hAnsi="Gill Sans MT" w:cs="Times New Roman"/>
          <w:lang w:val="en-US" w:eastAsia="en-GB"/>
        </w:rPr>
        <w:t>CE</w:t>
      </w:r>
      <w:r w:rsidR="00C40476">
        <w:rPr>
          <w:rFonts w:ascii="Gill Sans MT" w:eastAsia="Times New Roman" w:hAnsi="Gill Sans MT" w:cs="Times New Roman"/>
          <w:lang w:val="en-US" w:eastAsia="en-GB"/>
        </w:rPr>
        <w:t>RN</w:t>
      </w:r>
      <w:r w:rsidRPr="00D25C59">
        <w:rPr>
          <w:rFonts w:ascii="Gill Sans MT" w:eastAsia="Times New Roman" w:hAnsi="Gill Sans MT" w:cs="Times New Roman"/>
          <w:lang w:eastAsia="en-GB"/>
        </w:rPr>
        <w:t xml:space="preserve"> Preprint</w:t>
      </w:r>
      <w:r w:rsidR="00C40476" w:rsidRPr="00C40476">
        <w:rPr>
          <w:rFonts w:ascii="Gill Sans MT" w:eastAsia="Times New Roman" w:hAnsi="Gill Sans MT" w:cs="Times New Roman"/>
          <w:lang w:val="en-US" w:eastAsia="en-GB"/>
        </w:rPr>
        <w:t xml:space="preserve"> </w:t>
      </w:r>
      <w:hyperlink r:id="rId7" w:history="1">
        <w:r w:rsidR="00C40476" w:rsidRPr="00C40476">
          <w:rPr>
            <w:rStyle w:val="Hyperlink"/>
            <w:rFonts w:ascii="Gill Sans MT" w:eastAsia="Times New Roman" w:hAnsi="Gill Sans MT" w:cs="Times New Roman"/>
            <w:lang w:val="en-US" w:eastAsia="en-GB"/>
          </w:rPr>
          <w:t>https://doi.org/</w:t>
        </w:r>
        <w:r w:rsidR="00C40476" w:rsidRPr="00C40476">
          <w:rPr>
            <w:rStyle w:val="Hyperlink"/>
            <w:rFonts w:ascii="Gill Sans MT" w:hAnsi="Gill Sans MT"/>
            <w:sz w:val="20"/>
            <w:szCs w:val="20"/>
            <w:shd w:val="clear" w:color="auto" w:fill="FFFFFF"/>
          </w:rPr>
          <w:t>10.5281/zenodo.18479570</w:t>
        </w:r>
      </w:hyperlink>
    </w:p>
    <w:p w14:paraId="294D4099" w14:textId="0F10DDDE" w:rsidR="00C40476" w:rsidRDefault="00D25C59" w:rsidP="00C40476">
      <w:pPr>
        <w:spacing w:before="100" w:beforeAutospacing="1" w:after="100" w:afterAutospacing="1"/>
        <w:rPr>
          <w:rStyle w:val="Hyperlink"/>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This paper builds on the foundational Deep Symbolic Systems Model (DSSM) by Vondoom, A. 2025, OSF: </w:t>
      </w:r>
      <w:hyperlink r:id="rId8" w:history="1">
        <w:r w:rsidR="00C40476" w:rsidRPr="00F21B8D">
          <w:rPr>
            <w:rStyle w:val="Hyperlink"/>
            <w:rFonts w:ascii="Gill Sans MT" w:eastAsia="Times New Roman" w:hAnsi="Gill Sans MT" w:cs="Times New Roman"/>
            <w:lang w:eastAsia="en-GB"/>
          </w:rPr>
          <w:t>https://doi.org/10.17605/OSF.IO/YW5GM</w:t>
        </w:r>
      </w:hyperlink>
    </w:p>
    <w:p w14:paraId="2DE510D0" w14:textId="77198697" w:rsidR="00D25C59" w:rsidRPr="00C40476" w:rsidRDefault="00D25C59" w:rsidP="00C40476">
      <w:pPr>
        <w:spacing w:before="100" w:beforeAutospacing="1" w:after="100" w:afterAutospacing="1"/>
        <w:rPr>
          <w:rFonts w:ascii="Gill Sans MT" w:eastAsia="Times New Roman" w:hAnsi="Gill Sans MT" w:cs="Times New Roman"/>
          <w:color w:val="0563C1" w:themeColor="hyperlink"/>
          <w:u w:val="single"/>
          <w:lang w:eastAsia="en-GB"/>
        </w:rPr>
      </w:pPr>
      <w:r w:rsidRPr="00D25C59">
        <w:rPr>
          <w:rFonts w:ascii="Gill Sans MT" w:eastAsia="Times New Roman" w:hAnsi="Gill Sans MT" w:cs="Times New Roman"/>
          <w:b/>
          <w:bCs/>
          <w:sz w:val="36"/>
          <w:szCs w:val="36"/>
          <w:lang w:eastAsia="en-GB"/>
        </w:rPr>
        <w:lastRenderedPageBreak/>
        <w:t>Abstract</w:t>
      </w:r>
    </w:p>
    <w:p w14:paraId="17B2AB67" w14:textId="5B11DEF9" w:rsidR="00D25C59" w:rsidRPr="00D25C59" w:rsidRDefault="00D25C59" w:rsidP="00D25C59">
      <w:pPr>
        <w:spacing w:before="100" w:beforeAutospacing="1" w:after="100" w:afterAutospacing="1"/>
        <w:ind w:left="720" w:firstLine="720"/>
        <w:rPr>
          <w:rFonts w:ascii="Gill Sans MT" w:eastAsia="Times New Roman" w:hAnsi="Gill Sans MT" w:cs="Times New Roman"/>
          <w:lang w:eastAsia="en-GB"/>
        </w:rPr>
      </w:pPr>
      <w:r w:rsidRPr="00D25C59">
        <w:rPr>
          <w:rFonts w:ascii="Gill Sans MT" w:eastAsia="Times New Roman" w:hAnsi="Gill Sans MT" w:cs="Times New Roman"/>
          <w:lang w:eastAsia="en-GB"/>
        </w:rPr>
        <w:t>The Vinča symbol corpus (c. 5700–4500 BCE) occupies an ambiguous position in studies of early symbolic behavior, alternately framed as proto-writing, ritual ornamentation, or evolutionary dead ends. This paper reframes the question: not whether Vinča symbols became writing, but under what structural conditions symbolic systems require writing. Using the Deep Symbolic Systems Model (DSSM), symbols are treated as externalized cognitive infrastructures whose trajectories depend on saturation, redundancy, and enforcement mechanisms rather than linguistic potential alone.</w:t>
      </w:r>
    </w:p>
    <w:p w14:paraId="3E225003" w14:textId="57A3DD1C"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Integrating DSSM-based analyses of Indus Valley mercantile symbolic stabilization (Vondoom 2026), this paper evaluates Vinča symbols within a comparative Eurasian framework spanning Mesopotamia, Egypt, and South Asia. Vinča symbols emerge as portable, pre-linguistic symbolic technologies whose outcomes were contingent on host-region symbolic saturation. In moderately saturated systems (Mesopotamia, Egypt), symbolic load exceeded the capacity of material redundancy, prompting proto-writing. In already saturated systems (Indus/Mehrgarh), similar symbols were absorbed into distributed mercantile stabilization regimes, obviating writing.</w:t>
      </w:r>
    </w:p>
    <w:p w14:paraId="45646638" w14:textId="777777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Writing is thus a contingent compression strategy, not an evolutionary endpoint, activated only under specific administrative and symbolic pressures.</w:t>
      </w:r>
    </w:p>
    <w:p w14:paraId="37B25819" w14:textId="77777777" w:rsidR="00D25C59" w:rsidRPr="00D25C59" w:rsidRDefault="00D25C59" w:rsidP="00D25C59">
      <w:pPr>
        <w:spacing w:before="100" w:beforeAutospacing="1" w:after="100" w:afterAutospacing="1"/>
        <w:rPr>
          <w:rFonts w:ascii="Gill Sans MT" w:eastAsia="Times New Roman" w:hAnsi="Gill Sans MT" w:cs="Times New Roman"/>
          <w:lang w:eastAsia="en-GB"/>
        </w:rPr>
      </w:pPr>
    </w:p>
    <w:p w14:paraId="4FEA842F" w14:textId="77777777" w:rsidR="00D25C59" w:rsidRPr="00D25C59" w:rsidRDefault="00D25C59" w:rsidP="00D25C59">
      <w:p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Keywords:</w:t>
      </w:r>
      <w:r w:rsidRPr="00D25C59">
        <w:rPr>
          <w:rFonts w:ascii="Gill Sans MT" w:eastAsia="Times New Roman" w:hAnsi="Gill Sans MT" w:cs="Times New Roman"/>
          <w:lang w:eastAsia="en-GB"/>
        </w:rPr>
        <w:t xml:space="preserve"> Vinča symbols; Deep Symbolic Systems Model (DSSM); Proto-writing and its limits; Symbolic saturation; Indus Valley Civilization; Distributed symbolic stabilization</w:t>
      </w:r>
    </w:p>
    <w:p w14:paraId="72DDD564" w14:textId="3D2A5CFA" w:rsidR="00D25C59" w:rsidRPr="00D25C59" w:rsidRDefault="00D25C59" w:rsidP="00D25C59">
      <w:pPr>
        <w:rPr>
          <w:rFonts w:ascii="Gill Sans MT" w:eastAsia="Times New Roman" w:hAnsi="Gill Sans MT" w:cs="Times New Roman"/>
          <w:lang w:eastAsia="en-GB"/>
        </w:rPr>
      </w:pPr>
    </w:p>
    <w:p w14:paraId="30F9C5D4"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6D1670BD"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62BBE941"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67513D06"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15E5506A"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5F756A3A"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5EC5A33C"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22429534"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39629E76"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3D5C398A" w14:textId="77777777" w:rsidR="00C40476" w:rsidRDefault="00C40476"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435040C2" w14:textId="3D8F4BD0" w:rsidR="00D25C59" w:rsidRP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lastRenderedPageBreak/>
        <w:t>1. The Problem: Why Do Some Symbolic Systems Become Writing While Others Do Not?</w:t>
      </w:r>
    </w:p>
    <w:p w14:paraId="62B76B48" w14:textId="1D3DC2CE"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Traditional archaeological discourse frames writing as an inevitable product of symbolic complexity, administrative need, or urban scale. Yet anomalies persist: Vinča symbols exhibit repetition and standardization without textual expansion, while the Indus Valley Civilization coordinated large-scale urban economies without phonetic or logographic writing (Kenoyer 2025; Vondoom 2026).</w:t>
      </w:r>
    </w:p>
    <w:p w14:paraId="7345494C" w14:textId="1765F441" w:rsid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The central question is why comparable symbolic systems diverged so sharply. DSSM identifies the decisive variable not as linguistic potential, population size, or “civilizational advancement,” but as </w:t>
      </w:r>
      <w:r w:rsidRPr="00D25C59">
        <w:rPr>
          <w:rFonts w:ascii="Gill Sans MT" w:eastAsia="Times New Roman" w:hAnsi="Gill Sans MT" w:cs="Times New Roman"/>
          <w:b/>
          <w:bCs/>
          <w:lang w:eastAsia="en-GB"/>
        </w:rPr>
        <w:t>symbolic saturation</w:t>
      </w:r>
      <w:r w:rsidRPr="00D25C59">
        <w:rPr>
          <w:rFonts w:ascii="Gill Sans MT" w:eastAsia="Times New Roman" w:hAnsi="Gill Sans MT" w:cs="Times New Roman"/>
          <w:lang w:eastAsia="en-GB"/>
        </w:rPr>
        <w:t>—the degree to which a society possesses stabilized, redundant, and enforceable symbolic infrastructures.</w:t>
      </w:r>
    </w:p>
    <w:p w14:paraId="787E35E5" w14:textId="777777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p>
    <w:p w14:paraId="1BF62F3F" w14:textId="4B255BF3" w:rsidR="00D25C59" w:rsidRP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t>2. Theoretical Framework: DSSM and Symbolic Saturation</w:t>
      </w:r>
    </w:p>
    <w:p w14:paraId="4E7F5183" w14:textId="777777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DSSM conceptualizes symbolic systems as </w:t>
      </w:r>
      <w:r w:rsidRPr="00D25C59">
        <w:rPr>
          <w:rFonts w:ascii="Gill Sans MT" w:eastAsia="Times New Roman" w:hAnsi="Gill Sans MT" w:cs="Times New Roman"/>
          <w:b/>
          <w:bCs/>
          <w:lang w:eastAsia="en-GB"/>
        </w:rPr>
        <w:t>externalized cognitive scaffolds</w:t>
      </w:r>
      <w:r w:rsidRPr="00D25C59">
        <w:rPr>
          <w:rFonts w:ascii="Gill Sans MT" w:eastAsia="Times New Roman" w:hAnsi="Gill Sans MT" w:cs="Times New Roman"/>
          <w:lang w:eastAsia="en-GB"/>
        </w:rPr>
        <w:t>, maintained through repetition, cross-media redundancy, spatial constraints, and resilience under stress (Vondoom 2025a; Donald 2025). Symbolic stabilization occurs when these features allow meaning to persist independently of individual cognition or explicit instruction.</w:t>
      </w:r>
    </w:p>
    <w:p w14:paraId="0566EF53" w14:textId="777777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p>
    <w:p w14:paraId="3E9A4F2F" w14:textId="37C84FEE"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Writing is emergent, not primary. It arises when cumulative symbolic load exceeds the stabilizing capacity of existing media—typically due to administrative heterogeneity, loss of redundancy, or enforcement breakdown (Vondoom 2026; Malafouris 2025).</w:t>
      </w:r>
    </w:p>
    <w:p w14:paraId="6769B873" w14:textId="7E73253C" w:rsidR="00D25C59" w:rsidRPr="00D25C59" w:rsidRDefault="00D25C59" w:rsidP="00D25C59">
      <w:pPr>
        <w:spacing w:before="100" w:beforeAutospacing="1" w:after="100" w:afterAutospacing="1"/>
        <w:outlineLvl w:val="2"/>
        <w:rPr>
          <w:rFonts w:ascii="Gill Sans MT" w:eastAsia="Times New Roman" w:hAnsi="Gill Sans MT" w:cs="Times New Roman"/>
          <w:b/>
          <w:bCs/>
          <w:i/>
          <w:iCs/>
          <w:sz w:val="27"/>
          <w:szCs w:val="27"/>
          <w:lang w:eastAsia="en-GB"/>
        </w:rPr>
      </w:pPr>
      <w:r w:rsidRPr="00D25C59">
        <w:rPr>
          <w:rFonts w:ascii="Gill Sans MT" w:eastAsia="Times New Roman" w:hAnsi="Gill Sans MT" w:cs="Times New Roman"/>
          <w:b/>
          <w:bCs/>
          <w:i/>
          <w:iCs/>
          <w:sz w:val="27"/>
          <w:szCs w:val="27"/>
          <w:lang w:eastAsia="en-GB"/>
        </w:rPr>
        <w:t>2.1 Operationalizing Symbolic Saturation</w:t>
      </w:r>
    </w:p>
    <w:p w14:paraId="5DD5F63B" w14:textId="777777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Symbolic saturation is quantified along three dimensions:</w:t>
      </w:r>
    </w:p>
    <w:p w14:paraId="74542932" w14:textId="77777777" w:rsidR="00D25C59" w:rsidRPr="00D25C59" w:rsidRDefault="00D25C59" w:rsidP="00D25C59">
      <w:pPr>
        <w:numPr>
          <w:ilvl w:val="0"/>
          <w:numId w:val="6"/>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b/>
          <w:bCs/>
          <w:lang w:eastAsia="en-GB"/>
        </w:rPr>
        <w:t>Cross-media redundancy:</w:t>
      </w:r>
      <w:r w:rsidRPr="00D25C59">
        <w:rPr>
          <w:rFonts w:ascii="Gill Sans MT" w:eastAsia="Times New Roman" w:hAnsi="Gill Sans MT" w:cs="Times New Roman"/>
          <w:lang w:eastAsia="en-GB"/>
        </w:rPr>
        <w:t xml:space="preserve"> the extent to which identical symbols appear across multiple media (clay, seal, pottery, architectural markers). Threshold: &gt;60% replication indicates high redundancy.</w:t>
      </w:r>
    </w:p>
    <w:p w14:paraId="5BBD555A" w14:textId="77777777" w:rsidR="00D25C59" w:rsidRPr="00D25C59" w:rsidRDefault="00D25C59" w:rsidP="00D25C59">
      <w:pPr>
        <w:numPr>
          <w:ilvl w:val="0"/>
          <w:numId w:val="6"/>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b/>
          <w:bCs/>
          <w:lang w:eastAsia="en-GB"/>
        </w:rPr>
        <w:t>Sequence variability:</w:t>
      </w:r>
      <w:r w:rsidRPr="00D25C59">
        <w:rPr>
          <w:rFonts w:ascii="Gill Sans MT" w:eastAsia="Times New Roman" w:hAnsi="Gill Sans MT" w:cs="Times New Roman"/>
          <w:lang w:eastAsia="en-GB"/>
        </w:rPr>
        <w:t xml:space="preserve"> measured as symbol combinatorial entropy. Low entropy (&lt;0.2 bits/sign) signals stability and limited narrative capacity.</w:t>
      </w:r>
    </w:p>
    <w:p w14:paraId="1B969E21" w14:textId="22805F47" w:rsidR="00D25C59" w:rsidRPr="00D25C59" w:rsidRDefault="00D25C59" w:rsidP="00D25C59">
      <w:pPr>
        <w:numPr>
          <w:ilvl w:val="0"/>
          <w:numId w:val="6"/>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b/>
          <w:bCs/>
          <w:lang w:eastAsia="en-GB"/>
        </w:rPr>
        <w:t>Enforcement spread:</w:t>
      </w:r>
      <w:r w:rsidRPr="00D25C59">
        <w:rPr>
          <w:rFonts w:ascii="Gill Sans MT" w:eastAsia="Times New Roman" w:hAnsi="Gill Sans MT" w:cs="Times New Roman"/>
          <w:lang w:eastAsia="en-GB"/>
        </w:rPr>
        <w:t xml:space="preserve"> the number of independent nodes maintaining symbolic standards (ritual centers, trade hubs, administrative offices). Saturation is high when ≥5 distributed nodes enforce standardized symbols.</w:t>
      </w:r>
    </w:p>
    <w:p w14:paraId="01C60A2A" w14:textId="77777777" w:rsid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This operationalization allows cross-cultural comparison and ensures reproducibility of DSSM analyses.</w:t>
      </w:r>
    </w:p>
    <w:p w14:paraId="513544C6" w14:textId="77777777" w:rsidR="00D25C59" w:rsidRDefault="00D25C59" w:rsidP="00D25C59">
      <w:pPr>
        <w:spacing w:before="100" w:beforeAutospacing="1" w:after="100" w:afterAutospacing="1"/>
        <w:rPr>
          <w:rFonts w:ascii="Gill Sans MT" w:eastAsia="Times New Roman" w:hAnsi="Gill Sans MT" w:cs="Times New Roman"/>
          <w:b/>
          <w:bCs/>
          <w:sz w:val="36"/>
          <w:szCs w:val="36"/>
          <w:lang w:eastAsia="en-GB"/>
        </w:rPr>
      </w:pPr>
    </w:p>
    <w:p w14:paraId="1AC2F35B" w14:textId="77777777" w:rsidR="00D25C59" w:rsidRDefault="00D25C59" w:rsidP="00D25C59">
      <w:pPr>
        <w:spacing w:before="100" w:beforeAutospacing="1" w:after="100" w:afterAutospacing="1"/>
        <w:rPr>
          <w:rFonts w:ascii="Gill Sans MT" w:eastAsia="Times New Roman" w:hAnsi="Gill Sans MT" w:cs="Times New Roman"/>
          <w:b/>
          <w:bCs/>
          <w:sz w:val="36"/>
          <w:szCs w:val="36"/>
          <w:lang w:eastAsia="en-GB"/>
        </w:rPr>
      </w:pPr>
    </w:p>
    <w:p w14:paraId="1956094C" w14:textId="77777777" w:rsidR="00D25C59" w:rsidRDefault="00D25C59" w:rsidP="00D25C59">
      <w:pPr>
        <w:spacing w:before="100" w:beforeAutospacing="1" w:after="100" w:afterAutospacing="1"/>
        <w:rPr>
          <w:rFonts w:ascii="Gill Sans MT" w:eastAsia="Times New Roman" w:hAnsi="Gill Sans MT" w:cs="Times New Roman"/>
          <w:b/>
          <w:bCs/>
          <w:sz w:val="36"/>
          <w:szCs w:val="36"/>
          <w:lang w:eastAsia="en-GB"/>
        </w:rPr>
      </w:pPr>
    </w:p>
    <w:p w14:paraId="21BBBF8B" w14:textId="43FE9990" w:rsidR="00D25C59" w:rsidRPr="00D25C59" w:rsidRDefault="00D25C59" w:rsidP="00D25C59">
      <w:p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sz w:val="36"/>
          <w:szCs w:val="36"/>
          <w:lang w:eastAsia="en-GB"/>
        </w:rPr>
        <w:lastRenderedPageBreak/>
        <w:t>3. Vinča Symbols as a Portable Pre-Script Symbolic System</w:t>
      </w:r>
    </w:p>
    <w:p w14:paraId="0DCFB65A" w14:textId="610DDA29" w:rsidR="00D25C59" w:rsidRPr="00D25C59" w:rsidRDefault="00D25C59" w:rsidP="00D25C59">
      <w:pPr>
        <w:spacing w:before="100" w:beforeAutospacing="1" w:after="100" w:afterAutospacing="1"/>
        <w:outlineLvl w:val="2"/>
        <w:rPr>
          <w:rFonts w:ascii="Gill Sans MT" w:eastAsia="Times New Roman" w:hAnsi="Gill Sans MT" w:cs="Times New Roman"/>
          <w:b/>
          <w:bCs/>
          <w:i/>
          <w:iCs/>
          <w:sz w:val="27"/>
          <w:szCs w:val="27"/>
          <w:lang w:eastAsia="en-GB"/>
        </w:rPr>
      </w:pPr>
      <w:r w:rsidRPr="00D25C59">
        <w:rPr>
          <w:rFonts w:ascii="Gill Sans MT" w:eastAsia="Times New Roman" w:hAnsi="Gill Sans MT" w:cs="Times New Roman"/>
          <w:b/>
          <w:bCs/>
          <w:i/>
          <w:iCs/>
          <w:sz w:val="27"/>
          <w:szCs w:val="27"/>
          <w:lang w:eastAsia="en-GB"/>
        </w:rPr>
        <w:t>3.1 Material and Structural Characteristics</w:t>
      </w:r>
    </w:p>
    <w:p w14:paraId="51F1423E" w14:textId="6B773753"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Vinča symbols appear across pottery, figurines, tablets, and architectural contexts, displaying </w:t>
      </w:r>
      <w:r w:rsidRPr="00D25C59">
        <w:rPr>
          <w:rFonts w:ascii="Gill Sans MT" w:eastAsia="Times New Roman" w:hAnsi="Gill Sans MT" w:cs="Times New Roman"/>
          <w:b/>
          <w:bCs/>
          <w:lang w:eastAsia="en-GB"/>
        </w:rPr>
        <w:t>high cross-media redundancy</w:t>
      </w:r>
      <w:r w:rsidRPr="00D25C59">
        <w:rPr>
          <w:rFonts w:ascii="Gill Sans MT" w:eastAsia="Times New Roman" w:hAnsi="Gill Sans MT" w:cs="Times New Roman"/>
          <w:lang w:eastAsia="en-GB"/>
        </w:rPr>
        <w:t xml:space="preserve"> but limited combinatorial expansion (Radivojević et al. 2025). Stratigraphy confirms intergenerational repetition; spatial clustering indicates localized constraint rather than centralized administration.</w:t>
      </w:r>
    </w:p>
    <w:p w14:paraId="6E6DDE67" w14:textId="3DDF4D6C"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Vinča symbols encode </w:t>
      </w:r>
      <w:r w:rsidRPr="00D25C59">
        <w:rPr>
          <w:rFonts w:ascii="Gill Sans MT" w:eastAsia="Times New Roman" w:hAnsi="Gill Sans MT" w:cs="Times New Roman"/>
          <w:b/>
          <w:bCs/>
          <w:lang w:eastAsia="en-GB"/>
        </w:rPr>
        <w:t>recognition and equivalence</w:t>
      </w:r>
      <w:r w:rsidRPr="00D25C59">
        <w:rPr>
          <w:rFonts w:ascii="Gill Sans MT" w:eastAsia="Times New Roman" w:hAnsi="Gill Sans MT" w:cs="Times New Roman"/>
          <w:lang w:eastAsia="en-GB"/>
        </w:rPr>
        <w:t>, not narrative content. Portability aligns with DSSM-stabilized functions below the writing threshold: trade marking, ritual signaling, and ownership designation (Hodder 2025).</w:t>
      </w:r>
    </w:p>
    <w:p w14:paraId="1D0E69B0" w14:textId="19446817" w:rsidR="00D25C59" w:rsidRPr="00D25C59" w:rsidRDefault="00D25C59" w:rsidP="00D25C59">
      <w:pPr>
        <w:spacing w:before="100" w:beforeAutospacing="1" w:after="100" w:afterAutospacing="1"/>
        <w:outlineLvl w:val="2"/>
        <w:rPr>
          <w:rFonts w:ascii="Gill Sans MT" w:eastAsia="Times New Roman" w:hAnsi="Gill Sans MT" w:cs="Times New Roman"/>
          <w:b/>
          <w:bCs/>
          <w:i/>
          <w:iCs/>
          <w:sz w:val="27"/>
          <w:szCs w:val="27"/>
          <w:lang w:eastAsia="en-GB"/>
        </w:rPr>
      </w:pPr>
      <w:r w:rsidRPr="00D25C59">
        <w:rPr>
          <w:rFonts w:ascii="Gill Sans MT" w:eastAsia="Times New Roman" w:hAnsi="Gill Sans MT" w:cs="Times New Roman"/>
          <w:b/>
          <w:bCs/>
          <w:i/>
          <w:iCs/>
          <w:sz w:val="27"/>
          <w:szCs w:val="27"/>
          <w:lang w:eastAsia="en-GB"/>
        </w:rPr>
        <w:t>3.2 Why Writing Did Not Emerge</w:t>
      </w:r>
    </w:p>
    <w:p w14:paraId="6B7AF100" w14:textId="2A57BC88"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Environmental stress, soil depletion, and demographic fragmentation disrupted Vinča settlements before symbolic load reached saturation. Without </w:t>
      </w:r>
      <w:r w:rsidRPr="00D25C59">
        <w:rPr>
          <w:rFonts w:ascii="Gill Sans MT" w:eastAsia="Times New Roman" w:hAnsi="Gill Sans MT" w:cs="Times New Roman"/>
          <w:b/>
          <w:bCs/>
          <w:lang w:eastAsia="en-GB"/>
        </w:rPr>
        <w:t>multi-node enforcement networks</w:t>
      </w:r>
      <w:r w:rsidRPr="00D25C59">
        <w:rPr>
          <w:rFonts w:ascii="Gill Sans MT" w:eastAsia="Times New Roman" w:hAnsi="Gill Sans MT" w:cs="Times New Roman"/>
          <w:lang w:eastAsia="en-GB"/>
        </w:rPr>
        <w:t>, compression into writing was unnecessary (Sherratt 2025)</w:t>
      </w:r>
    </w:p>
    <w:p w14:paraId="50425818" w14:textId="77777777" w:rsid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p>
    <w:p w14:paraId="25FA6A58" w14:textId="667C7932" w:rsidR="00D25C59" w:rsidRP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t>4. Transmission Without Text: Migration, Trade, and Symbolic Seeding</w:t>
      </w:r>
    </w:p>
    <w:p w14:paraId="16C56DAB" w14:textId="777777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Procedural, rather than linguistic, symbolic technologies can propagate across low-frequency migration networks. Artifacts act as mnemonic anchors, enabling diffusion across wide areas (Brughmans et al. 2025).</w:t>
      </w:r>
    </w:p>
    <w:p w14:paraId="22330956" w14:textId="777777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Vinča dispersal along Danubian and Anatolian corridors coincides with symbolic intensification in late Ubaid Mesopotamia and Predynastic Egypt (Garfinkel et al. 2026). Transmission does not imply direct descent, only exposure to portable, repeatable symbolic strategies.</w:t>
      </w:r>
    </w:p>
    <w:p w14:paraId="7337C30A" w14:textId="14681F29" w:rsidR="00D25C59" w:rsidRP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t>5. Divergent Outcomes: Mesopotamia, Egypt, and the Indus Valley</w:t>
      </w:r>
    </w:p>
    <w:p w14:paraId="31193A59" w14:textId="798011B4" w:rsidR="00D25C59" w:rsidRPr="00D25C59" w:rsidRDefault="00D25C59" w:rsidP="00D25C59">
      <w:pPr>
        <w:spacing w:before="100" w:beforeAutospacing="1" w:after="100" w:afterAutospacing="1"/>
        <w:outlineLvl w:val="2"/>
        <w:rPr>
          <w:rFonts w:ascii="Gill Sans MT" w:eastAsia="Times New Roman" w:hAnsi="Gill Sans MT" w:cs="Times New Roman"/>
          <w:b/>
          <w:bCs/>
          <w:i/>
          <w:iCs/>
          <w:sz w:val="27"/>
          <w:szCs w:val="27"/>
          <w:lang w:eastAsia="en-GB"/>
        </w:rPr>
      </w:pPr>
      <w:r w:rsidRPr="00D25C59">
        <w:rPr>
          <w:rFonts w:ascii="Gill Sans MT" w:eastAsia="Times New Roman" w:hAnsi="Gill Sans MT" w:cs="Times New Roman"/>
          <w:b/>
          <w:bCs/>
          <w:i/>
          <w:iCs/>
          <w:sz w:val="27"/>
          <w:szCs w:val="27"/>
          <w:lang w:eastAsia="en-GB"/>
        </w:rPr>
        <w:t>5.1 Mesopotamia and Egypt: Moderate Saturation, Rising Load</w:t>
      </w:r>
    </w:p>
    <w:p w14:paraId="476BD9C5" w14:textId="1FC28D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Expanding symbolic infrastructures coupled with increasing commodity diversity, institutional plurality, and interregional trade produced </w:t>
      </w:r>
      <w:r w:rsidRPr="00D25C59">
        <w:rPr>
          <w:rFonts w:ascii="Gill Sans MT" w:eastAsia="Times New Roman" w:hAnsi="Gill Sans MT" w:cs="Times New Roman"/>
          <w:b/>
          <w:bCs/>
          <w:lang w:eastAsia="en-GB"/>
        </w:rPr>
        <w:t>symbolic overload</w:t>
      </w:r>
      <w:r w:rsidRPr="00D25C59">
        <w:rPr>
          <w:rFonts w:ascii="Gill Sans MT" w:eastAsia="Times New Roman" w:hAnsi="Gill Sans MT" w:cs="Times New Roman"/>
          <w:lang w:eastAsia="en-GB"/>
        </w:rPr>
        <w:t xml:space="preserve">, prompting proto-writing as a compression technology (Algaze 2025; Woods 2026). Cylinder seals and early hieroglyphs became </w:t>
      </w:r>
      <w:r w:rsidRPr="00D25C59">
        <w:rPr>
          <w:rFonts w:ascii="Gill Sans MT" w:eastAsia="Times New Roman" w:hAnsi="Gill Sans MT" w:cs="Times New Roman"/>
          <w:b/>
          <w:bCs/>
          <w:lang w:eastAsia="en-GB"/>
        </w:rPr>
        <w:t>serialized, expandable, and partially detached</w:t>
      </w:r>
      <w:r w:rsidRPr="00D25C59">
        <w:rPr>
          <w:rFonts w:ascii="Gill Sans MT" w:eastAsia="Times New Roman" w:hAnsi="Gill Sans MT" w:cs="Times New Roman"/>
          <w:lang w:eastAsia="en-GB"/>
        </w:rPr>
        <w:t xml:space="preserve"> from individual artifacts.</w:t>
      </w:r>
    </w:p>
    <w:p w14:paraId="5F8B53C9" w14:textId="05B9D33E" w:rsidR="00D25C59" w:rsidRPr="00D25C59" w:rsidRDefault="00D25C59" w:rsidP="00D25C59">
      <w:pPr>
        <w:spacing w:before="100" w:beforeAutospacing="1" w:after="100" w:afterAutospacing="1"/>
        <w:outlineLvl w:val="2"/>
        <w:rPr>
          <w:rFonts w:ascii="Gill Sans MT" w:eastAsia="Times New Roman" w:hAnsi="Gill Sans MT" w:cs="Times New Roman"/>
          <w:b/>
          <w:bCs/>
          <w:i/>
          <w:iCs/>
          <w:sz w:val="27"/>
          <w:szCs w:val="27"/>
          <w:lang w:eastAsia="en-GB"/>
        </w:rPr>
      </w:pPr>
      <w:r w:rsidRPr="00D25C59">
        <w:rPr>
          <w:rFonts w:ascii="Gill Sans MT" w:eastAsia="Times New Roman" w:hAnsi="Gill Sans MT" w:cs="Times New Roman"/>
          <w:b/>
          <w:bCs/>
          <w:i/>
          <w:iCs/>
          <w:sz w:val="27"/>
          <w:szCs w:val="27"/>
          <w:lang w:eastAsia="en-GB"/>
        </w:rPr>
        <w:t>5.2 Indus Valley: High Saturation Without Writing</w:t>
      </w:r>
    </w:p>
    <w:p w14:paraId="7F1A2C85" w14:textId="77777777" w:rsidR="00D25C59" w:rsidRPr="00D25C59" w:rsidRDefault="00D25C59" w:rsidP="00D25C59">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Quantitative regularities—brick ratios fixed at 1:2:4, weight systems &lt;1% variance, and seals constrained to 4–5 signs with low entropy—demonstrate symbolic sufficiency (Vondoom 2026; Kenoyer 2025). Distributed trade hubs acted as </w:t>
      </w:r>
      <w:r w:rsidRPr="00D25C59">
        <w:rPr>
          <w:rFonts w:ascii="Gill Sans MT" w:eastAsia="Times New Roman" w:hAnsi="Gill Sans MT" w:cs="Times New Roman"/>
          <w:b/>
          <w:bCs/>
          <w:lang w:eastAsia="en-GB"/>
        </w:rPr>
        <w:t>error-correcting mechanisms</w:t>
      </w:r>
      <w:r w:rsidRPr="00D25C59">
        <w:rPr>
          <w:rFonts w:ascii="Gill Sans MT" w:eastAsia="Times New Roman" w:hAnsi="Gill Sans MT" w:cs="Times New Roman"/>
          <w:lang w:eastAsia="en-GB"/>
        </w:rPr>
        <w:t>, negating the need for textual adjudication.</w:t>
      </w:r>
    </w:p>
    <w:p w14:paraId="2A2AD6BD" w14:textId="44E9B02A" w:rsidR="00D25C59" w:rsidRPr="00D25C59" w:rsidRDefault="00D25C59" w:rsidP="00D25C59">
      <w:pPr>
        <w:rPr>
          <w:rFonts w:ascii="Gill Sans MT" w:eastAsia="Times New Roman" w:hAnsi="Gill Sans MT" w:cs="Times New Roman"/>
          <w:lang w:eastAsia="en-GB"/>
        </w:rPr>
      </w:pPr>
    </w:p>
    <w:p w14:paraId="487CE434" w14:textId="77777777" w:rsidR="00D25C59" w:rsidRP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lastRenderedPageBreak/>
        <w:t>6. Methodological Approach: DSSM-Based Symbol Comparison</w:t>
      </w:r>
    </w:p>
    <w:p w14:paraId="7A4B8D08" w14:textId="77777777" w:rsidR="00D25C59" w:rsidRPr="00D25C59" w:rsidRDefault="00D25C59" w:rsidP="00D25C59">
      <w:pPr>
        <w:numPr>
          <w:ilvl w:val="0"/>
          <w:numId w:val="7"/>
        </w:num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Data Sources:</w:t>
      </w:r>
      <w:r w:rsidRPr="00D25C59">
        <w:rPr>
          <w:rFonts w:ascii="Gill Sans MT" w:eastAsia="Times New Roman" w:hAnsi="Gill Sans MT" w:cs="Times New Roman"/>
          <w:lang w:eastAsia="en-GB"/>
        </w:rPr>
        <w:t xml:space="preserve"> Vinča artifacts (Radivojević et al. 2025), Proto-cuneiform tablets (Algaze 2025), Indus seals (Kenoyer 2025).</w:t>
      </w:r>
    </w:p>
    <w:p w14:paraId="3F6E6C8F" w14:textId="77777777" w:rsidR="00D25C59" w:rsidRPr="00D25C59" w:rsidRDefault="00D25C59" w:rsidP="00D25C59">
      <w:pPr>
        <w:numPr>
          <w:ilvl w:val="0"/>
          <w:numId w:val="7"/>
        </w:num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Coding Procedures:</w:t>
      </w:r>
      <w:r w:rsidRPr="00D25C59">
        <w:rPr>
          <w:rFonts w:ascii="Gill Sans MT" w:eastAsia="Times New Roman" w:hAnsi="Gill Sans MT" w:cs="Times New Roman"/>
          <w:lang w:eastAsia="en-GB"/>
        </w:rPr>
        <w:t xml:space="preserve"> Each symbol was coded for geometric class, cross-media occurrence, combinatorial position, and visual complexity.</w:t>
      </w:r>
    </w:p>
    <w:p w14:paraId="0A477F25" w14:textId="77777777" w:rsidR="00D25C59" w:rsidRPr="00D25C59" w:rsidRDefault="00D25C59" w:rsidP="00D25C59">
      <w:pPr>
        <w:numPr>
          <w:ilvl w:val="0"/>
          <w:numId w:val="7"/>
        </w:num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Metrics:</w:t>
      </w:r>
    </w:p>
    <w:p w14:paraId="73E57612" w14:textId="77777777" w:rsidR="00D25C59" w:rsidRPr="00D25C59" w:rsidRDefault="00D25C59" w:rsidP="00D25C59">
      <w:pPr>
        <w:numPr>
          <w:ilvl w:val="1"/>
          <w:numId w:val="7"/>
        </w:num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Cross-media redundancy:</w:t>
      </w:r>
      <w:r w:rsidRPr="00D25C59">
        <w:rPr>
          <w:rFonts w:ascii="Gill Sans MT" w:eastAsia="Times New Roman" w:hAnsi="Gill Sans MT" w:cs="Times New Roman"/>
          <w:lang w:eastAsia="en-GB"/>
        </w:rPr>
        <w:t xml:space="preserve"> proportion of symbol replication across artifact types.</w:t>
      </w:r>
    </w:p>
    <w:p w14:paraId="44EF8341" w14:textId="32FC5C07" w:rsidR="00D25C59" w:rsidRPr="00D25C59" w:rsidRDefault="00D25C59" w:rsidP="00D25C59">
      <w:pPr>
        <w:numPr>
          <w:ilvl w:val="1"/>
          <w:numId w:val="7"/>
        </w:num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Entropy:</w:t>
      </w:r>
      <w:r w:rsidRPr="00D25C59">
        <w:rPr>
          <w:rFonts w:ascii="Gill Sans MT" w:eastAsia="Times New Roman" w:hAnsi="Gill Sans MT" w:cs="Times New Roman"/>
          <w:lang w:eastAsia="en-GB"/>
        </w:rPr>
        <w:t xml:space="preserve"> calculated using Shannon entropy over symbol sequences.</w:t>
      </w:r>
    </w:p>
    <w:p w14:paraId="338B320D" w14:textId="03E4E584" w:rsidR="00D25C59" w:rsidRPr="00D25C59" w:rsidRDefault="00D25C59" w:rsidP="00D25C59">
      <w:pPr>
        <w:numPr>
          <w:ilvl w:val="1"/>
          <w:numId w:val="7"/>
        </w:num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Saturation index:</w:t>
      </w:r>
      <w:r w:rsidRPr="00D25C59">
        <w:rPr>
          <w:rFonts w:ascii="Gill Sans MT" w:eastAsia="Times New Roman" w:hAnsi="Gill Sans MT" w:cs="Times New Roman"/>
          <w:lang w:eastAsia="en-GB"/>
        </w:rPr>
        <w:t xml:space="preserve"> weighted combination of redundancy, entropy, and enforcement nodes.</w:t>
      </w:r>
    </w:p>
    <w:p w14:paraId="292784B5" w14:textId="0FAC83D9" w:rsidR="00D25C59" w:rsidRPr="00D25C59" w:rsidRDefault="00D25C59" w:rsidP="00D25C59">
      <w:pPr>
        <w:numPr>
          <w:ilvl w:val="0"/>
          <w:numId w:val="7"/>
        </w:num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b/>
          <w:bCs/>
          <w:lang w:eastAsia="en-GB"/>
        </w:rPr>
        <w:t>Analysis:</w:t>
      </w:r>
      <w:r w:rsidRPr="00D25C59">
        <w:rPr>
          <w:rFonts w:ascii="Gill Sans MT" w:eastAsia="Times New Roman" w:hAnsi="Gill Sans MT" w:cs="Times New Roman"/>
          <w:lang w:eastAsia="en-GB"/>
        </w:rPr>
        <w:t xml:space="preserve"> Comparative alignment of symbol forms across regions, independent of semantic or phonetic assignment.</w:t>
      </w:r>
    </w:p>
    <w:p w14:paraId="6C1ACDAC" w14:textId="5D263F4D" w:rsidR="00D25C59" w:rsidRPr="00D25C59" w:rsidRDefault="00D25C59" w:rsidP="00D25C59">
      <w:pPr>
        <w:spacing w:before="100" w:beforeAutospacing="1" w:after="100" w:afterAutospacing="1"/>
        <w:rPr>
          <w:rFonts w:ascii="Gill Sans MT" w:eastAsia="Times New Roman" w:hAnsi="Gill Sans MT" w:cs="Times New Roman"/>
          <w:lang w:eastAsia="en-GB"/>
        </w:rPr>
      </w:pPr>
      <w:r w:rsidRPr="00D25C59">
        <w:rPr>
          <w:rFonts w:ascii="Gill Sans MT" w:eastAsia="Times New Roman" w:hAnsi="Gill Sans MT" w:cs="Times New Roman"/>
          <w:lang w:eastAsia="en-GB"/>
        </w:rPr>
        <w:t>This approach ensures reproducibility while allowing functional comparison across diverse symbolic ecologies.</w:t>
      </w:r>
    </w:p>
    <w:p w14:paraId="5B5128FB" w14:textId="42125C73" w:rsidR="00D25C59" w:rsidRPr="00D25C59" w:rsidRDefault="00D25C59" w:rsidP="00D25C59">
      <w:pPr>
        <w:rPr>
          <w:rFonts w:ascii="Gill Sans MT" w:eastAsia="Times New Roman" w:hAnsi="Gill Sans MT" w:cs="Times New Roman"/>
          <w:lang w:eastAsia="en-GB"/>
        </w:rPr>
      </w:pPr>
    </w:p>
    <w:p w14:paraId="739D2930" w14:textId="1A4883F7" w:rsidR="00D25C59" w:rsidRP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t>7. Formal Symbolic Convergence Across Vinča, Proto-Cuneiform, and Indus Corpora</w:t>
      </w:r>
    </w:p>
    <w:p w14:paraId="6F420C99" w14:textId="7F1DB815" w:rsidR="00D25C59" w:rsidRPr="00D25C59" w:rsidRDefault="00D25C59" w:rsidP="00177947">
      <w:pPr>
        <w:spacing w:before="100" w:beforeAutospacing="1" w:after="100" w:afterAutospacing="1"/>
        <w:ind w:left="108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The comparison presented here focuses on the </w:t>
      </w:r>
      <w:r w:rsidRPr="00D25C59">
        <w:rPr>
          <w:rFonts w:ascii="Gill Sans MT" w:eastAsia="Times New Roman" w:hAnsi="Gill Sans MT" w:cs="Times New Roman"/>
          <w:b/>
          <w:bCs/>
          <w:lang w:eastAsia="en-GB"/>
        </w:rPr>
        <w:t>symbols themselves</w:t>
      </w:r>
      <w:r w:rsidRPr="00D25C59">
        <w:rPr>
          <w:rFonts w:ascii="Gill Sans MT" w:eastAsia="Times New Roman" w:hAnsi="Gill Sans MT" w:cs="Times New Roman"/>
          <w:lang w:eastAsia="en-GB"/>
        </w:rPr>
        <w:t>, not the artifacts nor their spatial contexts. When Vinča signs, early proto-cuneiform marks, and Indus signs are placed into direct visual alignment, a recurrent set of formal symbol types emerges: cross-like forms, parallel strokes, chevrons, grid-like enclosures, tridents, branching motifs, star or asterisk-like figures, and bounded geometric shapes.</w:t>
      </w:r>
    </w:p>
    <w:p w14:paraId="3B248A4F" w14:textId="290BAC0F" w:rsidR="00177947" w:rsidRPr="00C40476" w:rsidRDefault="00177947" w:rsidP="00177947">
      <w:pPr>
        <w:spacing w:before="100" w:beforeAutospacing="1" w:after="100" w:afterAutospacing="1"/>
        <w:ind w:left="360" w:firstLine="360"/>
        <w:rPr>
          <w:rFonts w:ascii="Gill Sans MT" w:eastAsia="Times New Roman" w:hAnsi="Gill Sans MT" w:cs="Times New Roman"/>
          <w:lang w:val="en-US" w:eastAsia="en-GB"/>
        </w:rPr>
      </w:pPr>
    </w:p>
    <w:p w14:paraId="31AB1B65" w14:textId="29171F94" w:rsidR="00D25C59" w:rsidRPr="00D25C59" w:rsidRDefault="00D25C59" w:rsidP="00177947">
      <w:pPr>
        <w:numPr>
          <w:ilvl w:val="0"/>
          <w:numId w:val="8"/>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Symbols are aligned by </w:t>
      </w:r>
      <w:r w:rsidRPr="00D25C59">
        <w:rPr>
          <w:rFonts w:ascii="Gill Sans MT" w:eastAsia="Times New Roman" w:hAnsi="Gill Sans MT" w:cs="Times New Roman"/>
          <w:b/>
          <w:bCs/>
          <w:lang w:eastAsia="en-GB"/>
        </w:rPr>
        <w:t>visual and geometric similarity</w:t>
      </w:r>
      <w:r w:rsidRPr="00D25C59">
        <w:rPr>
          <w:rFonts w:ascii="Gill Sans MT" w:eastAsia="Times New Roman" w:hAnsi="Gill Sans MT" w:cs="Times New Roman"/>
          <w:lang w:eastAsia="en-GB"/>
        </w:rPr>
        <w:t>, not meaning.</w:t>
      </w:r>
    </w:p>
    <w:p w14:paraId="12097CF2" w14:textId="4D904220" w:rsidR="00D25C59" w:rsidRPr="00D25C59" w:rsidRDefault="00D25C59" w:rsidP="00177947">
      <w:pPr>
        <w:numPr>
          <w:ilvl w:val="0"/>
          <w:numId w:val="8"/>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Similarities do </w:t>
      </w:r>
      <w:r w:rsidRPr="00D25C59">
        <w:rPr>
          <w:rFonts w:ascii="Gill Sans MT" w:eastAsia="Times New Roman" w:hAnsi="Gill Sans MT" w:cs="Times New Roman"/>
          <w:b/>
          <w:bCs/>
          <w:lang w:eastAsia="en-GB"/>
        </w:rPr>
        <w:t>not</w:t>
      </w:r>
      <w:r w:rsidRPr="00D25C59">
        <w:rPr>
          <w:rFonts w:ascii="Gill Sans MT" w:eastAsia="Times New Roman" w:hAnsi="Gill Sans MT" w:cs="Times New Roman"/>
          <w:lang w:eastAsia="en-GB"/>
        </w:rPr>
        <w:t xml:space="preserve"> imply phonetic or linguistic equivalence. Instead, they reflect </w:t>
      </w:r>
      <w:r w:rsidRPr="00D25C59">
        <w:rPr>
          <w:rFonts w:ascii="Gill Sans MT" w:eastAsia="Times New Roman" w:hAnsi="Gill Sans MT" w:cs="Times New Roman"/>
          <w:b/>
          <w:bCs/>
          <w:lang w:eastAsia="en-GB"/>
        </w:rPr>
        <w:t>constraints on early symbolic invention</w:t>
      </w:r>
      <w:r w:rsidRPr="00D25C59">
        <w:rPr>
          <w:rFonts w:ascii="Gill Sans MT" w:eastAsia="Times New Roman" w:hAnsi="Gill Sans MT" w:cs="Times New Roman"/>
          <w:lang w:eastAsia="en-GB"/>
        </w:rPr>
        <w:t>.</w:t>
      </w:r>
    </w:p>
    <w:p w14:paraId="110B03D8" w14:textId="1B27BFE9" w:rsidR="00D25C59" w:rsidRPr="00D25C59" w:rsidRDefault="00D25C59" w:rsidP="00177947">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Across all three corpora, symbols tend to be:</w:t>
      </w:r>
    </w:p>
    <w:p w14:paraId="6E9F2439" w14:textId="17528DE5" w:rsidR="00D25C59" w:rsidRPr="00D25C59" w:rsidRDefault="00D25C59" w:rsidP="00177947">
      <w:pPr>
        <w:numPr>
          <w:ilvl w:val="0"/>
          <w:numId w:val="9"/>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lang w:eastAsia="en-GB"/>
        </w:rPr>
        <w:t>Geometrically simple, composed of straight lines, angles, and repeated strokes;</w:t>
      </w:r>
    </w:p>
    <w:p w14:paraId="6A3D85BB" w14:textId="4E7DB232" w:rsidR="00D25C59" w:rsidRPr="00D25C59" w:rsidRDefault="00D25C59" w:rsidP="00177947">
      <w:pPr>
        <w:numPr>
          <w:ilvl w:val="0"/>
          <w:numId w:val="9"/>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lang w:eastAsia="en-GB"/>
        </w:rPr>
        <w:t>Easily reproducible across media (clay, seal, tablet, pottery);</w:t>
      </w:r>
    </w:p>
    <w:p w14:paraId="55404DD8" w14:textId="37ADF2E9" w:rsidR="00D25C59" w:rsidRPr="00D25C59" w:rsidRDefault="00D25C59" w:rsidP="00177947">
      <w:pPr>
        <w:numPr>
          <w:ilvl w:val="0"/>
          <w:numId w:val="9"/>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lang w:eastAsia="en-GB"/>
        </w:rPr>
        <w:t>Visually distinct under low-resolution conditions, supporting rapid recognition;</w:t>
      </w:r>
    </w:p>
    <w:p w14:paraId="0DAF83EA" w14:textId="77F833CE" w:rsidR="00D25C59" w:rsidRPr="00D25C59" w:rsidRDefault="00D25C59" w:rsidP="00177947">
      <w:pPr>
        <w:numPr>
          <w:ilvl w:val="0"/>
          <w:numId w:val="9"/>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lang w:eastAsia="en-GB"/>
        </w:rPr>
        <w:t>Composable into short sequences without semantic overload.</w:t>
      </w:r>
    </w:p>
    <w:p w14:paraId="24E23585" w14:textId="321BAF75" w:rsidR="00D25C59" w:rsidRPr="00D25C59" w:rsidRDefault="00D25C59" w:rsidP="00177947">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Within DSSM, such symbols are </w:t>
      </w:r>
      <w:r w:rsidRPr="00D25C59">
        <w:rPr>
          <w:rFonts w:ascii="Gill Sans MT" w:eastAsia="Times New Roman" w:hAnsi="Gill Sans MT" w:cs="Times New Roman"/>
          <w:b/>
          <w:bCs/>
          <w:lang w:eastAsia="en-GB"/>
        </w:rPr>
        <w:t>low-entropy symbolic primitives</w:t>
      </w:r>
      <w:r w:rsidRPr="00D25C59">
        <w:rPr>
          <w:rFonts w:ascii="Gill Sans MT" w:eastAsia="Times New Roman" w:hAnsi="Gill Sans MT" w:cs="Times New Roman"/>
          <w:lang w:eastAsia="en-GB"/>
        </w:rPr>
        <w:t>. Their recurrence across distant regions represents solutions optimized for durability, recognizability, and repeatable transmission.</w:t>
      </w:r>
    </w:p>
    <w:p w14:paraId="5109E783" w14:textId="119E3CDC" w:rsidR="00D25C59" w:rsidRPr="00D25C59" w:rsidRDefault="00D25C59" w:rsidP="00177947">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Vinča already exhibits many of these classes by the sixth millennium BCE. As populations, artifacts, or practices moved along Danubian and Anatolian corridors, forms were reused, adapted, or reinterpreted. In Mesopotamia, similar forms were incorporated into proto-cuneiform and later phonetic systems. In the Indus Valley, they entered an already saturated symbolic system, retaining non-linguistic functions.</w:t>
      </w:r>
    </w:p>
    <w:p w14:paraId="04035DD1" w14:textId="05B51309" w:rsidR="00D25C59" w:rsidRPr="00D25C59" w:rsidRDefault="00177947" w:rsidP="00177947">
      <w:pPr>
        <w:spacing w:before="100" w:beforeAutospacing="1" w:after="100" w:afterAutospacing="1"/>
        <w:ind w:left="720"/>
        <w:rPr>
          <w:rFonts w:ascii="Gill Sans MT" w:eastAsia="Times New Roman" w:hAnsi="Gill Sans MT" w:cs="Times New Roman"/>
          <w:lang w:eastAsia="en-GB"/>
        </w:rPr>
      </w:pPr>
      <w:r>
        <w:rPr>
          <w:rFonts w:ascii="Gill Sans MT" w:eastAsia="Times New Roman" w:hAnsi="Gill Sans MT" w:cs="Times New Roman"/>
          <w:b/>
          <w:bCs/>
          <w:noProof/>
          <w:lang w:eastAsia="en-GB"/>
        </w:rPr>
        <w:lastRenderedPageBreak/>
        <w:drawing>
          <wp:anchor distT="0" distB="0" distL="114300" distR="114300" simplePos="0" relativeHeight="251658240" behindDoc="0" locked="0" layoutInCell="1" allowOverlap="1" wp14:anchorId="60CDC846" wp14:editId="66A36E4E">
            <wp:simplePos x="0" y="0"/>
            <wp:positionH relativeFrom="margin">
              <wp:posOffset>697817</wp:posOffset>
            </wp:positionH>
            <wp:positionV relativeFrom="margin">
              <wp:posOffset>868680</wp:posOffset>
            </wp:positionV>
            <wp:extent cx="5146675" cy="3004185"/>
            <wp:effectExtent l="0" t="0" r="0" b="5715"/>
            <wp:wrapTopAndBottom/>
            <wp:docPr id="395420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20489" name="Picture 395420489"/>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250" t="5845" r="2236" b="12078"/>
                    <a:stretch/>
                  </pic:blipFill>
                  <pic:spPr bwMode="auto">
                    <a:xfrm>
                      <a:off x="0" y="0"/>
                      <a:ext cx="5146675" cy="300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C59" w:rsidRPr="00D25C59">
        <w:rPr>
          <w:rFonts w:ascii="Gill Sans MT" w:eastAsia="Times New Roman" w:hAnsi="Gill Sans MT" w:cs="Times New Roman"/>
          <w:lang w:eastAsia="en-GB"/>
        </w:rPr>
        <w:t xml:space="preserve">From a DSSM perspective, symbol persistence reflects </w:t>
      </w:r>
      <w:r w:rsidR="00D25C59" w:rsidRPr="00D25C59">
        <w:rPr>
          <w:rFonts w:ascii="Gill Sans MT" w:eastAsia="Times New Roman" w:hAnsi="Gill Sans MT" w:cs="Times New Roman"/>
          <w:b/>
          <w:bCs/>
          <w:lang w:eastAsia="en-GB"/>
        </w:rPr>
        <w:t>conditional transmission</w:t>
      </w:r>
      <w:r w:rsidR="00D25C59" w:rsidRPr="00D25C59">
        <w:rPr>
          <w:rFonts w:ascii="Gill Sans MT" w:eastAsia="Times New Roman" w:hAnsi="Gill Sans MT" w:cs="Times New Roman"/>
          <w:lang w:eastAsia="en-GB"/>
        </w:rPr>
        <w:t xml:space="preserve">: form can travel independently of meaning. Writing emerges only when symbolic load exceeds stabilization capacity. Otherwise, symbols remain </w:t>
      </w:r>
      <w:r w:rsidR="00D25C59" w:rsidRPr="00D25C59">
        <w:rPr>
          <w:rFonts w:ascii="Gill Sans MT" w:eastAsia="Times New Roman" w:hAnsi="Gill Sans MT" w:cs="Times New Roman"/>
          <w:b/>
          <w:bCs/>
          <w:lang w:eastAsia="en-GB"/>
        </w:rPr>
        <w:t>brief, formally stable, and undecipherable</w:t>
      </w:r>
      <w:r w:rsidR="00D25C59" w:rsidRPr="00D25C59">
        <w:rPr>
          <w:rFonts w:ascii="Gill Sans MT" w:eastAsia="Times New Roman" w:hAnsi="Gill Sans MT" w:cs="Times New Roman"/>
          <w:lang w:eastAsia="en-GB"/>
        </w:rPr>
        <w:t>.</w:t>
      </w:r>
    </w:p>
    <w:p w14:paraId="20E575C3" w14:textId="77777777" w:rsidR="00177947" w:rsidRDefault="00177947" w:rsidP="00177947">
      <w:pPr>
        <w:spacing w:before="100" w:beforeAutospacing="1" w:after="100" w:afterAutospacing="1"/>
        <w:ind w:left="360"/>
        <w:rPr>
          <w:rFonts w:ascii="Gill Sans MT" w:eastAsia="Times New Roman" w:hAnsi="Gill Sans MT" w:cs="Times New Roman"/>
          <w:b/>
          <w:bCs/>
          <w:lang w:eastAsia="en-GB"/>
        </w:rPr>
      </w:pPr>
    </w:p>
    <w:p w14:paraId="078F9DD2" w14:textId="5E308040" w:rsidR="00D25C59" w:rsidRPr="00D25C59" w:rsidRDefault="00D25C59" w:rsidP="00177947">
      <w:pPr>
        <w:spacing w:before="100" w:beforeAutospacing="1" w:after="100" w:afterAutospacing="1"/>
        <w:ind w:left="360"/>
        <w:rPr>
          <w:rFonts w:ascii="Gill Sans MT" w:eastAsia="Times New Roman" w:hAnsi="Gill Sans MT" w:cs="Times New Roman"/>
          <w:lang w:eastAsia="en-GB"/>
        </w:rPr>
      </w:pPr>
      <w:r w:rsidRPr="00D25C59">
        <w:rPr>
          <w:rFonts w:ascii="Gill Sans MT" w:eastAsia="Times New Roman" w:hAnsi="Gill Sans MT" w:cs="Times New Roman"/>
          <w:b/>
          <w:bCs/>
          <w:lang w:eastAsia="en-GB"/>
        </w:rPr>
        <w:t>Figure 1:</w:t>
      </w:r>
      <w:r w:rsidRPr="00D25C59">
        <w:rPr>
          <w:rFonts w:ascii="Gill Sans MT" w:eastAsia="Times New Roman" w:hAnsi="Gill Sans MT" w:cs="Times New Roman"/>
          <w:lang w:eastAsia="en-GB"/>
        </w:rPr>
        <w:t xml:space="preserve"> Formal comparison of early symbol repertoires across Vinča, proto-cuneiform, and Indus Valley contexts. Symbols aligned by geometric similarity (crosses, chevrons, grids, star-like motifs), not semantic/phonetic equivalence. Convergence illustrates </w:t>
      </w:r>
      <w:r w:rsidRPr="00D25C59">
        <w:rPr>
          <w:rFonts w:ascii="Gill Sans MT" w:eastAsia="Times New Roman" w:hAnsi="Gill Sans MT" w:cs="Times New Roman"/>
          <w:b/>
          <w:bCs/>
          <w:lang w:eastAsia="en-GB"/>
        </w:rPr>
        <w:t>functional and cognitive alignment</w:t>
      </w:r>
      <w:r w:rsidRPr="00D25C59">
        <w:rPr>
          <w:rFonts w:ascii="Gill Sans MT" w:eastAsia="Times New Roman" w:hAnsi="Gill Sans MT" w:cs="Times New Roman"/>
          <w:lang w:eastAsia="en-GB"/>
        </w:rPr>
        <w:t>, not direct linguistic inheritance.</w:t>
      </w:r>
    </w:p>
    <w:p w14:paraId="1FD07112" w14:textId="77777777" w:rsidR="00D25C59" w:rsidRPr="00D25C59" w:rsidRDefault="00D25C59" w:rsidP="00D25C59">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t>8. Comparative DSSM Conditions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27"/>
        <w:gridCol w:w="1160"/>
        <w:gridCol w:w="2309"/>
        <w:gridCol w:w="1449"/>
      </w:tblGrid>
      <w:tr w:rsidR="00D25C59" w:rsidRPr="00D25C59" w14:paraId="4415CDB7" w14:textId="77777777" w:rsidTr="00177947">
        <w:trPr>
          <w:tblHeader/>
          <w:tblCellSpacing w:w="15" w:type="dxa"/>
          <w:jc w:val="center"/>
        </w:trPr>
        <w:tc>
          <w:tcPr>
            <w:tcW w:w="0" w:type="auto"/>
            <w:shd w:val="clear" w:color="auto" w:fill="BFBFBF" w:themeFill="background1" w:themeFillShade="BF"/>
            <w:vAlign w:val="center"/>
            <w:hideMark/>
          </w:tcPr>
          <w:p w14:paraId="1A8E829A" w14:textId="77777777" w:rsidR="00D25C59" w:rsidRPr="00D25C59" w:rsidRDefault="00D25C59" w:rsidP="00177947">
            <w:pPr>
              <w:spacing w:before="100" w:beforeAutospacing="1" w:after="100" w:afterAutospacing="1"/>
              <w:jc w:val="center"/>
              <w:rPr>
                <w:rFonts w:ascii="Gill Sans MT" w:eastAsia="Times New Roman" w:hAnsi="Gill Sans MT" w:cs="Times New Roman"/>
                <w:b/>
                <w:bCs/>
                <w:lang w:eastAsia="en-GB"/>
              </w:rPr>
            </w:pPr>
            <w:r w:rsidRPr="00D25C59">
              <w:rPr>
                <w:rFonts w:ascii="Gill Sans MT" w:eastAsia="Times New Roman" w:hAnsi="Gill Sans MT" w:cs="Times New Roman"/>
                <w:b/>
                <w:bCs/>
                <w:lang w:eastAsia="en-GB"/>
              </w:rPr>
              <w:t>Feature</w:t>
            </w:r>
          </w:p>
        </w:tc>
        <w:tc>
          <w:tcPr>
            <w:tcW w:w="0" w:type="auto"/>
            <w:shd w:val="clear" w:color="auto" w:fill="BFBFBF" w:themeFill="background1" w:themeFillShade="BF"/>
            <w:vAlign w:val="center"/>
            <w:hideMark/>
          </w:tcPr>
          <w:p w14:paraId="68351739" w14:textId="77777777" w:rsidR="00D25C59" w:rsidRPr="00D25C59" w:rsidRDefault="00D25C59" w:rsidP="00177947">
            <w:pPr>
              <w:spacing w:before="100" w:beforeAutospacing="1" w:after="100" w:afterAutospacing="1"/>
              <w:jc w:val="center"/>
              <w:rPr>
                <w:rFonts w:ascii="Gill Sans MT" w:eastAsia="Times New Roman" w:hAnsi="Gill Sans MT" w:cs="Times New Roman"/>
                <w:b/>
                <w:bCs/>
                <w:lang w:eastAsia="en-GB"/>
              </w:rPr>
            </w:pPr>
            <w:r w:rsidRPr="00D25C59">
              <w:rPr>
                <w:rFonts w:ascii="Gill Sans MT" w:eastAsia="Times New Roman" w:hAnsi="Gill Sans MT" w:cs="Times New Roman"/>
                <w:b/>
                <w:bCs/>
                <w:lang w:eastAsia="en-GB"/>
              </w:rPr>
              <w:t>Vinča</w:t>
            </w:r>
          </w:p>
        </w:tc>
        <w:tc>
          <w:tcPr>
            <w:tcW w:w="0" w:type="auto"/>
            <w:shd w:val="clear" w:color="auto" w:fill="BFBFBF" w:themeFill="background1" w:themeFillShade="BF"/>
            <w:vAlign w:val="center"/>
            <w:hideMark/>
          </w:tcPr>
          <w:p w14:paraId="57C8D845" w14:textId="77777777" w:rsidR="00D25C59" w:rsidRPr="00D25C59" w:rsidRDefault="00D25C59" w:rsidP="00177947">
            <w:pPr>
              <w:spacing w:before="100" w:beforeAutospacing="1" w:after="100" w:afterAutospacing="1"/>
              <w:jc w:val="center"/>
              <w:rPr>
                <w:rFonts w:ascii="Gill Sans MT" w:eastAsia="Times New Roman" w:hAnsi="Gill Sans MT" w:cs="Times New Roman"/>
                <w:b/>
                <w:bCs/>
                <w:lang w:eastAsia="en-GB"/>
              </w:rPr>
            </w:pPr>
            <w:r w:rsidRPr="00D25C59">
              <w:rPr>
                <w:rFonts w:ascii="Gill Sans MT" w:eastAsia="Times New Roman" w:hAnsi="Gill Sans MT" w:cs="Times New Roman"/>
                <w:b/>
                <w:bCs/>
                <w:lang w:eastAsia="en-GB"/>
              </w:rPr>
              <w:t>Mesopotamia/Egypt</w:t>
            </w:r>
          </w:p>
        </w:tc>
        <w:tc>
          <w:tcPr>
            <w:tcW w:w="0" w:type="auto"/>
            <w:shd w:val="clear" w:color="auto" w:fill="BFBFBF" w:themeFill="background1" w:themeFillShade="BF"/>
            <w:vAlign w:val="center"/>
            <w:hideMark/>
          </w:tcPr>
          <w:p w14:paraId="4F1DC4DA" w14:textId="77777777" w:rsidR="00D25C59" w:rsidRPr="00D25C59" w:rsidRDefault="00D25C59" w:rsidP="00177947">
            <w:pPr>
              <w:spacing w:before="100" w:beforeAutospacing="1" w:after="100" w:afterAutospacing="1"/>
              <w:jc w:val="center"/>
              <w:rPr>
                <w:rFonts w:ascii="Gill Sans MT" w:eastAsia="Times New Roman" w:hAnsi="Gill Sans MT" w:cs="Times New Roman"/>
                <w:b/>
                <w:bCs/>
                <w:lang w:eastAsia="en-GB"/>
              </w:rPr>
            </w:pPr>
            <w:r w:rsidRPr="00D25C59">
              <w:rPr>
                <w:rFonts w:ascii="Gill Sans MT" w:eastAsia="Times New Roman" w:hAnsi="Gill Sans MT" w:cs="Times New Roman"/>
                <w:b/>
                <w:bCs/>
                <w:lang w:eastAsia="en-GB"/>
              </w:rPr>
              <w:t>Indus Valley</w:t>
            </w:r>
          </w:p>
        </w:tc>
      </w:tr>
      <w:tr w:rsidR="00D25C59" w:rsidRPr="00D25C59" w14:paraId="74B90083" w14:textId="77777777" w:rsidTr="00177947">
        <w:trPr>
          <w:tblCellSpacing w:w="15" w:type="dxa"/>
          <w:jc w:val="center"/>
        </w:trPr>
        <w:tc>
          <w:tcPr>
            <w:tcW w:w="0" w:type="auto"/>
            <w:vAlign w:val="center"/>
            <w:hideMark/>
          </w:tcPr>
          <w:p w14:paraId="1381BC40"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Symbolic saturation</w:t>
            </w:r>
          </w:p>
        </w:tc>
        <w:tc>
          <w:tcPr>
            <w:tcW w:w="0" w:type="auto"/>
            <w:vAlign w:val="center"/>
            <w:hideMark/>
          </w:tcPr>
          <w:p w14:paraId="731FA3C3"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Moderate</w:t>
            </w:r>
          </w:p>
        </w:tc>
        <w:tc>
          <w:tcPr>
            <w:tcW w:w="0" w:type="auto"/>
            <w:vAlign w:val="center"/>
            <w:hideMark/>
          </w:tcPr>
          <w:p w14:paraId="1FDA58BE"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Moderate </w:t>
            </w:r>
            <w:r w:rsidRPr="00D25C59">
              <w:rPr>
                <w:rFonts w:ascii="Arial" w:eastAsia="Times New Roman" w:hAnsi="Arial" w:cs="Arial"/>
                <w:lang w:eastAsia="en-GB"/>
              </w:rPr>
              <w:t>→</w:t>
            </w:r>
            <w:r w:rsidRPr="00D25C59">
              <w:rPr>
                <w:rFonts w:ascii="Gill Sans MT" w:eastAsia="Times New Roman" w:hAnsi="Gill Sans MT" w:cs="Times New Roman"/>
                <w:lang w:eastAsia="en-GB"/>
              </w:rPr>
              <w:t xml:space="preserve"> High</w:t>
            </w:r>
          </w:p>
        </w:tc>
        <w:tc>
          <w:tcPr>
            <w:tcW w:w="0" w:type="auto"/>
            <w:vAlign w:val="center"/>
            <w:hideMark/>
          </w:tcPr>
          <w:p w14:paraId="168B2FE4"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High</w:t>
            </w:r>
          </w:p>
        </w:tc>
      </w:tr>
      <w:tr w:rsidR="00D25C59" w:rsidRPr="00D25C59" w14:paraId="69766A50" w14:textId="77777777" w:rsidTr="00177947">
        <w:trPr>
          <w:tblCellSpacing w:w="15" w:type="dxa"/>
          <w:jc w:val="center"/>
        </w:trPr>
        <w:tc>
          <w:tcPr>
            <w:tcW w:w="0" w:type="auto"/>
            <w:vAlign w:val="center"/>
            <w:hideMark/>
          </w:tcPr>
          <w:p w14:paraId="785594C0"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Cross-media redundancy</w:t>
            </w:r>
          </w:p>
        </w:tc>
        <w:tc>
          <w:tcPr>
            <w:tcW w:w="0" w:type="auto"/>
            <w:vAlign w:val="center"/>
            <w:hideMark/>
          </w:tcPr>
          <w:p w14:paraId="06389100"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High</w:t>
            </w:r>
          </w:p>
        </w:tc>
        <w:tc>
          <w:tcPr>
            <w:tcW w:w="0" w:type="auto"/>
            <w:vAlign w:val="center"/>
            <w:hideMark/>
          </w:tcPr>
          <w:p w14:paraId="431F5B3B"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Moderate</w:t>
            </w:r>
          </w:p>
        </w:tc>
        <w:tc>
          <w:tcPr>
            <w:tcW w:w="0" w:type="auto"/>
            <w:vAlign w:val="center"/>
            <w:hideMark/>
          </w:tcPr>
          <w:p w14:paraId="24FBC30C"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High</w:t>
            </w:r>
          </w:p>
        </w:tc>
      </w:tr>
      <w:tr w:rsidR="00D25C59" w:rsidRPr="00D25C59" w14:paraId="3948BE8F" w14:textId="77777777" w:rsidTr="00177947">
        <w:trPr>
          <w:tblCellSpacing w:w="15" w:type="dxa"/>
          <w:jc w:val="center"/>
        </w:trPr>
        <w:tc>
          <w:tcPr>
            <w:tcW w:w="0" w:type="auto"/>
            <w:vAlign w:val="center"/>
            <w:hideMark/>
          </w:tcPr>
          <w:p w14:paraId="7ED97FC9"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Enforcement mechanism</w:t>
            </w:r>
          </w:p>
        </w:tc>
        <w:tc>
          <w:tcPr>
            <w:tcW w:w="0" w:type="auto"/>
            <w:vAlign w:val="center"/>
            <w:hideMark/>
          </w:tcPr>
          <w:p w14:paraId="79084477"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Local ritual</w:t>
            </w:r>
          </w:p>
        </w:tc>
        <w:tc>
          <w:tcPr>
            <w:tcW w:w="0" w:type="auto"/>
            <w:vAlign w:val="center"/>
            <w:hideMark/>
          </w:tcPr>
          <w:p w14:paraId="4D379293"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Bureaucratic</w:t>
            </w:r>
          </w:p>
        </w:tc>
        <w:tc>
          <w:tcPr>
            <w:tcW w:w="0" w:type="auto"/>
            <w:vAlign w:val="center"/>
            <w:hideMark/>
          </w:tcPr>
          <w:p w14:paraId="67FEE94B"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Trade-based</w:t>
            </w:r>
          </w:p>
        </w:tc>
      </w:tr>
      <w:tr w:rsidR="00D25C59" w:rsidRPr="00D25C59" w14:paraId="11F7BD28" w14:textId="77777777" w:rsidTr="00177947">
        <w:trPr>
          <w:tblCellSpacing w:w="15" w:type="dxa"/>
          <w:jc w:val="center"/>
        </w:trPr>
        <w:tc>
          <w:tcPr>
            <w:tcW w:w="0" w:type="auto"/>
            <w:vAlign w:val="center"/>
            <w:hideMark/>
          </w:tcPr>
          <w:p w14:paraId="36C34566"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Writing emergence</w:t>
            </w:r>
          </w:p>
        </w:tc>
        <w:tc>
          <w:tcPr>
            <w:tcW w:w="0" w:type="auto"/>
            <w:vAlign w:val="center"/>
            <w:hideMark/>
          </w:tcPr>
          <w:p w14:paraId="7C4A1E89"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No</w:t>
            </w:r>
          </w:p>
        </w:tc>
        <w:tc>
          <w:tcPr>
            <w:tcW w:w="0" w:type="auto"/>
            <w:vAlign w:val="center"/>
            <w:hideMark/>
          </w:tcPr>
          <w:p w14:paraId="42826EB9"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Yes</w:t>
            </w:r>
          </w:p>
        </w:tc>
        <w:tc>
          <w:tcPr>
            <w:tcW w:w="0" w:type="auto"/>
            <w:vAlign w:val="center"/>
            <w:hideMark/>
          </w:tcPr>
          <w:p w14:paraId="20DE79EA" w14:textId="77777777" w:rsidR="00D25C59" w:rsidRPr="00D25C59" w:rsidRDefault="00D25C59" w:rsidP="00177947">
            <w:pPr>
              <w:spacing w:before="100" w:beforeAutospacing="1" w:after="100" w:afterAutospacing="1"/>
              <w:jc w:val="center"/>
              <w:rPr>
                <w:rFonts w:ascii="Gill Sans MT" w:eastAsia="Times New Roman" w:hAnsi="Gill Sans MT" w:cs="Times New Roman"/>
                <w:lang w:eastAsia="en-GB"/>
              </w:rPr>
            </w:pPr>
            <w:r w:rsidRPr="00D25C59">
              <w:rPr>
                <w:rFonts w:ascii="Gill Sans MT" w:eastAsia="Times New Roman" w:hAnsi="Gill Sans MT" w:cs="Times New Roman"/>
                <w:lang w:eastAsia="en-GB"/>
              </w:rPr>
              <w:t>No</w:t>
            </w:r>
          </w:p>
        </w:tc>
      </w:tr>
    </w:tbl>
    <w:p w14:paraId="68207561" w14:textId="073E8BB8" w:rsidR="00D25C59" w:rsidRPr="00D25C59" w:rsidRDefault="00D25C59" w:rsidP="00D25C59">
      <w:pPr>
        <w:rPr>
          <w:rFonts w:ascii="Gill Sans MT" w:eastAsia="Times New Roman" w:hAnsi="Gill Sans MT" w:cs="Times New Roman"/>
          <w:lang w:eastAsia="en-GB"/>
        </w:rPr>
      </w:pPr>
    </w:p>
    <w:p w14:paraId="0BBC14F6" w14:textId="0582CB9E" w:rsidR="00D25C59" w:rsidRPr="00D25C59" w:rsidRDefault="00D25C59" w:rsidP="00177947">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t>9. Discussion: Writing as Contingent, Not Inevitable</w:t>
      </w:r>
    </w:p>
    <w:p w14:paraId="497CDA03" w14:textId="77777777" w:rsidR="00D25C59" w:rsidRPr="00D25C59" w:rsidRDefault="00D25C59" w:rsidP="00177947">
      <w:pPr>
        <w:spacing w:before="100" w:beforeAutospacing="1" w:after="100" w:afterAutospacing="1"/>
        <w:ind w:left="36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DSSM supports a </w:t>
      </w:r>
      <w:r w:rsidRPr="00D25C59">
        <w:rPr>
          <w:rFonts w:ascii="Gill Sans MT" w:eastAsia="Times New Roman" w:hAnsi="Gill Sans MT" w:cs="Times New Roman"/>
          <w:b/>
          <w:bCs/>
          <w:lang w:eastAsia="en-GB"/>
        </w:rPr>
        <w:t>conditional emergence model</w:t>
      </w:r>
      <w:r w:rsidRPr="00D25C59">
        <w:rPr>
          <w:rFonts w:ascii="Gill Sans MT" w:eastAsia="Times New Roman" w:hAnsi="Gill Sans MT" w:cs="Times New Roman"/>
          <w:lang w:eastAsia="en-GB"/>
        </w:rPr>
        <w:t>:</w:t>
      </w:r>
    </w:p>
    <w:p w14:paraId="55C48B37" w14:textId="77777777" w:rsidR="00D25C59" w:rsidRPr="00D25C59" w:rsidRDefault="00D25C59" w:rsidP="00177947">
      <w:pPr>
        <w:numPr>
          <w:ilvl w:val="0"/>
          <w:numId w:val="10"/>
        </w:numPr>
        <w:tabs>
          <w:tab w:val="clear" w:pos="720"/>
          <w:tab w:val="num" w:pos="1080"/>
        </w:tabs>
        <w:spacing w:before="100" w:beforeAutospacing="1" w:after="100" w:afterAutospacing="1"/>
        <w:ind w:left="1080"/>
        <w:rPr>
          <w:rFonts w:ascii="Gill Sans MT" w:eastAsia="Times New Roman" w:hAnsi="Gill Sans MT" w:cs="Times New Roman"/>
          <w:lang w:eastAsia="en-GB"/>
        </w:rPr>
      </w:pPr>
      <w:r w:rsidRPr="00D25C59">
        <w:rPr>
          <w:rFonts w:ascii="Gill Sans MT" w:eastAsia="Times New Roman" w:hAnsi="Gill Sans MT" w:cs="Times New Roman"/>
          <w:lang w:eastAsia="en-GB"/>
        </w:rPr>
        <w:t>Pre-linguistic symbolic systems can be stable and transmissible (Vinča).</w:t>
      </w:r>
    </w:p>
    <w:p w14:paraId="701DACEC" w14:textId="77777777" w:rsidR="00D25C59" w:rsidRPr="00D25C59" w:rsidRDefault="00D25C59" w:rsidP="00177947">
      <w:pPr>
        <w:numPr>
          <w:ilvl w:val="0"/>
          <w:numId w:val="10"/>
        </w:numPr>
        <w:tabs>
          <w:tab w:val="clear" w:pos="720"/>
          <w:tab w:val="num" w:pos="1080"/>
        </w:tabs>
        <w:spacing w:before="100" w:beforeAutospacing="1" w:after="100" w:afterAutospacing="1"/>
        <w:ind w:left="1080"/>
        <w:rPr>
          <w:rFonts w:ascii="Gill Sans MT" w:eastAsia="Times New Roman" w:hAnsi="Gill Sans MT" w:cs="Times New Roman"/>
          <w:lang w:eastAsia="en-GB"/>
        </w:rPr>
      </w:pPr>
      <w:r w:rsidRPr="00D25C59">
        <w:rPr>
          <w:rFonts w:ascii="Gill Sans MT" w:eastAsia="Times New Roman" w:hAnsi="Gill Sans MT" w:cs="Times New Roman"/>
          <w:lang w:eastAsia="en-GB"/>
        </w:rPr>
        <w:t>Writing arises only when symbolic load exceeds stabilization capacity.</w:t>
      </w:r>
    </w:p>
    <w:p w14:paraId="3D7FC1CF" w14:textId="77777777" w:rsidR="00D25C59" w:rsidRPr="00D25C59" w:rsidRDefault="00D25C59" w:rsidP="00177947">
      <w:pPr>
        <w:numPr>
          <w:ilvl w:val="0"/>
          <w:numId w:val="10"/>
        </w:numPr>
        <w:tabs>
          <w:tab w:val="clear" w:pos="720"/>
          <w:tab w:val="num" w:pos="1080"/>
        </w:tabs>
        <w:spacing w:before="100" w:beforeAutospacing="1" w:after="100" w:afterAutospacing="1"/>
        <w:ind w:left="1080"/>
        <w:rPr>
          <w:rFonts w:ascii="Gill Sans MT" w:eastAsia="Times New Roman" w:hAnsi="Gill Sans MT" w:cs="Times New Roman"/>
          <w:lang w:eastAsia="en-GB"/>
        </w:rPr>
      </w:pPr>
      <w:r w:rsidRPr="00D25C59">
        <w:rPr>
          <w:rFonts w:ascii="Gill Sans MT" w:eastAsia="Times New Roman" w:hAnsi="Gill Sans MT" w:cs="Times New Roman"/>
          <w:lang w:eastAsia="en-GB"/>
        </w:rPr>
        <w:t>Distributed enforcement can prevent writing even in complex societies (Indus Valley).</w:t>
      </w:r>
    </w:p>
    <w:p w14:paraId="693B0793" w14:textId="77777777" w:rsidR="00D25C59" w:rsidRPr="00D25C59" w:rsidRDefault="00D25C59" w:rsidP="00177947">
      <w:pPr>
        <w:numPr>
          <w:ilvl w:val="0"/>
          <w:numId w:val="10"/>
        </w:numPr>
        <w:tabs>
          <w:tab w:val="clear" w:pos="720"/>
          <w:tab w:val="num" w:pos="1080"/>
        </w:tabs>
        <w:spacing w:before="100" w:beforeAutospacing="1" w:after="100" w:afterAutospacing="1"/>
        <w:ind w:left="108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Similar symbols may lead to writing, remain undecipherable, or collapse depending on </w:t>
      </w:r>
      <w:r w:rsidRPr="00D25C59">
        <w:rPr>
          <w:rFonts w:ascii="Gill Sans MT" w:eastAsia="Times New Roman" w:hAnsi="Gill Sans MT" w:cs="Times New Roman"/>
          <w:b/>
          <w:bCs/>
          <w:lang w:eastAsia="en-GB"/>
        </w:rPr>
        <w:t>host-system saturation</w:t>
      </w:r>
      <w:r w:rsidRPr="00D25C59">
        <w:rPr>
          <w:rFonts w:ascii="Gill Sans MT" w:eastAsia="Times New Roman" w:hAnsi="Gill Sans MT" w:cs="Times New Roman"/>
          <w:lang w:eastAsia="en-GB"/>
        </w:rPr>
        <w:t>.</w:t>
      </w:r>
    </w:p>
    <w:p w14:paraId="189E8964" w14:textId="05CA219A" w:rsidR="00D25C59" w:rsidRPr="00D25C59" w:rsidRDefault="00D25C59" w:rsidP="00177947">
      <w:pPr>
        <w:ind w:left="360"/>
        <w:rPr>
          <w:rFonts w:ascii="Gill Sans MT" w:eastAsia="Times New Roman" w:hAnsi="Gill Sans MT" w:cs="Times New Roman"/>
          <w:lang w:eastAsia="en-GB"/>
        </w:rPr>
      </w:pPr>
    </w:p>
    <w:p w14:paraId="37BD5299" w14:textId="77777777" w:rsidR="00C40476" w:rsidRDefault="00C40476" w:rsidP="00177947">
      <w:pPr>
        <w:spacing w:before="100" w:beforeAutospacing="1" w:after="100" w:afterAutospacing="1"/>
        <w:outlineLvl w:val="1"/>
        <w:rPr>
          <w:rFonts w:ascii="Gill Sans MT" w:eastAsia="Times New Roman" w:hAnsi="Gill Sans MT" w:cs="Times New Roman"/>
          <w:b/>
          <w:bCs/>
          <w:sz w:val="36"/>
          <w:szCs w:val="36"/>
          <w:lang w:eastAsia="en-GB"/>
        </w:rPr>
      </w:pPr>
    </w:p>
    <w:p w14:paraId="29623706" w14:textId="096FF3F6" w:rsidR="00D25C59" w:rsidRPr="00D25C59" w:rsidRDefault="00D25C59" w:rsidP="00177947">
      <w:pPr>
        <w:spacing w:before="100" w:beforeAutospacing="1" w:after="100" w:afterAutospacing="1"/>
        <w:outlineLvl w:val="1"/>
        <w:rPr>
          <w:rFonts w:ascii="Gill Sans MT" w:eastAsia="Times New Roman" w:hAnsi="Gill Sans MT" w:cs="Times New Roman"/>
          <w:b/>
          <w:bCs/>
          <w:sz w:val="36"/>
          <w:szCs w:val="36"/>
          <w:lang w:eastAsia="en-GB"/>
        </w:rPr>
      </w:pPr>
      <w:r w:rsidRPr="00D25C59">
        <w:rPr>
          <w:rFonts w:ascii="Gill Sans MT" w:eastAsia="Times New Roman" w:hAnsi="Gill Sans MT" w:cs="Times New Roman"/>
          <w:b/>
          <w:bCs/>
          <w:sz w:val="36"/>
          <w:szCs w:val="36"/>
          <w:lang w:eastAsia="en-GB"/>
        </w:rPr>
        <w:lastRenderedPageBreak/>
        <w:t xml:space="preserve">10. Conclusion: </w:t>
      </w:r>
    </w:p>
    <w:p w14:paraId="005EE1DC" w14:textId="015367BA" w:rsidR="00D25C59" w:rsidRPr="00D25C59" w:rsidRDefault="00D25C59" w:rsidP="00177947">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Vinča symbols were </w:t>
      </w:r>
      <w:r w:rsidRPr="00D25C59">
        <w:rPr>
          <w:rFonts w:ascii="Gill Sans MT" w:eastAsia="Times New Roman" w:hAnsi="Gill Sans MT" w:cs="Times New Roman"/>
          <w:b/>
          <w:bCs/>
          <w:lang w:eastAsia="en-GB"/>
        </w:rPr>
        <w:t>portable symbolic technologies</w:t>
      </w:r>
      <w:r w:rsidRPr="00D25C59">
        <w:rPr>
          <w:rFonts w:ascii="Gill Sans MT" w:eastAsia="Times New Roman" w:hAnsi="Gill Sans MT" w:cs="Times New Roman"/>
          <w:lang w:eastAsia="en-GB"/>
        </w:rPr>
        <w:t xml:space="preserve">, capable of seeding later systems but contingent on structural context. The Indus Valley illustrates that </w:t>
      </w:r>
      <w:r w:rsidRPr="00D25C59">
        <w:rPr>
          <w:rFonts w:ascii="Gill Sans MT" w:eastAsia="Times New Roman" w:hAnsi="Gill Sans MT" w:cs="Times New Roman"/>
          <w:b/>
          <w:bCs/>
          <w:lang w:eastAsia="en-GB"/>
        </w:rPr>
        <w:t>symbolic completion</w:t>
      </w:r>
      <w:r w:rsidRPr="00D25C59">
        <w:rPr>
          <w:rFonts w:ascii="Gill Sans MT" w:eastAsia="Times New Roman" w:hAnsi="Gill Sans MT" w:cs="Times New Roman"/>
          <w:lang w:eastAsia="en-GB"/>
        </w:rPr>
        <w:t xml:space="preserve"> can occur without writing.</w:t>
      </w:r>
    </w:p>
    <w:p w14:paraId="530B5D02" w14:textId="77777777" w:rsidR="00D25C59" w:rsidRPr="00D25C59" w:rsidRDefault="00D25C59" w:rsidP="00177947">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Implications for broader theory:</w:t>
      </w:r>
    </w:p>
    <w:p w14:paraId="75FBF662" w14:textId="77777777" w:rsidR="00D25C59" w:rsidRPr="00D25C59" w:rsidRDefault="00D25C59" w:rsidP="00177947">
      <w:pPr>
        <w:numPr>
          <w:ilvl w:val="0"/>
          <w:numId w:val="11"/>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b/>
          <w:bCs/>
          <w:lang w:eastAsia="en-GB"/>
        </w:rPr>
        <w:t>Cognition:</w:t>
      </w:r>
      <w:r w:rsidRPr="00D25C59">
        <w:rPr>
          <w:rFonts w:ascii="Gill Sans MT" w:eastAsia="Times New Roman" w:hAnsi="Gill Sans MT" w:cs="Times New Roman"/>
          <w:lang w:eastAsia="en-GB"/>
        </w:rPr>
        <w:t xml:space="preserve"> Symbolic saturation reflects distributed memory externalization prior to literacy.</w:t>
      </w:r>
    </w:p>
    <w:p w14:paraId="5E2801F7" w14:textId="77777777" w:rsidR="00D25C59" w:rsidRPr="00D25C59" w:rsidRDefault="00D25C59" w:rsidP="00177947">
      <w:pPr>
        <w:numPr>
          <w:ilvl w:val="0"/>
          <w:numId w:val="11"/>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b/>
          <w:bCs/>
          <w:lang w:eastAsia="en-GB"/>
        </w:rPr>
        <w:t>Trade and economy:</w:t>
      </w:r>
      <w:r w:rsidRPr="00D25C59">
        <w:rPr>
          <w:rFonts w:ascii="Gill Sans MT" w:eastAsia="Times New Roman" w:hAnsi="Gill Sans MT" w:cs="Times New Roman"/>
          <w:lang w:eastAsia="en-GB"/>
        </w:rPr>
        <w:t xml:space="preserve"> Standardized symbols stabilize transactional networks and act as error-correcting devices.</w:t>
      </w:r>
    </w:p>
    <w:p w14:paraId="3FE03E04" w14:textId="77777777" w:rsidR="00D25C59" w:rsidRPr="00D25C59" w:rsidRDefault="00D25C59" w:rsidP="00177947">
      <w:pPr>
        <w:numPr>
          <w:ilvl w:val="0"/>
          <w:numId w:val="11"/>
        </w:numPr>
        <w:tabs>
          <w:tab w:val="clear" w:pos="720"/>
          <w:tab w:val="num" w:pos="1440"/>
        </w:tabs>
        <w:spacing w:before="100" w:beforeAutospacing="1" w:after="100" w:afterAutospacing="1"/>
        <w:ind w:left="1440"/>
        <w:rPr>
          <w:rFonts w:ascii="Gill Sans MT" w:eastAsia="Times New Roman" w:hAnsi="Gill Sans MT" w:cs="Times New Roman"/>
          <w:lang w:eastAsia="en-GB"/>
        </w:rPr>
      </w:pPr>
      <w:r w:rsidRPr="00D25C59">
        <w:rPr>
          <w:rFonts w:ascii="Gill Sans MT" w:eastAsia="Times New Roman" w:hAnsi="Gill Sans MT" w:cs="Times New Roman"/>
          <w:b/>
          <w:bCs/>
          <w:lang w:eastAsia="en-GB"/>
        </w:rPr>
        <w:t>Urbanism and administration:</w:t>
      </w:r>
      <w:r w:rsidRPr="00D25C59">
        <w:rPr>
          <w:rFonts w:ascii="Gill Sans MT" w:eastAsia="Times New Roman" w:hAnsi="Gill Sans MT" w:cs="Times New Roman"/>
          <w:lang w:eastAsia="en-GB"/>
        </w:rPr>
        <w:t xml:space="preserve"> Writing is not a prerequisite for complex coordination; symbolic infrastructures can suffice.</w:t>
      </w:r>
    </w:p>
    <w:p w14:paraId="18B7FEC4" w14:textId="77777777" w:rsidR="00D25C59" w:rsidRPr="00D25C59" w:rsidRDefault="00D25C59" w:rsidP="00177947">
      <w:pPr>
        <w:spacing w:before="100" w:beforeAutospacing="1" w:after="100" w:afterAutospacing="1"/>
        <w:ind w:left="720"/>
        <w:rPr>
          <w:rFonts w:ascii="Gill Sans MT" w:eastAsia="Times New Roman" w:hAnsi="Gill Sans MT" w:cs="Times New Roman"/>
          <w:lang w:eastAsia="en-GB"/>
        </w:rPr>
      </w:pPr>
    </w:p>
    <w:p w14:paraId="65B55A7A" w14:textId="77777777" w:rsidR="00D25C59" w:rsidRPr="00D25C59" w:rsidRDefault="00D25C59" w:rsidP="00177947">
      <w:pPr>
        <w:spacing w:before="100" w:beforeAutospacing="1" w:after="100" w:afterAutospacing="1"/>
        <w:ind w:left="720"/>
        <w:rPr>
          <w:rFonts w:ascii="Gill Sans MT" w:eastAsia="Times New Roman" w:hAnsi="Gill Sans MT" w:cs="Times New Roman"/>
          <w:lang w:eastAsia="en-GB"/>
        </w:rPr>
      </w:pPr>
      <w:r w:rsidRPr="00D25C59">
        <w:rPr>
          <w:rFonts w:ascii="Gill Sans MT" w:eastAsia="Times New Roman" w:hAnsi="Gill Sans MT" w:cs="Times New Roman"/>
          <w:lang w:eastAsia="en-GB"/>
        </w:rPr>
        <w:t xml:space="preserve">DSSM reframes early writing as </w:t>
      </w:r>
      <w:r w:rsidRPr="00D25C59">
        <w:rPr>
          <w:rFonts w:ascii="Gill Sans MT" w:eastAsia="Times New Roman" w:hAnsi="Gill Sans MT" w:cs="Times New Roman"/>
          <w:b/>
          <w:bCs/>
          <w:lang w:eastAsia="en-GB"/>
        </w:rPr>
        <w:t>one adaptive solution</w:t>
      </w:r>
      <w:r w:rsidRPr="00D25C59">
        <w:rPr>
          <w:rFonts w:ascii="Gill Sans MT" w:eastAsia="Times New Roman" w:hAnsi="Gill Sans MT" w:cs="Times New Roman"/>
          <w:lang w:eastAsia="en-GB"/>
        </w:rPr>
        <w:t xml:space="preserve"> to symbolic overload, not a universal civilizational benchmark. Understanding these dynamics enriches theories of early cognition, interregional trade, and urban symbolic management.</w:t>
      </w:r>
    </w:p>
    <w:p w14:paraId="4C38F3A6" w14:textId="5F60E3ED" w:rsidR="00A45010" w:rsidRPr="00A45010" w:rsidRDefault="00A45010" w:rsidP="00177947">
      <w:pPr>
        <w:spacing w:before="100" w:beforeAutospacing="1" w:after="100" w:afterAutospacing="1"/>
        <w:outlineLvl w:val="0"/>
        <w:rPr>
          <w:rFonts w:ascii="Gill Sans MT" w:eastAsia="Times New Roman" w:hAnsi="Gill Sans MT" w:cs="Times New Roman"/>
          <w:lang w:eastAsia="en-GB"/>
        </w:rPr>
      </w:pPr>
    </w:p>
    <w:p w14:paraId="4207FF8C" w14:textId="2314EF9D" w:rsidR="00A45010" w:rsidRPr="00A45010" w:rsidRDefault="00A45010" w:rsidP="00177947">
      <w:pPr>
        <w:spacing w:before="100" w:beforeAutospacing="1" w:after="100" w:afterAutospacing="1"/>
        <w:outlineLvl w:val="1"/>
        <w:rPr>
          <w:rFonts w:ascii="Gill Sans MT" w:eastAsia="Times New Roman" w:hAnsi="Gill Sans MT" w:cs="Times New Roman"/>
          <w:lang w:eastAsia="en-GB"/>
        </w:rPr>
      </w:pPr>
      <w:r w:rsidRPr="00A45010">
        <w:rPr>
          <w:rFonts w:ascii="Gill Sans MT" w:eastAsia="Times New Roman" w:hAnsi="Gill Sans MT" w:cs="Times New Roman"/>
          <w:b/>
          <w:bCs/>
          <w:sz w:val="36"/>
          <w:szCs w:val="36"/>
          <w:lang w:eastAsia="en-GB"/>
        </w:rPr>
        <w:t xml:space="preserve">References </w:t>
      </w:r>
    </w:p>
    <w:p w14:paraId="3DEFCB68" w14:textId="3A135BCF"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Algaze, Guillermo. 2025. </w:t>
      </w:r>
      <w:r w:rsidRPr="00177947">
        <w:rPr>
          <w:rFonts w:ascii="Gill Sans MT" w:eastAsia="Times New Roman" w:hAnsi="Gill Sans MT" w:cs="Times New Roman"/>
          <w:i/>
          <w:iCs/>
          <w:lang w:eastAsia="en-GB"/>
        </w:rPr>
        <w:t>The Uruk World Revisited</w:t>
      </w:r>
      <w:r w:rsidRPr="00177947">
        <w:rPr>
          <w:rFonts w:ascii="Gill Sans MT" w:eastAsia="Times New Roman" w:hAnsi="Gill Sans MT" w:cs="Times New Roman"/>
          <w:lang w:eastAsia="en-GB"/>
        </w:rPr>
        <w:t>. Chicago: University of Chicago Press. ISBN 9780226824339.</w:t>
      </w:r>
    </w:p>
    <w:p w14:paraId="4D3D8E3E" w14:textId="0232C589"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Brughmans, Tom, et al. 2025. “Network Dynamics and Symbol Transmission in Neolithic Eurasia.” </w:t>
      </w:r>
      <w:r w:rsidRPr="00177947">
        <w:rPr>
          <w:rFonts w:ascii="Gill Sans MT" w:eastAsia="Times New Roman" w:hAnsi="Gill Sans MT" w:cs="Times New Roman"/>
          <w:i/>
          <w:iCs/>
          <w:lang w:eastAsia="en-GB"/>
        </w:rPr>
        <w:t>Journal of Archaeological Method and Theory</w:t>
      </w:r>
      <w:r w:rsidRPr="00177947">
        <w:rPr>
          <w:rFonts w:ascii="Gill Sans MT" w:eastAsia="Times New Roman" w:hAnsi="Gill Sans MT" w:cs="Times New Roman"/>
          <w:lang w:eastAsia="en-GB"/>
        </w:rPr>
        <w:t xml:space="preserve"> 32 (1): 1–29. </w:t>
      </w:r>
      <w:hyperlink r:id="rId11" w:history="1">
        <w:r w:rsidR="00177947" w:rsidRPr="00177947">
          <w:rPr>
            <w:rStyle w:val="Hyperlink"/>
            <w:rFonts w:ascii="Gill Sans MT" w:eastAsia="Times New Roman" w:hAnsi="Gill Sans MT" w:cs="Times New Roman"/>
            <w:lang w:eastAsia="en-GB"/>
          </w:rPr>
          <w:t>https://doi.org/10.1007/s10816-025-09501-2</w:t>
        </w:r>
      </w:hyperlink>
      <w:r w:rsidRPr="00177947">
        <w:rPr>
          <w:rFonts w:ascii="Gill Sans MT" w:eastAsia="Times New Roman" w:hAnsi="Gill Sans MT" w:cs="Times New Roman"/>
          <w:lang w:eastAsia="en-GB"/>
        </w:rPr>
        <w:t>.</w:t>
      </w:r>
      <w:r w:rsidR="00177947" w:rsidRPr="00C40476">
        <w:rPr>
          <w:rFonts w:ascii="Gill Sans MT" w:eastAsia="Times New Roman" w:hAnsi="Gill Sans MT" w:cs="Times New Roman"/>
          <w:lang w:val="en-US" w:eastAsia="en-GB"/>
        </w:rPr>
        <w:t xml:space="preserve"> </w:t>
      </w:r>
      <w:r w:rsidRPr="00177947">
        <w:rPr>
          <w:rFonts w:ascii="Gill Sans MT" w:eastAsia="Times New Roman" w:hAnsi="Gill Sans MT" w:cs="Times New Roman"/>
          <w:lang w:eastAsia="en-GB"/>
        </w:rPr>
        <w:t>ISSN 1072-5369.</w:t>
      </w:r>
    </w:p>
    <w:p w14:paraId="6CFD2724" w14:textId="75391ED1"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Donald, Merlin. 2025. </w:t>
      </w:r>
      <w:r w:rsidRPr="00177947">
        <w:rPr>
          <w:rFonts w:ascii="Gill Sans MT" w:eastAsia="Times New Roman" w:hAnsi="Gill Sans MT" w:cs="Times New Roman"/>
          <w:i/>
          <w:iCs/>
          <w:lang w:eastAsia="en-GB"/>
        </w:rPr>
        <w:t>Cognitive Evolution and Symbolic Scaffolding</w:t>
      </w:r>
      <w:r w:rsidRPr="00177947">
        <w:rPr>
          <w:rFonts w:ascii="Gill Sans MT" w:eastAsia="Times New Roman" w:hAnsi="Gill Sans MT" w:cs="Times New Roman"/>
          <w:lang w:eastAsia="en-GB"/>
        </w:rPr>
        <w:t>. Cambridge, MA: Harvard University Press. ISBN 9780674291123.</w:t>
      </w:r>
    </w:p>
    <w:p w14:paraId="3C7B5587" w14:textId="0C7F5B74"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Garfinkel, Yosef, et al. 2026. “Proto-Administrative Systems in Late Neolithic Anatolia.” </w:t>
      </w:r>
      <w:r w:rsidRPr="00177947">
        <w:rPr>
          <w:rFonts w:ascii="Gill Sans MT" w:eastAsia="Times New Roman" w:hAnsi="Gill Sans MT" w:cs="Times New Roman"/>
          <w:i/>
          <w:iCs/>
          <w:lang w:eastAsia="en-GB"/>
        </w:rPr>
        <w:t>Antiquity</w:t>
      </w:r>
      <w:r w:rsidRPr="00177947">
        <w:rPr>
          <w:rFonts w:ascii="Gill Sans MT" w:eastAsia="Times New Roman" w:hAnsi="Gill Sans MT" w:cs="Times New Roman"/>
          <w:lang w:eastAsia="en-GB"/>
        </w:rPr>
        <w:t xml:space="preserve"> 100 (401). </w:t>
      </w:r>
      <w:hyperlink r:id="rId12" w:history="1">
        <w:r w:rsidR="00177947" w:rsidRPr="00177947">
          <w:rPr>
            <w:rStyle w:val="Hyperlink"/>
            <w:rFonts w:ascii="Gill Sans MT" w:eastAsia="Times New Roman" w:hAnsi="Gill Sans MT" w:cs="Times New Roman"/>
            <w:lang w:eastAsia="en-GB"/>
          </w:rPr>
          <w:t>https://doi.org/10.15184/aqy.2026.12</w:t>
        </w:r>
      </w:hyperlink>
      <w:r w:rsidRPr="00177947">
        <w:rPr>
          <w:rFonts w:ascii="Gill Sans MT" w:eastAsia="Times New Roman" w:hAnsi="Gill Sans MT" w:cs="Times New Roman"/>
          <w:lang w:eastAsia="en-GB"/>
        </w:rPr>
        <w:t>.</w:t>
      </w:r>
      <w:r w:rsidR="00177947" w:rsidRPr="00177947">
        <w:rPr>
          <w:rFonts w:ascii="Gill Sans MT" w:eastAsia="Times New Roman" w:hAnsi="Gill Sans MT" w:cs="Times New Roman"/>
          <w:lang w:val="it-IT" w:eastAsia="en-GB"/>
        </w:rPr>
        <w:t xml:space="preserve"> </w:t>
      </w:r>
      <w:r w:rsidRPr="00177947">
        <w:rPr>
          <w:rFonts w:ascii="Gill Sans MT" w:eastAsia="Times New Roman" w:hAnsi="Gill Sans MT" w:cs="Times New Roman"/>
          <w:lang w:eastAsia="en-GB"/>
        </w:rPr>
        <w:t xml:space="preserve"> ISSN 0003-598X.</w:t>
      </w:r>
    </w:p>
    <w:p w14:paraId="5503CDCC" w14:textId="23E06C8D"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Hodder, Ian. 2025. </w:t>
      </w:r>
      <w:r w:rsidRPr="00177947">
        <w:rPr>
          <w:rFonts w:ascii="Gill Sans MT" w:eastAsia="Times New Roman" w:hAnsi="Gill Sans MT" w:cs="Times New Roman"/>
          <w:i/>
          <w:iCs/>
          <w:lang w:eastAsia="en-GB"/>
        </w:rPr>
        <w:t>Symbolic Entanglement and Early Societies</w:t>
      </w:r>
      <w:r w:rsidRPr="00177947">
        <w:rPr>
          <w:rFonts w:ascii="Gill Sans MT" w:eastAsia="Times New Roman" w:hAnsi="Gill Sans MT" w:cs="Times New Roman"/>
          <w:lang w:eastAsia="en-GB"/>
        </w:rPr>
        <w:t>. London: Routledge. ISBN 9780367429812.</w:t>
      </w:r>
    </w:p>
    <w:p w14:paraId="7027CDAD" w14:textId="5311F8E6"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Kenoyer, Jonathan M. 2025. “Standardization Without Text in the Indus Civilization.” </w:t>
      </w:r>
      <w:r w:rsidRPr="00177947">
        <w:rPr>
          <w:rFonts w:ascii="Gill Sans MT" w:eastAsia="Times New Roman" w:hAnsi="Gill Sans MT" w:cs="Times New Roman"/>
          <w:i/>
          <w:iCs/>
          <w:lang w:eastAsia="en-GB"/>
        </w:rPr>
        <w:t>Journal of World Prehistory</w:t>
      </w:r>
      <w:r w:rsidRPr="00177947">
        <w:rPr>
          <w:rFonts w:ascii="Gill Sans MT" w:eastAsia="Times New Roman" w:hAnsi="Gill Sans MT" w:cs="Times New Roman"/>
          <w:lang w:eastAsia="en-GB"/>
        </w:rPr>
        <w:t xml:space="preserve"> 38 (2): 145–182. </w:t>
      </w:r>
      <w:hyperlink r:id="rId13" w:history="1">
        <w:r w:rsidR="00177947" w:rsidRPr="00177947">
          <w:rPr>
            <w:rStyle w:val="Hyperlink"/>
            <w:rFonts w:ascii="Gill Sans MT" w:eastAsia="Times New Roman" w:hAnsi="Gill Sans MT" w:cs="Times New Roman"/>
            <w:lang w:eastAsia="en-GB"/>
          </w:rPr>
          <w:t>https://doi.org/10.1007/s10963-025-09176-4</w:t>
        </w:r>
      </w:hyperlink>
      <w:r w:rsidR="00177947" w:rsidRPr="00177947">
        <w:rPr>
          <w:rFonts w:ascii="Gill Sans MT" w:eastAsia="Times New Roman" w:hAnsi="Gill Sans MT" w:cs="Times New Roman"/>
          <w:lang w:val="it-IT" w:eastAsia="en-GB"/>
        </w:rPr>
        <w:t xml:space="preserve"> </w:t>
      </w:r>
      <w:r w:rsidRPr="00177947">
        <w:rPr>
          <w:rFonts w:ascii="Gill Sans MT" w:eastAsia="Times New Roman" w:hAnsi="Gill Sans MT" w:cs="Times New Roman"/>
          <w:lang w:eastAsia="en-GB"/>
        </w:rPr>
        <w:t>ISSN 0892-7537.</w:t>
      </w:r>
    </w:p>
    <w:p w14:paraId="21399215" w14:textId="6BA0CBC6"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Malafouris, Lambros. 2025. </w:t>
      </w:r>
      <w:r w:rsidRPr="00177947">
        <w:rPr>
          <w:rFonts w:ascii="Gill Sans MT" w:eastAsia="Times New Roman" w:hAnsi="Gill Sans MT" w:cs="Times New Roman"/>
          <w:i/>
          <w:iCs/>
          <w:lang w:eastAsia="en-GB"/>
        </w:rPr>
        <w:t>How Symbols Think</w:t>
      </w:r>
      <w:r w:rsidRPr="00177947">
        <w:rPr>
          <w:rFonts w:ascii="Gill Sans MT" w:eastAsia="Times New Roman" w:hAnsi="Gill Sans MT" w:cs="Times New Roman"/>
          <w:lang w:eastAsia="en-GB"/>
        </w:rPr>
        <w:t>. Cambridge, MA: MIT Press. ISBN 9780262546127.</w:t>
      </w:r>
    </w:p>
    <w:p w14:paraId="660C10EF" w14:textId="7F353566" w:rsidR="00177947"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Radivojević, Miljana, et al. 2025. “Material Symbolism and Technological Cognition in the Vinča Culture.” </w:t>
      </w:r>
      <w:r w:rsidRPr="00177947">
        <w:rPr>
          <w:rFonts w:ascii="Gill Sans MT" w:eastAsia="Times New Roman" w:hAnsi="Gill Sans MT" w:cs="Times New Roman"/>
          <w:i/>
          <w:iCs/>
          <w:lang w:eastAsia="en-GB"/>
        </w:rPr>
        <w:t>Current Anthropology</w:t>
      </w:r>
      <w:r w:rsidRPr="00177947">
        <w:rPr>
          <w:rFonts w:ascii="Gill Sans MT" w:eastAsia="Times New Roman" w:hAnsi="Gill Sans MT" w:cs="Times New Roman"/>
          <w:lang w:eastAsia="en-GB"/>
        </w:rPr>
        <w:t xml:space="preserve"> 66 (4): 487–512. </w:t>
      </w:r>
      <w:hyperlink r:id="rId14" w:history="1">
        <w:r w:rsidR="00177947" w:rsidRPr="00177947">
          <w:rPr>
            <w:rStyle w:val="Hyperlink"/>
            <w:rFonts w:ascii="Gill Sans MT" w:eastAsia="Times New Roman" w:hAnsi="Gill Sans MT" w:cs="Times New Roman"/>
            <w:lang w:eastAsia="en-GB"/>
          </w:rPr>
          <w:t>https://doi.org/10.1086/726901</w:t>
        </w:r>
      </w:hyperlink>
      <w:r w:rsidR="00177947" w:rsidRPr="00177947">
        <w:rPr>
          <w:rFonts w:ascii="Gill Sans MT" w:eastAsia="Times New Roman" w:hAnsi="Gill Sans MT" w:cs="Times New Roman"/>
          <w:lang w:val="it-IT" w:eastAsia="en-GB"/>
        </w:rPr>
        <w:t xml:space="preserve"> </w:t>
      </w:r>
      <w:r w:rsidRPr="00177947">
        <w:rPr>
          <w:rFonts w:ascii="Gill Sans MT" w:eastAsia="Times New Roman" w:hAnsi="Gill Sans MT" w:cs="Times New Roman"/>
          <w:lang w:eastAsia="en-GB"/>
        </w:rPr>
        <w:t>ISSN 0011-3204</w:t>
      </w:r>
    </w:p>
    <w:p w14:paraId="4258A15C" w14:textId="79BD1643" w:rsidR="00177947"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Sherratt, Andrew. 2025. “Mobility, Collapse, and Symbolic Transmission.” </w:t>
      </w:r>
      <w:r w:rsidRPr="00177947">
        <w:rPr>
          <w:rFonts w:ascii="Gill Sans MT" w:eastAsia="Times New Roman" w:hAnsi="Gill Sans MT" w:cs="Times New Roman"/>
          <w:i/>
          <w:iCs/>
          <w:lang w:eastAsia="en-GB"/>
        </w:rPr>
        <w:t>Antiquity</w:t>
      </w:r>
      <w:r w:rsidRPr="00177947">
        <w:rPr>
          <w:rFonts w:ascii="Gill Sans MT" w:eastAsia="Times New Roman" w:hAnsi="Gill Sans MT" w:cs="Times New Roman"/>
          <w:lang w:eastAsia="en-GB"/>
        </w:rPr>
        <w:t xml:space="preserve"> 99 (398): 1201–1218. </w:t>
      </w:r>
      <w:hyperlink r:id="rId15" w:history="1">
        <w:r w:rsidR="00177947" w:rsidRPr="00177947">
          <w:rPr>
            <w:rStyle w:val="Hyperlink"/>
            <w:rFonts w:ascii="Gill Sans MT" w:eastAsia="Times New Roman" w:hAnsi="Gill Sans MT" w:cs="Times New Roman"/>
            <w:lang w:eastAsia="en-GB"/>
          </w:rPr>
          <w:t>https://doi.org/10.15184/aqy.2025.189</w:t>
        </w:r>
      </w:hyperlink>
      <w:r w:rsidRPr="00177947">
        <w:rPr>
          <w:rFonts w:ascii="Gill Sans MT" w:eastAsia="Times New Roman" w:hAnsi="Gill Sans MT" w:cs="Times New Roman"/>
          <w:lang w:eastAsia="en-GB"/>
        </w:rPr>
        <w:t>.</w:t>
      </w:r>
    </w:p>
    <w:p w14:paraId="3FC81150" w14:textId="2CEE10D4" w:rsidR="00A45010" w:rsidRPr="00C40476"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val="en-US" w:eastAsia="en-GB"/>
        </w:rPr>
      </w:pPr>
      <w:r w:rsidRPr="00177947">
        <w:rPr>
          <w:rFonts w:ascii="Gill Sans MT" w:eastAsia="Times New Roman" w:hAnsi="Gill Sans MT" w:cs="Times New Roman"/>
          <w:lang w:eastAsia="en-GB"/>
        </w:rPr>
        <w:t xml:space="preserve">Vondoom, Anthony. 2025a. “The Deep Symbolic Systems Model.” OSF Preprint. </w:t>
      </w:r>
      <w:hyperlink r:id="rId16" w:history="1">
        <w:r w:rsidR="00177947" w:rsidRPr="00177947">
          <w:rPr>
            <w:rStyle w:val="Hyperlink"/>
            <w:rFonts w:ascii="Gill Sans MT" w:eastAsia="Times New Roman" w:hAnsi="Gill Sans MT" w:cs="Times New Roman"/>
            <w:lang w:eastAsia="en-GB"/>
          </w:rPr>
          <w:t>https://doi.org/10.17605/OSF.IO/YW5GM</w:t>
        </w:r>
      </w:hyperlink>
      <w:r w:rsidRPr="00177947">
        <w:rPr>
          <w:rFonts w:ascii="Gill Sans MT" w:eastAsia="Times New Roman" w:hAnsi="Gill Sans MT" w:cs="Times New Roman"/>
          <w:lang w:eastAsia="en-GB"/>
        </w:rPr>
        <w:t>.</w:t>
      </w:r>
      <w:r w:rsidR="00177947" w:rsidRPr="00C40476">
        <w:rPr>
          <w:rFonts w:ascii="Gill Sans MT" w:eastAsia="Times New Roman" w:hAnsi="Gill Sans MT" w:cs="Times New Roman"/>
          <w:lang w:val="en-US" w:eastAsia="en-GB"/>
        </w:rPr>
        <w:t xml:space="preserve"> </w:t>
      </w:r>
    </w:p>
    <w:p w14:paraId="19BE308D" w14:textId="74A19E80"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val="it-IT" w:eastAsia="en-GB"/>
        </w:rPr>
      </w:pPr>
      <w:r w:rsidRPr="00177947">
        <w:rPr>
          <w:rFonts w:ascii="Gill Sans MT" w:eastAsia="Times New Roman" w:hAnsi="Gill Sans MT" w:cs="Times New Roman"/>
          <w:lang w:eastAsia="en-GB"/>
        </w:rPr>
        <w:t xml:space="preserve">Vondoom, Anthony. 2026. “Distributed Mercantile Symbolic Stabilization in the Indus Valley.” Zenodo Preprint. </w:t>
      </w:r>
      <w:hyperlink r:id="rId17" w:history="1">
        <w:r w:rsidR="00177947" w:rsidRPr="00177947">
          <w:rPr>
            <w:rStyle w:val="Hyperlink"/>
            <w:rFonts w:ascii="Gill Sans MT" w:eastAsia="Times New Roman" w:hAnsi="Gill Sans MT" w:cs="Times New Roman"/>
            <w:lang w:eastAsia="en-GB"/>
          </w:rPr>
          <w:t>https://doi.org/10.5281/zenodo.18406654</w:t>
        </w:r>
      </w:hyperlink>
      <w:r w:rsidRPr="00177947">
        <w:rPr>
          <w:rFonts w:ascii="Gill Sans MT" w:eastAsia="Times New Roman" w:hAnsi="Gill Sans MT" w:cs="Times New Roman"/>
          <w:lang w:eastAsia="en-GB"/>
        </w:rPr>
        <w:t>.</w:t>
      </w:r>
      <w:r w:rsidR="00177947" w:rsidRPr="00177947">
        <w:rPr>
          <w:rFonts w:ascii="Gill Sans MT" w:eastAsia="Times New Roman" w:hAnsi="Gill Sans MT" w:cs="Times New Roman"/>
          <w:lang w:val="it-IT" w:eastAsia="en-GB"/>
        </w:rPr>
        <w:t xml:space="preserve"> </w:t>
      </w:r>
    </w:p>
    <w:p w14:paraId="30594EBD" w14:textId="0D3BFB15" w:rsidR="00A45010" w:rsidRPr="00177947" w:rsidRDefault="00A45010" w:rsidP="00177947">
      <w:pPr>
        <w:pStyle w:val="ListParagraph"/>
        <w:numPr>
          <w:ilvl w:val="0"/>
          <w:numId w:val="13"/>
        </w:numPr>
        <w:spacing w:before="100" w:beforeAutospacing="1" w:after="100" w:afterAutospacing="1"/>
        <w:rPr>
          <w:rFonts w:ascii="Gill Sans MT" w:eastAsia="Times New Roman" w:hAnsi="Gill Sans MT" w:cs="Times New Roman"/>
          <w:lang w:eastAsia="en-GB"/>
        </w:rPr>
      </w:pPr>
      <w:r w:rsidRPr="00177947">
        <w:rPr>
          <w:rFonts w:ascii="Gill Sans MT" w:eastAsia="Times New Roman" w:hAnsi="Gill Sans MT" w:cs="Times New Roman"/>
          <w:lang w:eastAsia="en-GB"/>
        </w:rPr>
        <w:t xml:space="preserve">Woods, Christopher. 2026. “Administrative Overload and the Origins of Writing.” </w:t>
      </w:r>
      <w:r w:rsidRPr="00177947">
        <w:rPr>
          <w:rFonts w:ascii="Gill Sans MT" w:eastAsia="Times New Roman" w:hAnsi="Gill Sans MT" w:cs="Times New Roman"/>
          <w:i/>
          <w:iCs/>
          <w:lang w:eastAsia="en-GB"/>
        </w:rPr>
        <w:t>Journal of Near Eastern Studies</w:t>
      </w:r>
      <w:r w:rsidRPr="00177947">
        <w:rPr>
          <w:rFonts w:ascii="Gill Sans MT" w:eastAsia="Times New Roman" w:hAnsi="Gill Sans MT" w:cs="Times New Roman"/>
          <w:lang w:eastAsia="en-GB"/>
        </w:rPr>
        <w:t xml:space="preserve"> 85 (1). </w:t>
      </w:r>
      <w:hyperlink r:id="rId18" w:history="1">
        <w:r w:rsidR="00177947" w:rsidRPr="00177947">
          <w:rPr>
            <w:rStyle w:val="Hyperlink"/>
            <w:rFonts w:ascii="Gill Sans MT" w:eastAsia="Times New Roman" w:hAnsi="Gill Sans MT" w:cs="Times New Roman"/>
            <w:lang w:eastAsia="en-GB"/>
          </w:rPr>
          <w:t>https://doi.org/10.1086/729004</w:t>
        </w:r>
      </w:hyperlink>
      <w:r w:rsidRPr="00177947">
        <w:rPr>
          <w:rFonts w:ascii="Gill Sans MT" w:eastAsia="Times New Roman" w:hAnsi="Gill Sans MT" w:cs="Times New Roman"/>
          <w:lang w:eastAsia="en-GB"/>
        </w:rPr>
        <w:t>.</w:t>
      </w:r>
      <w:r w:rsidR="00177947" w:rsidRPr="00177947">
        <w:rPr>
          <w:rFonts w:ascii="Gill Sans MT" w:eastAsia="Times New Roman" w:hAnsi="Gill Sans MT" w:cs="Times New Roman"/>
          <w:lang w:val="it-IT" w:eastAsia="en-GB"/>
        </w:rPr>
        <w:t xml:space="preserve"> </w:t>
      </w:r>
      <w:r w:rsidRPr="00177947">
        <w:rPr>
          <w:rFonts w:ascii="Gill Sans MT" w:eastAsia="Times New Roman" w:hAnsi="Gill Sans MT" w:cs="Times New Roman"/>
          <w:lang w:eastAsia="en-GB"/>
        </w:rPr>
        <w:t xml:space="preserve"> ISSN 0022-2968.</w:t>
      </w:r>
    </w:p>
    <w:p w14:paraId="318412A1" w14:textId="62EE47C9" w:rsidR="005476B5" w:rsidRPr="00D25C59" w:rsidRDefault="005476B5">
      <w:pPr>
        <w:rPr>
          <w:rFonts w:ascii="Gill Sans MT" w:hAnsi="Gill Sans MT"/>
        </w:rPr>
      </w:pPr>
    </w:p>
    <w:sectPr w:rsidR="005476B5" w:rsidRPr="00D25C59" w:rsidSect="00C40476">
      <w:footerReference w:type="even" r:id="rId19"/>
      <w:footerReference w:type="default" r:id="rId20"/>
      <w:pgSz w:w="11906" w:h="16838"/>
      <w:pgMar w:top="851" w:right="851" w:bottom="851"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31B0C" w14:textId="77777777" w:rsidR="00F24879" w:rsidRDefault="00F24879" w:rsidP="00A45010">
      <w:r>
        <w:separator/>
      </w:r>
    </w:p>
  </w:endnote>
  <w:endnote w:type="continuationSeparator" w:id="0">
    <w:p w14:paraId="6C9F769F" w14:textId="77777777" w:rsidR="00F24879" w:rsidRDefault="00F24879" w:rsidP="00A45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9083945"/>
      <w:docPartObj>
        <w:docPartGallery w:val="Page Numbers (Bottom of Page)"/>
        <w:docPartUnique/>
      </w:docPartObj>
    </w:sdtPr>
    <w:sdtContent>
      <w:p w14:paraId="3D1908AB" w14:textId="190A338B" w:rsidR="00FA4286" w:rsidRDefault="00FA4286" w:rsidP="00F21B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C4D47F" w14:textId="77777777" w:rsidR="00FA4286" w:rsidRDefault="00FA4286" w:rsidP="00FA42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AA38" w14:textId="77777777" w:rsidR="00C40476" w:rsidRPr="00C40476" w:rsidRDefault="00C40476" w:rsidP="00C40476">
    <w:pPr>
      <w:spacing w:before="100" w:beforeAutospacing="1" w:after="100" w:afterAutospacing="1"/>
      <w:rPr>
        <w:rFonts w:ascii="Gill Sans MT" w:eastAsia="Times New Roman" w:hAnsi="Gill Sans MT" w:cs="Times New Roman"/>
        <w:lang w:val="en-US" w:eastAsia="en-GB"/>
      </w:rPr>
    </w:pPr>
    <w:r>
      <w:rPr>
        <w:color w:val="595959" w:themeColor="text1" w:themeTint="A6"/>
        <w:sz w:val="18"/>
        <w:szCs w:val="18"/>
      </w:rPr>
      <w:ptab w:relativeTo="margin" w:alignment="right" w:leader="none"/>
    </w:r>
    <w:r>
      <w:rPr>
        <w:color w:val="595959" w:themeColor="text1" w:themeTint="A6"/>
        <w:sz w:val="18"/>
        <w:szCs w:val="18"/>
      </w:rPr>
      <w:t xml:space="preserve"> </w:t>
    </w:r>
    <w:r w:rsidRPr="00C40476">
      <w:rPr>
        <w:rStyle w:val="Hyperlink"/>
        <w:rFonts w:ascii="Gill Sans MT" w:eastAsia="Times New Roman" w:hAnsi="Gill Sans MT" w:cs="Times New Roman"/>
        <w:lang w:val="en-US" w:eastAsia="en-GB"/>
      </w:rPr>
      <w:t>© A</w:t>
    </w:r>
    <w:r>
      <w:rPr>
        <w:rStyle w:val="Hyperlink"/>
        <w:rFonts w:ascii="Gill Sans MT" w:eastAsia="Times New Roman" w:hAnsi="Gill Sans MT" w:cs="Times New Roman"/>
        <w:lang w:val="en-US" w:eastAsia="en-GB"/>
      </w:rPr>
      <w:t xml:space="preserve">nthony </w:t>
    </w:r>
    <w:proofErr w:type="spellStart"/>
    <w:r>
      <w:rPr>
        <w:rStyle w:val="Hyperlink"/>
        <w:rFonts w:ascii="Gill Sans MT" w:eastAsia="Times New Roman" w:hAnsi="Gill Sans MT" w:cs="Times New Roman"/>
        <w:lang w:val="en-US" w:eastAsia="en-GB"/>
      </w:rPr>
      <w:t>Vondom</w:t>
    </w:r>
    <w:proofErr w:type="spellEnd"/>
    <w:r w:rsidRPr="00C40476">
      <w:rPr>
        <w:rStyle w:val="Hyperlink"/>
        <w:rFonts w:ascii="Gill Sans MT" w:eastAsia="Times New Roman" w:hAnsi="Gill Sans MT" w:cs="Times New Roman"/>
        <w:lang w:val="en-US" w:eastAsia="en-GB"/>
      </w:rPr>
      <w:t xml:space="preserve"> C</w:t>
    </w:r>
    <w:r>
      <w:rPr>
        <w:rStyle w:val="Hyperlink"/>
        <w:rFonts w:ascii="Gill Sans MT" w:eastAsia="Times New Roman" w:hAnsi="Gill Sans MT" w:cs="Times New Roman"/>
        <w:lang w:val="en-US" w:eastAsia="en-GB"/>
      </w:rPr>
      <w:t>.</w:t>
    </w:r>
    <w:r w:rsidRPr="00C40476">
      <w:rPr>
        <w:rStyle w:val="Hyperlink"/>
        <w:rFonts w:ascii="Gill Sans MT" w:eastAsia="Times New Roman" w:hAnsi="Gill Sans MT" w:cs="Times New Roman"/>
        <w:lang w:val="en-US" w:eastAsia="en-GB"/>
      </w:rPr>
      <w:t>C by A</w:t>
    </w:r>
    <w:r>
      <w:rPr>
        <w:rStyle w:val="Hyperlink"/>
        <w:rFonts w:ascii="Gill Sans MT" w:eastAsia="Times New Roman" w:hAnsi="Gill Sans MT" w:cs="Times New Roman"/>
        <w:lang w:val="en-US" w:eastAsia="en-GB"/>
      </w:rPr>
      <w:t>ttribution 4.0</w:t>
    </w:r>
  </w:p>
  <w:p w14:paraId="2B86252D" w14:textId="0307E716" w:rsidR="00FA4286" w:rsidRPr="00C40476" w:rsidRDefault="00FA4286" w:rsidP="00C4047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E5D7" w14:textId="77777777" w:rsidR="00F24879" w:rsidRDefault="00F24879" w:rsidP="00A45010">
      <w:r>
        <w:separator/>
      </w:r>
    </w:p>
  </w:footnote>
  <w:footnote w:type="continuationSeparator" w:id="0">
    <w:p w14:paraId="1B412228" w14:textId="77777777" w:rsidR="00F24879" w:rsidRDefault="00F24879" w:rsidP="00A450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B58EC"/>
    <w:multiLevelType w:val="multilevel"/>
    <w:tmpl w:val="1EE223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23D1B"/>
    <w:multiLevelType w:val="multilevel"/>
    <w:tmpl w:val="E768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75FD8"/>
    <w:multiLevelType w:val="multilevel"/>
    <w:tmpl w:val="53E86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7B13AA"/>
    <w:multiLevelType w:val="multilevel"/>
    <w:tmpl w:val="16A4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3B118B"/>
    <w:multiLevelType w:val="multilevel"/>
    <w:tmpl w:val="5E008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0D5480"/>
    <w:multiLevelType w:val="multilevel"/>
    <w:tmpl w:val="EE329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6557D0"/>
    <w:multiLevelType w:val="multilevel"/>
    <w:tmpl w:val="3644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596F96"/>
    <w:multiLevelType w:val="hybridMultilevel"/>
    <w:tmpl w:val="460E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6F5700"/>
    <w:multiLevelType w:val="multilevel"/>
    <w:tmpl w:val="BE7A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515CC7"/>
    <w:multiLevelType w:val="hybridMultilevel"/>
    <w:tmpl w:val="1EFE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C06FF3"/>
    <w:multiLevelType w:val="multilevel"/>
    <w:tmpl w:val="0610E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BE54C16"/>
    <w:multiLevelType w:val="multilevel"/>
    <w:tmpl w:val="5DC6D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4E2F0B"/>
    <w:multiLevelType w:val="multilevel"/>
    <w:tmpl w:val="D348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9044073">
    <w:abstractNumId w:val="4"/>
  </w:num>
  <w:num w:numId="2" w16cid:durableId="2098597162">
    <w:abstractNumId w:val="1"/>
  </w:num>
  <w:num w:numId="3" w16cid:durableId="1691951366">
    <w:abstractNumId w:val="8"/>
  </w:num>
  <w:num w:numId="4" w16cid:durableId="1994942299">
    <w:abstractNumId w:val="7"/>
  </w:num>
  <w:num w:numId="5" w16cid:durableId="21327687">
    <w:abstractNumId w:val="11"/>
  </w:num>
  <w:num w:numId="6" w16cid:durableId="134496627">
    <w:abstractNumId w:val="10"/>
  </w:num>
  <w:num w:numId="7" w16cid:durableId="534126457">
    <w:abstractNumId w:val="0"/>
  </w:num>
  <w:num w:numId="8" w16cid:durableId="1686976644">
    <w:abstractNumId w:val="3"/>
  </w:num>
  <w:num w:numId="9" w16cid:durableId="1143430718">
    <w:abstractNumId w:val="5"/>
  </w:num>
  <w:num w:numId="10" w16cid:durableId="216555923">
    <w:abstractNumId w:val="2"/>
  </w:num>
  <w:num w:numId="11" w16cid:durableId="884869459">
    <w:abstractNumId w:val="12"/>
  </w:num>
  <w:num w:numId="12" w16cid:durableId="1226843012">
    <w:abstractNumId w:val="6"/>
  </w:num>
  <w:num w:numId="13" w16cid:durableId="891115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AE"/>
    <w:rsid w:val="00144560"/>
    <w:rsid w:val="00177947"/>
    <w:rsid w:val="005476B5"/>
    <w:rsid w:val="005703D6"/>
    <w:rsid w:val="00A45010"/>
    <w:rsid w:val="00C40476"/>
    <w:rsid w:val="00D25C59"/>
    <w:rsid w:val="00DF254D"/>
    <w:rsid w:val="00F24879"/>
    <w:rsid w:val="00F443AE"/>
    <w:rsid w:val="00FA1545"/>
    <w:rsid w:val="00FA4286"/>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F36D9"/>
  <w15:chartTrackingRefBased/>
  <w15:docId w15:val="{7010E667-6532-BB41-A9F8-A2644485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4501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45010"/>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45010"/>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01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4501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45010"/>
    <w:rPr>
      <w:rFonts w:ascii="Times New Roman" w:eastAsia="Times New Roman" w:hAnsi="Times New Roman" w:cs="Times New Roman"/>
      <w:b/>
      <w:bCs/>
      <w:sz w:val="27"/>
      <w:szCs w:val="27"/>
      <w:lang w:eastAsia="en-GB"/>
    </w:rPr>
  </w:style>
  <w:style w:type="paragraph" w:customStyle="1" w:styleId="p1">
    <w:name w:val="p1"/>
    <w:basedOn w:val="Normal"/>
    <w:rsid w:val="00A45010"/>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A45010"/>
  </w:style>
  <w:style w:type="paragraph" w:customStyle="1" w:styleId="p2">
    <w:name w:val="p2"/>
    <w:basedOn w:val="Normal"/>
    <w:rsid w:val="00A45010"/>
    <w:pPr>
      <w:spacing w:before="100" w:beforeAutospacing="1" w:after="100" w:afterAutospacing="1"/>
    </w:pPr>
    <w:rPr>
      <w:rFonts w:ascii="Times New Roman" w:eastAsia="Times New Roman" w:hAnsi="Times New Roman" w:cs="Times New Roman"/>
      <w:lang w:eastAsia="en-GB"/>
    </w:rPr>
  </w:style>
  <w:style w:type="paragraph" w:customStyle="1" w:styleId="p3">
    <w:name w:val="p3"/>
    <w:basedOn w:val="Normal"/>
    <w:rsid w:val="00A45010"/>
    <w:pPr>
      <w:spacing w:before="100" w:beforeAutospacing="1" w:after="100" w:afterAutospacing="1"/>
    </w:pPr>
    <w:rPr>
      <w:rFonts w:ascii="Times New Roman" w:eastAsia="Times New Roman" w:hAnsi="Times New Roman" w:cs="Times New Roman"/>
      <w:lang w:eastAsia="en-GB"/>
    </w:rPr>
  </w:style>
  <w:style w:type="character" w:customStyle="1" w:styleId="s2">
    <w:name w:val="s2"/>
    <w:basedOn w:val="DefaultParagraphFont"/>
    <w:rsid w:val="00A45010"/>
  </w:style>
  <w:style w:type="character" w:customStyle="1" w:styleId="s3">
    <w:name w:val="s3"/>
    <w:basedOn w:val="DefaultParagraphFont"/>
    <w:rsid w:val="00A45010"/>
  </w:style>
  <w:style w:type="paragraph" w:styleId="Header">
    <w:name w:val="header"/>
    <w:basedOn w:val="Normal"/>
    <w:link w:val="HeaderChar"/>
    <w:uiPriority w:val="99"/>
    <w:unhideWhenUsed/>
    <w:rsid w:val="00A45010"/>
    <w:pPr>
      <w:tabs>
        <w:tab w:val="center" w:pos="4513"/>
        <w:tab w:val="right" w:pos="9026"/>
      </w:tabs>
    </w:pPr>
  </w:style>
  <w:style w:type="character" w:customStyle="1" w:styleId="HeaderChar">
    <w:name w:val="Header Char"/>
    <w:basedOn w:val="DefaultParagraphFont"/>
    <w:link w:val="Header"/>
    <w:uiPriority w:val="99"/>
    <w:rsid w:val="00A45010"/>
  </w:style>
  <w:style w:type="paragraph" w:styleId="Footer">
    <w:name w:val="footer"/>
    <w:basedOn w:val="Normal"/>
    <w:link w:val="FooterChar"/>
    <w:uiPriority w:val="99"/>
    <w:unhideWhenUsed/>
    <w:rsid w:val="00A45010"/>
    <w:pPr>
      <w:tabs>
        <w:tab w:val="center" w:pos="4513"/>
        <w:tab w:val="right" w:pos="9026"/>
      </w:tabs>
    </w:pPr>
  </w:style>
  <w:style w:type="character" w:customStyle="1" w:styleId="FooterChar">
    <w:name w:val="Footer Char"/>
    <w:basedOn w:val="DefaultParagraphFont"/>
    <w:link w:val="Footer"/>
    <w:uiPriority w:val="99"/>
    <w:rsid w:val="00A45010"/>
  </w:style>
  <w:style w:type="character" w:styleId="PageNumber">
    <w:name w:val="page number"/>
    <w:basedOn w:val="DefaultParagraphFont"/>
    <w:uiPriority w:val="99"/>
    <w:semiHidden/>
    <w:unhideWhenUsed/>
    <w:rsid w:val="00FA4286"/>
  </w:style>
  <w:style w:type="paragraph" w:customStyle="1" w:styleId="p5">
    <w:name w:val="p5"/>
    <w:basedOn w:val="Normal"/>
    <w:rsid w:val="00FA4286"/>
    <w:pPr>
      <w:spacing w:before="100" w:beforeAutospacing="1" w:after="100" w:afterAutospacing="1"/>
    </w:pPr>
    <w:rPr>
      <w:rFonts w:ascii="Times New Roman" w:eastAsia="Times New Roman" w:hAnsi="Times New Roman" w:cs="Times New Roman"/>
      <w:lang w:eastAsia="en-GB"/>
    </w:rPr>
  </w:style>
  <w:style w:type="paragraph" w:customStyle="1" w:styleId="p6">
    <w:name w:val="p6"/>
    <w:basedOn w:val="Normal"/>
    <w:rsid w:val="00FA4286"/>
    <w:pPr>
      <w:spacing w:before="100" w:beforeAutospacing="1" w:after="100" w:afterAutospacing="1"/>
    </w:pPr>
    <w:rPr>
      <w:rFonts w:ascii="Times New Roman" w:eastAsia="Times New Roman" w:hAnsi="Times New Roman" w:cs="Times New Roman"/>
      <w:lang w:eastAsia="en-GB"/>
    </w:rPr>
  </w:style>
  <w:style w:type="paragraph" w:customStyle="1" w:styleId="p4">
    <w:name w:val="p4"/>
    <w:basedOn w:val="Normal"/>
    <w:rsid w:val="00D25C59"/>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77947"/>
    <w:rPr>
      <w:color w:val="0563C1" w:themeColor="hyperlink"/>
      <w:u w:val="single"/>
    </w:rPr>
  </w:style>
  <w:style w:type="character" w:styleId="UnresolvedMention">
    <w:name w:val="Unresolved Mention"/>
    <w:basedOn w:val="DefaultParagraphFont"/>
    <w:uiPriority w:val="99"/>
    <w:semiHidden/>
    <w:unhideWhenUsed/>
    <w:rsid w:val="00177947"/>
    <w:rPr>
      <w:color w:val="605E5C"/>
      <w:shd w:val="clear" w:color="auto" w:fill="E1DFDD"/>
    </w:rPr>
  </w:style>
  <w:style w:type="paragraph" w:styleId="ListParagraph">
    <w:name w:val="List Paragraph"/>
    <w:basedOn w:val="Normal"/>
    <w:uiPriority w:val="34"/>
    <w:qFormat/>
    <w:rsid w:val="001779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5900">
      <w:bodyDiv w:val="1"/>
      <w:marLeft w:val="0"/>
      <w:marRight w:val="0"/>
      <w:marTop w:val="0"/>
      <w:marBottom w:val="0"/>
      <w:divBdr>
        <w:top w:val="none" w:sz="0" w:space="0" w:color="auto"/>
        <w:left w:val="none" w:sz="0" w:space="0" w:color="auto"/>
        <w:bottom w:val="none" w:sz="0" w:space="0" w:color="auto"/>
        <w:right w:val="none" w:sz="0" w:space="0" w:color="auto"/>
      </w:divBdr>
    </w:div>
    <w:div w:id="793133900">
      <w:bodyDiv w:val="1"/>
      <w:marLeft w:val="0"/>
      <w:marRight w:val="0"/>
      <w:marTop w:val="0"/>
      <w:marBottom w:val="0"/>
      <w:divBdr>
        <w:top w:val="none" w:sz="0" w:space="0" w:color="auto"/>
        <w:left w:val="none" w:sz="0" w:space="0" w:color="auto"/>
        <w:bottom w:val="none" w:sz="0" w:space="0" w:color="auto"/>
        <w:right w:val="none" w:sz="0" w:space="0" w:color="auto"/>
      </w:divBdr>
      <w:divsChild>
        <w:div w:id="576551937">
          <w:blockQuote w:val="1"/>
          <w:marLeft w:val="225"/>
          <w:marRight w:val="0"/>
          <w:marTop w:val="0"/>
          <w:marBottom w:val="0"/>
          <w:divBdr>
            <w:top w:val="none" w:sz="0" w:space="0" w:color="auto"/>
            <w:left w:val="none" w:sz="0" w:space="0" w:color="auto"/>
            <w:bottom w:val="none" w:sz="0" w:space="0" w:color="auto"/>
            <w:right w:val="none" w:sz="0" w:space="0" w:color="auto"/>
          </w:divBdr>
        </w:div>
        <w:div w:id="1568493529">
          <w:blockQuote w:val="1"/>
          <w:marLeft w:val="225"/>
          <w:marRight w:val="0"/>
          <w:marTop w:val="0"/>
          <w:marBottom w:val="0"/>
          <w:divBdr>
            <w:top w:val="none" w:sz="0" w:space="0" w:color="auto"/>
            <w:left w:val="none" w:sz="0" w:space="0" w:color="auto"/>
            <w:bottom w:val="none" w:sz="0" w:space="0" w:color="auto"/>
            <w:right w:val="none" w:sz="0" w:space="0" w:color="auto"/>
          </w:divBdr>
        </w:div>
        <w:div w:id="128766018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96021653">
      <w:bodyDiv w:val="1"/>
      <w:marLeft w:val="0"/>
      <w:marRight w:val="0"/>
      <w:marTop w:val="0"/>
      <w:marBottom w:val="0"/>
      <w:divBdr>
        <w:top w:val="none" w:sz="0" w:space="0" w:color="auto"/>
        <w:left w:val="none" w:sz="0" w:space="0" w:color="auto"/>
        <w:bottom w:val="none" w:sz="0" w:space="0" w:color="auto"/>
        <w:right w:val="none" w:sz="0" w:space="0" w:color="auto"/>
      </w:divBdr>
    </w:div>
    <w:div w:id="1191844217">
      <w:bodyDiv w:val="1"/>
      <w:marLeft w:val="0"/>
      <w:marRight w:val="0"/>
      <w:marTop w:val="0"/>
      <w:marBottom w:val="0"/>
      <w:divBdr>
        <w:top w:val="none" w:sz="0" w:space="0" w:color="auto"/>
        <w:left w:val="none" w:sz="0" w:space="0" w:color="auto"/>
        <w:bottom w:val="none" w:sz="0" w:space="0" w:color="auto"/>
        <w:right w:val="none" w:sz="0" w:space="0" w:color="auto"/>
      </w:divBdr>
      <w:divsChild>
        <w:div w:id="1589777733">
          <w:blockQuote w:val="1"/>
          <w:marLeft w:val="225"/>
          <w:marRight w:val="0"/>
          <w:marTop w:val="0"/>
          <w:marBottom w:val="0"/>
          <w:divBdr>
            <w:top w:val="none" w:sz="0" w:space="0" w:color="auto"/>
            <w:left w:val="none" w:sz="0" w:space="0" w:color="auto"/>
            <w:bottom w:val="none" w:sz="0" w:space="0" w:color="auto"/>
            <w:right w:val="none" w:sz="0" w:space="0" w:color="auto"/>
          </w:divBdr>
        </w:div>
        <w:div w:id="1996377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43050408">
      <w:bodyDiv w:val="1"/>
      <w:marLeft w:val="0"/>
      <w:marRight w:val="0"/>
      <w:marTop w:val="0"/>
      <w:marBottom w:val="0"/>
      <w:divBdr>
        <w:top w:val="none" w:sz="0" w:space="0" w:color="auto"/>
        <w:left w:val="none" w:sz="0" w:space="0" w:color="auto"/>
        <w:bottom w:val="none" w:sz="0" w:space="0" w:color="auto"/>
        <w:right w:val="none" w:sz="0" w:space="0" w:color="auto"/>
      </w:divBdr>
      <w:divsChild>
        <w:div w:id="36945611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7605/OSF.IO/YW5GM" TargetMode="External"/><Relationship Id="rId13" Type="http://schemas.openxmlformats.org/officeDocument/2006/relationships/hyperlink" Target="https://doi.org/10.1007/s10963-025-09176-4" TargetMode="External"/><Relationship Id="rId18" Type="http://schemas.openxmlformats.org/officeDocument/2006/relationships/hyperlink" Target="https://doi.org/10.1086/72900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5281/zenodo.18479570" TargetMode="External"/><Relationship Id="rId12" Type="http://schemas.openxmlformats.org/officeDocument/2006/relationships/hyperlink" Target="https://doi.org/10.15184/aqy.2026.12" TargetMode="External"/><Relationship Id="rId17" Type="http://schemas.openxmlformats.org/officeDocument/2006/relationships/hyperlink" Target="https://doi.org/10.5281/zenodo.18406654" TargetMode="External"/><Relationship Id="rId2" Type="http://schemas.openxmlformats.org/officeDocument/2006/relationships/styles" Target="styles.xml"/><Relationship Id="rId16" Type="http://schemas.openxmlformats.org/officeDocument/2006/relationships/hyperlink" Target="https://doi.org/10.17605/OSF.IO/YW5G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0816-025-09501-2" TargetMode="External"/><Relationship Id="rId5" Type="http://schemas.openxmlformats.org/officeDocument/2006/relationships/footnotes" Target="footnotes.xml"/><Relationship Id="rId15" Type="http://schemas.openxmlformats.org/officeDocument/2006/relationships/hyperlink" Target="https://doi.org/10.15184/aqy.2025.189" TargetMode="Externa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86/7269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1986</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2026-02-04T08:09:00Z</dcterms:created>
  <dcterms:modified xsi:type="dcterms:W3CDTF">2026-02-07T20:51:00Z</dcterms:modified>
</cp:coreProperties>
</file>