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69D5" w:rsidRPr="005169D5" w:rsidRDefault="005169D5" w:rsidP="005169D5">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8F472B">
        <w:rPr>
          <w:rFonts w:ascii="Times New Roman" w:eastAsia="Times New Roman" w:hAnsi="Times New Roman" w:cs="Times New Roman"/>
          <w:b/>
          <w:bCs/>
          <w:kern w:val="36"/>
          <w:sz w:val="52"/>
          <w:szCs w:val="52"/>
          <w:lang w:eastAsia="en-GB"/>
        </w:rPr>
        <w:t>Vinca Symbols and Early Symbolic Transmission:</w:t>
      </w:r>
      <w:r w:rsidRPr="005169D5">
        <w:rPr>
          <w:rFonts w:ascii="Times New Roman" w:eastAsia="Times New Roman" w:hAnsi="Times New Roman" w:cs="Times New Roman"/>
          <w:b/>
          <w:bCs/>
          <w:kern w:val="36"/>
          <w:sz w:val="48"/>
          <w:szCs w:val="48"/>
          <w:lang w:eastAsia="en-GB"/>
        </w:rPr>
        <w:t xml:space="preserve"> </w:t>
      </w:r>
      <w:r w:rsidRPr="008F472B">
        <w:rPr>
          <w:rFonts w:ascii="Times New Roman" w:eastAsia="Times New Roman" w:hAnsi="Times New Roman" w:cs="Times New Roman"/>
          <w:kern w:val="36"/>
          <w:sz w:val="22"/>
          <w:szCs w:val="22"/>
          <w:lang w:eastAsia="en-GB"/>
        </w:rPr>
        <w:t>DSSM Perspectives Across Europe, the Near East, and the Indus Valley</w:t>
      </w:r>
    </w:p>
    <w:p w:rsidR="005169D5" w:rsidRPr="005169D5" w:rsidRDefault="005169D5" w:rsidP="005169D5">
      <w:pPr>
        <w:spacing w:before="100" w:beforeAutospacing="1" w:after="100" w:afterAutospacing="1"/>
        <w:rPr>
          <w:rFonts w:ascii="Times New Roman" w:eastAsia="Times New Roman" w:hAnsi="Times New Roman" w:cs="Times New Roman"/>
          <w:lang w:eastAsia="en-GB"/>
        </w:rPr>
      </w:pPr>
    </w:p>
    <w:p w:rsidR="008F472B" w:rsidRPr="00501FDB" w:rsidRDefault="008F472B" w:rsidP="008F472B">
      <w:pPr>
        <w:pStyle w:val="p3"/>
        <w:rPr>
          <w:color w:val="000000" w:themeColor="text1"/>
          <w:sz w:val="28"/>
          <w:szCs w:val="28"/>
          <w:lang w:val="en-US"/>
        </w:rPr>
      </w:pPr>
    </w:p>
    <w:p w:rsidR="00501FDB" w:rsidRDefault="00501FDB" w:rsidP="008F472B">
      <w:pPr>
        <w:pStyle w:val="p3"/>
        <w:rPr>
          <w:color w:val="000000" w:themeColor="text1"/>
          <w:sz w:val="28"/>
          <w:szCs w:val="28"/>
          <w:lang w:val="en-US"/>
        </w:rPr>
      </w:pPr>
    </w:p>
    <w:p w:rsidR="00501FDB" w:rsidRDefault="00501FDB" w:rsidP="008F472B">
      <w:pPr>
        <w:pStyle w:val="p3"/>
        <w:rPr>
          <w:color w:val="000000" w:themeColor="text1"/>
          <w:sz w:val="28"/>
          <w:szCs w:val="28"/>
          <w:lang w:val="en-US"/>
        </w:rPr>
      </w:pPr>
    </w:p>
    <w:p w:rsidR="00501FDB" w:rsidRDefault="00501FDB" w:rsidP="008F472B">
      <w:pPr>
        <w:pStyle w:val="p3"/>
        <w:rPr>
          <w:color w:val="000000" w:themeColor="text1"/>
          <w:sz w:val="28"/>
          <w:szCs w:val="28"/>
          <w:lang w:val="en-US"/>
        </w:rPr>
      </w:pPr>
    </w:p>
    <w:p w:rsidR="00501FDB" w:rsidRDefault="00501FDB" w:rsidP="008F472B">
      <w:pPr>
        <w:pStyle w:val="p3"/>
        <w:rPr>
          <w:color w:val="000000" w:themeColor="text1"/>
          <w:sz w:val="28"/>
          <w:szCs w:val="28"/>
          <w:lang w:val="en-US"/>
        </w:rPr>
      </w:pPr>
    </w:p>
    <w:p w:rsidR="00501FDB" w:rsidRDefault="00501FDB" w:rsidP="008F472B">
      <w:pPr>
        <w:pStyle w:val="p3"/>
        <w:rPr>
          <w:color w:val="000000" w:themeColor="text1"/>
          <w:sz w:val="28"/>
          <w:szCs w:val="28"/>
          <w:lang w:val="en-US"/>
        </w:rPr>
      </w:pPr>
    </w:p>
    <w:p w:rsidR="00501FDB" w:rsidRDefault="00501FDB" w:rsidP="008F472B">
      <w:pPr>
        <w:pStyle w:val="p3"/>
        <w:rPr>
          <w:color w:val="000000" w:themeColor="text1"/>
          <w:sz w:val="28"/>
          <w:szCs w:val="28"/>
          <w:lang w:val="en-US"/>
        </w:rPr>
      </w:pPr>
    </w:p>
    <w:p w:rsidR="00501FDB" w:rsidRDefault="00501FDB" w:rsidP="008F472B">
      <w:pPr>
        <w:pStyle w:val="p3"/>
        <w:rPr>
          <w:color w:val="000000" w:themeColor="text1"/>
          <w:sz w:val="28"/>
          <w:szCs w:val="28"/>
          <w:lang w:val="en-US"/>
        </w:rPr>
      </w:pPr>
    </w:p>
    <w:p w:rsidR="00501FDB" w:rsidRDefault="00501FDB" w:rsidP="008F472B">
      <w:pPr>
        <w:pStyle w:val="p3"/>
        <w:rPr>
          <w:color w:val="000000" w:themeColor="text1"/>
          <w:sz w:val="28"/>
          <w:szCs w:val="28"/>
          <w:lang w:val="en-US"/>
        </w:rPr>
      </w:pPr>
    </w:p>
    <w:p w:rsidR="00501FDB" w:rsidRDefault="00501FDB" w:rsidP="008F472B">
      <w:pPr>
        <w:pStyle w:val="p3"/>
        <w:rPr>
          <w:color w:val="000000" w:themeColor="text1"/>
          <w:sz w:val="28"/>
          <w:szCs w:val="28"/>
          <w:lang w:val="en-US"/>
        </w:rPr>
      </w:pPr>
    </w:p>
    <w:p w:rsidR="00501FDB" w:rsidRDefault="00501FDB" w:rsidP="008F472B">
      <w:pPr>
        <w:pStyle w:val="p3"/>
        <w:rPr>
          <w:color w:val="000000" w:themeColor="text1"/>
          <w:sz w:val="28"/>
          <w:szCs w:val="28"/>
          <w:lang w:val="en-US"/>
        </w:rPr>
      </w:pPr>
    </w:p>
    <w:p w:rsidR="00501FDB" w:rsidRDefault="00501FDB" w:rsidP="008F472B">
      <w:pPr>
        <w:pStyle w:val="p3"/>
        <w:rPr>
          <w:color w:val="000000" w:themeColor="text1"/>
          <w:sz w:val="28"/>
          <w:szCs w:val="28"/>
          <w:lang w:val="en-US"/>
        </w:rPr>
      </w:pPr>
    </w:p>
    <w:p w:rsidR="00501FDB" w:rsidRDefault="00501FDB" w:rsidP="008F472B">
      <w:pPr>
        <w:pStyle w:val="p3"/>
        <w:rPr>
          <w:color w:val="000000" w:themeColor="text1"/>
          <w:sz w:val="28"/>
          <w:szCs w:val="28"/>
          <w:lang w:val="en-US"/>
        </w:rPr>
      </w:pPr>
    </w:p>
    <w:p w:rsidR="00501FDB" w:rsidRDefault="00501FDB" w:rsidP="008F472B">
      <w:pPr>
        <w:pStyle w:val="p3"/>
        <w:rPr>
          <w:color w:val="000000" w:themeColor="text1"/>
          <w:sz w:val="28"/>
          <w:szCs w:val="28"/>
          <w:lang w:val="en-US"/>
        </w:rPr>
      </w:pPr>
    </w:p>
    <w:p w:rsidR="00501FDB" w:rsidRDefault="00501FDB" w:rsidP="008F472B">
      <w:pPr>
        <w:pStyle w:val="p3"/>
        <w:rPr>
          <w:color w:val="000000" w:themeColor="text1"/>
          <w:sz w:val="28"/>
          <w:szCs w:val="28"/>
          <w:lang w:val="en-US"/>
        </w:rPr>
      </w:pPr>
    </w:p>
    <w:p w:rsidR="00501FDB" w:rsidRDefault="00501FDB" w:rsidP="008F472B">
      <w:pPr>
        <w:pStyle w:val="p3"/>
        <w:rPr>
          <w:color w:val="000000" w:themeColor="text1"/>
          <w:sz w:val="28"/>
          <w:szCs w:val="28"/>
          <w:lang w:val="en-US"/>
        </w:rPr>
      </w:pPr>
    </w:p>
    <w:p w:rsidR="00501FDB" w:rsidRDefault="00501FDB" w:rsidP="008F472B">
      <w:pPr>
        <w:pStyle w:val="p3"/>
        <w:rPr>
          <w:color w:val="000000" w:themeColor="text1"/>
          <w:sz w:val="28"/>
          <w:szCs w:val="28"/>
          <w:lang w:val="en-US"/>
        </w:rPr>
      </w:pPr>
    </w:p>
    <w:p w:rsidR="00501FDB" w:rsidRDefault="00501FDB" w:rsidP="008F472B">
      <w:pPr>
        <w:pStyle w:val="p3"/>
        <w:rPr>
          <w:color w:val="000000" w:themeColor="text1"/>
          <w:sz w:val="28"/>
          <w:szCs w:val="28"/>
          <w:lang w:val="en-US"/>
        </w:rPr>
      </w:pPr>
    </w:p>
    <w:p w:rsidR="008F472B" w:rsidRPr="003D40C2" w:rsidRDefault="008F472B" w:rsidP="008F472B">
      <w:pPr>
        <w:pStyle w:val="p3"/>
        <w:rPr>
          <w:color w:val="000000" w:themeColor="text1"/>
          <w:sz w:val="28"/>
          <w:szCs w:val="28"/>
          <w:lang w:val="en-US"/>
        </w:rPr>
      </w:pPr>
      <w:r w:rsidRPr="003D40C2">
        <w:rPr>
          <w:color w:val="000000" w:themeColor="text1"/>
          <w:sz w:val="28"/>
          <w:szCs w:val="28"/>
          <w:lang w:val="en-US"/>
        </w:rPr>
        <w:t xml:space="preserve">Anthony </w:t>
      </w:r>
      <w:proofErr w:type="spellStart"/>
      <w:r w:rsidRPr="003D40C2">
        <w:rPr>
          <w:color w:val="000000" w:themeColor="text1"/>
          <w:sz w:val="28"/>
          <w:szCs w:val="28"/>
          <w:lang w:val="en-US"/>
        </w:rPr>
        <w:t>Vondoom</w:t>
      </w:r>
      <w:proofErr w:type="spellEnd"/>
    </w:p>
    <w:p w:rsidR="008F472B" w:rsidRPr="003D40C2" w:rsidRDefault="008F472B" w:rsidP="008F472B">
      <w:pPr>
        <w:spacing w:before="100" w:beforeAutospacing="1" w:after="100" w:afterAutospacing="1"/>
        <w:rPr>
          <w:rFonts w:ascii="Times New Roman" w:eastAsia="Times New Roman" w:hAnsi="Times New Roman" w:cs="Times New Roman"/>
          <w:b/>
          <w:bCs/>
          <w:lang w:val="en-US" w:eastAsia="en-GB"/>
        </w:rPr>
      </w:pPr>
      <w:r w:rsidRPr="003D40C2">
        <w:rPr>
          <w:rFonts w:ascii="Times New Roman" w:eastAsia="Times New Roman" w:hAnsi="Times New Roman" w:cs="Times New Roman"/>
          <w:b/>
          <w:bCs/>
          <w:lang w:val="en-US" w:eastAsia="en-GB"/>
        </w:rPr>
        <w:t xml:space="preserve">January 2026 | </w:t>
      </w:r>
      <w:proofErr w:type="spellStart"/>
      <w:r w:rsidR="00E8326B">
        <w:rPr>
          <w:rFonts w:ascii="Times New Roman" w:eastAsia="Times New Roman" w:hAnsi="Times New Roman" w:cs="Times New Roman"/>
          <w:b/>
          <w:bCs/>
          <w:lang w:val="en-US" w:eastAsia="en-GB"/>
        </w:rPr>
        <w:t>Zenodo</w:t>
      </w:r>
      <w:proofErr w:type="spellEnd"/>
      <w:r w:rsidRPr="003D40C2">
        <w:rPr>
          <w:rFonts w:ascii="Times New Roman" w:eastAsia="Times New Roman" w:hAnsi="Times New Roman" w:cs="Times New Roman"/>
          <w:b/>
          <w:bCs/>
          <w:lang w:val="en-US" w:eastAsia="en-GB"/>
        </w:rPr>
        <w:t xml:space="preserve"> preprint</w:t>
      </w:r>
      <w:r w:rsidR="00E8326B">
        <w:rPr>
          <w:rFonts w:ascii="Times New Roman" w:eastAsia="Times New Roman" w:hAnsi="Times New Roman" w:cs="Times New Roman"/>
          <w:b/>
          <w:bCs/>
          <w:lang w:val="en-US" w:eastAsia="en-GB"/>
        </w:rPr>
        <w:t xml:space="preserve"> </w:t>
      </w:r>
      <w:hyperlink r:id="rId5" w:history="1">
        <w:r w:rsidR="00E8326B" w:rsidRPr="00E8326B">
          <w:rPr>
            <w:rStyle w:val="Hyperlink"/>
            <w:rFonts w:ascii="Times New Roman" w:eastAsia="Times New Roman" w:hAnsi="Times New Roman" w:cs="Times New Roman"/>
            <w:b/>
            <w:bCs/>
            <w:lang w:val="en-US" w:eastAsia="en-GB"/>
          </w:rPr>
          <w:t>https://doi.org/10.5281/zenodo.18406654</w:t>
        </w:r>
      </w:hyperlink>
    </w:p>
    <w:p w:rsidR="00501FDB" w:rsidRPr="007A6680" w:rsidRDefault="00501FDB" w:rsidP="00501FDB">
      <w:pPr>
        <w:spacing w:before="100" w:beforeAutospacing="1" w:after="100" w:afterAutospacing="1"/>
        <w:rPr>
          <w:rFonts w:ascii="Times New Roman" w:eastAsia="Times New Roman" w:hAnsi="Times New Roman" w:cs="Times New Roman"/>
          <w:b/>
          <w:bCs/>
          <w:lang w:val="en-US" w:eastAsia="en-GB"/>
        </w:rPr>
      </w:pPr>
      <w:r>
        <w:t>This paper is conceptually and methodologically related to the foundational work on the Deep Symbolic Systems Model (DSSM) by Vondoom, A.</w:t>
      </w:r>
      <w:r w:rsidRPr="002D5075">
        <w:rPr>
          <w:lang w:val="en-US"/>
        </w:rPr>
        <w:t>202</w:t>
      </w:r>
      <w:r>
        <w:rPr>
          <w:lang w:val="en-US"/>
        </w:rPr>
        <w:t>5 OSF</w:t>
      </w:r>
      <w:r w:rsidRPr="002D5075">
        <w:t xml:space="preserve"> </w:t>
      </w:r>
      <w:hyperlink r:id="rId6" w:history="1">
        <w:r w:rsidRPr="004654E1">
          <w:rPr>
            <w:color w:val="0000FF"/>
            <w:u w:val="single"/>
          </w:rPr>
          <w:t>https://doi.org/10.17605/OSF.IO/YW5GM</w:t>
        </w:r>
      </w:hyperlink>
      <w:r w:rsidRPr="002D5075">
        <w:rPr>
          <w:lang w:val="en-US"/>
        </w:rPr>
        <w:t xml:space="preserve"> </w:t>
      </w:r>
      <w:r>
        <w:t xml:space="preserve"> </w:t>
      </w:r>
    </w:p>
    <w:p w:rsidR="005169D5" w:rsidRPr="0080487E" w:rsidRDefault="005169D5" w:rsidP="0080487E">
      <w:pPr>
        <w:spacing w:before="100" w:beforeAutospacing="1" w:after="100" w:afterAutospacing="1"/>
        <w:outlineLvl w:val="1"/>
        <w:rPr>
          <w:rFonts w:ascii="Times New Roman" w:eastAsia="Times New Roman" w:hAnsi="Times New Roman" w:cs="Times New Roman"/>
          <w:b/>
          <w:bCs/>
          <w:sz w:val="28"/>
          <w:szCs w:val="28"/>
          <w:lang w:eastAsia="en-GB"/>
        </w:rPr>
      </w:pPr>
      <w:r w:rsidRPr="0080487E">
        <w:rPr>
          <w:rFonts w:ascii="Times New Roman" w:eastAsia="Times New Roman" w:hAnsi="Times New Roman" w:cs="Times New Roman"/>
          <w:b/>
          <w:bCs/>
          <w:sz w:val="28"/>
          <w:szCs w:val="28"/>
          <w:lang w:eastAsia="en-GB"/>
        </w:rPr>
        <w:lastRenderedPageBreak/>
        <w:t>Abstract</w:t>
      </w:r>
    </w:p>
    <w:p w:rsidR="005169D5" w:rsidRPr="005169D5" w:rsidRDefault="005169D5" w:rsidP="0080487E">
      <w:pPr>
        <w:spacing w:before="100" w:beforeAutospacing="1" w:after="100" w:afterAutospacing="1"/>
        <w:ind w:firstLine="720"/>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The Vinca culture (c. 5700–4500 BCE), centered along the Danube corridor, represents Europe’s first fully DSSM-compliant symbolic system, establishing a pre-script cognitive infrastructure. Vinca symbols, portable, standardized, and repeated across multiple media, primarily recorded practical or short-term information rather than linguistic content. Climatic stress, resource fluctuations, and demographic pressures prompted dispersal along Southeastern Europe and Anatolia, potentially influencing early symbolic systems in Mesopotamia, Egypt, and South Asia.</w:t>
      </w:r>
    </w:p>
    <w:p w:rsidR="005169D5" w:rsidRPr="005169D5" w:rsidRDefault="005169D5" w:rsidP="0080487E">
      <w:p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Deep Symbolic Systems Model (DSSM) analysis demonstrates that the evolution of Vinca symbols depended on host-region DSSM saturation. In moderately saturated regions such as Mesopotamia and Egypt, these symbols contributed to proto-writing; in already DSSM-saturated areas like the Indus Valley (via Mehrgarh), writing did not emerge, and standardized, undecipherable seals developed instead. Rectangular seals, present in both Vinca and Indus contexts, reflect a shared cognitive strategy optimized for multi-symbol encoding. While independent convergence remains possible, structural and stylistic parallels support plausible symbolic transmission. Symbolic stabilization, rather than urbanism or language alone, drives early writing evolution and trade integration.</w:t>
      </w:r>
    </w:p>
    <w:p w:rsidR="005169D5" w:rsidRPr="0080487E" w:rsidRDefault="005169D5" w:rsidP="0080487E">
      <w:pPr>
        <w:spacing w:before="100" w:beforeAutospacing="1" w:after="100" w:afterAutospacing="1"/>
        <w:outlineLvl w:val="1"/>
        <w:rPr>
          <w:rFonts w:ascii="Times New Roman" w:eastAsia="Times New Roman" w:hAnsi="Times New Roman" w:cs="Times New Roman"/>
          <w:b/>
          <w:bCs/>
          <w:sz w:val="28"/>
          <w:szCs w:val="28"/>
          <w:lang w:eastAsia="en-GB"/>
        </w:rPr>
      </w:pPr>
      <w:r w:rsidRPr="0080487E">
        <w:rPr>
          <w:rFonts w:ascii="Times New Roman" w:eastAsia="Times New Roman" w:hAnsi="Times New Roman" w:cs="Times New Roman"/>
          <w:b/>
          <w:bCs/>
          <w:sz w:val="28"/>
          <w:szCs w:val="28"/>
          <w:lang w:eastAsia="en-GB"/>
        </w:rPr>
        <w:t>1. Introduction</w:t>
      </w:r>
    </w:p>
    <w:p w:rsidR="005169D5" w:rsidRPr="005169D5" w:rsidRDefault="005169D5" w:rsidP="0080487E">
      <w:pPr>
        <w:spacing w:before="100" w:beforeAutospacing="1" w:after="100" w:afterAutospacing="1"/>
        <w:ind w:firstLine="720"/>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Conventional accounts of writing evolution—from pictograms to phonetic scripts—often overlook early symbolic systems such as Vinca. Pre-script symbols did not develop into full linguistic writing because societies resolved symbolic complexity through other structural mechanisms. The Deep Symbolic Systems Model (DSSM) frames this process, emphasizing intergenerational repetition, cross-media redundancy, ritualized practice, and resilience under environmental and social stress as drivers of symbolic stabilization.</w:t>
      </w:r>
    </w:p>
    <w:p w:rsidR="0080487E" w:rsidRDefault="005169D5" w:rsidP="005169D5">
      <w:p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Vinca symbols emerged under favorable Neolithic conditions in the Balkans. Climatic stress, population pressures, and resource constraints likely prompted dispersal along Danubian, Anatolian, and Near Eastern corridors. These movements may have contributed to symbolic</w:t>
      </w:r>
    </w:p>
    <w:p w:rsidR="005169D5" w:rsidRPr="005169D5" w:rsidRDefault="005169D5" w:rsidP="0080487E">
      <w:p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innovations in Mesopotamia, Egypt, and the Indus Valley, although independent convergent development remains a plausible alternative. Evaluating symbolic evolution through the DSSM lens clarifies how pre-script systems informed proto-writing, trade integration, and cross-regional convergence.</w:t>
      </w:r>
    </w:p>
    <w:p w:rsidR="005169D5" w:rsidRPr="008F472B" w:rsidRDefault="005169D5" w:rsidP="008F472B">
      <w:pPr>
        <w:spacing w:before="100" w:beforeAutospacing="1" w:after="100" w:afterAutospacing="1"/>
        <w:outlineLvl w:val="1"/>
        <w:rPr>
          <w:rFonts w:ascii="Times New Roman" w:eastAsia="Times New Roman" w:hAnsi="Times New Roman" w:cs="Times New Roman"/>
          <w:b/>
          <w:bCs/>
          <w:sz w:val="28"/>
          <w:szCs w:val="28"/>
          <w:lang w:eastAsia="en-GB"/>
        </w:rPr>
      </w:pPr>
      <w:r w:rsidRPr="0080487E">
        <w:rPr>
          <w:rFonts w:ascii="Times New Roman" w:eastAsia="Times New Roman" w:hAnsi="Times New Roman" w:cs="Times New Roman"/>
          <w:b/>
          <w:bCs/>
          <w:sz w:val="28"/>
          <w:szCs w:val="28"/>
          <w:lang w:eastAsia="en-GB"/>
        </w:rPr>
        <w:t>2. Archaeological and Cultural Context of Vinca</w:t>
      </w:r>
    </w:p>
    <w:p w:rsidR="005169D5" w:rsidRPr="0080487E" w:rsidRDefault="005169D5" w:rsidP="005169D5">
      <w:pPr>
        <w:spacing w:before="100" w:beforeAutospacing="1" w:after="100" w:afterAutospacing="1"/>
        <w:outlineLvl w:val="2"/>
        <w:rPr>
          <w:rFonts w:ascii="Times New Roman" w:eastAsia="Times New Roman" w:hAnsi="Times New Roman" w:cs="Times New Roman"/>
          <w:b/>
          <w:bCs/>
          <w:lang w:eastAsia="en-GB"/>
        </w:rPr>
      </w:pPr>
      <w:r w:rsidRPr="0080487E">
        <w:rPr>
          <w:rFonts w:ascii="Times New Roman" w:eastAsia="Times New Roman" w:hAnsi="Times New Roman" w:cs="Times New Roman"/>
          <w:b/>
          <w:bCs/>
          <w:lang w:eastAsia="en-GB"/>
        </w:rPr>
        <w:t>2.1 Origins and Symbolic Innovation</w:t>
      </w:r>
    </w:p>
    <w:p w:rsidR="005169D5" w:rsidRPr="005169D5" w:rsidRDefault="005169D5" w:rsidP="005169D5">
      <w:pPr>
        <w:numPr>
          <w:ilvl w:val="0"/>
          <w:numId w:val="37"/>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Emerged from Starčevo–Körös–Criș cultures (~6200 BCE) and Anatolian influences.</w:t>
      </w:r>
    </w:p>
    <w:p w:rsidR="005169D5" w:rsidRPr="005169D5" w:rsidRDefault="005169D5" w:rsidP="005169D5">
      <w:pPr>
        <w:numPr>
          <w:ilvl w:val="0"/>
          <w:numId w:val="37"/>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Dense settlements: Vinča-Belo Brdo (Serbia), Varna (Bulgaria).</w:t>
      </w:r>
    </w:p>
    <w:p w:rsidR="005169D5" w:rsidRPr="0080487E" w:rsidRDefault="005169D5" w:rsidP="005169D5">
      <w:pPr>
        <w:numPr>
          <w:ilvl w:val="0"/>
          <w:numId w:val="37"/>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Symbolic repertoire: geometric motifs, hooks, swastika forms, portable tablets, figurines, pottery.</w:t>
      </w:r>
    </w:p>
    <w:p w:rsidR="005169D5" w:rsidRPr="005169D5" w:rsidRDefault="005169D5" w:rsidP="005169D5">
      <w:p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b/>
          <w:bCs/>
          <w:lang w:eastAsia="en-GB"/>
        </w:rPr>
        <w:t>DSSM metrics</w:t>
      </w:r>
      <w:r w:rsidRPr="005169D5">
        <w:rPr>
          <w:rFonts w:ascii="Times New Roman" w:eastAsia="Times New Roman" w:hAnsi="Times New Roman" w:cs="Times New Roman"/>
          <w:lang w:eastAsia="en-GB"/>
        </w:rPr>
        <w:t xml:space="preserve"> quantify symbolic stabilization through motif frequency, cross-media occurrence, spatial distribution, and artifact persistence: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14"/>
        <w:gridCol w:w="4806"/>
        <w:gridCol w:w="1449"/>
      </w:tblGrid>
      <w:tr w:rsidR="005169D5" w:rsidRPr="005169D5" w:rsidTr="0080487E">
        <w:trPr>
          <w:tblHeader/>
          <w:tblCellSpacing w:w="15" w:type="dxa"/>
          <w:jc w:val="center"/>
        </w:trPr>
        <w:tc>
          <w:tcPr>
            <w:tcW w:w="0" w:type="auto"/>
            <w:shd w:val="clear" w:color="auto" w:fill="D9D9D9" w:themeFill="background1" w:themeFillShade="D9"/>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b/>
                <w:bCs/>
                <w:lang w:eastAsia="en-GB"/>
              </w:rPr>
            </w:pPr>
            <w:r w:rsidRPr="005169D5">
              <w:rPr>
                <w:rFonts w:ascii="Times New Roman" w:eastAsia="Times New Roman" w:hAnsi="Times New Roman" w:cs="Times New Roman"/>
                <w:b/>
                <w:bCs/>
                <w:lang w:eastAsia="en-GB"/>
              </w:rPr>
              <w:t>DSSM Feature</w:t>
            </w:r>
          </w:p>
        </w:tc>
        <w:tc>
          <w:tcPr>
            <w:tcW w:w="0" w:type="auto"/>
            <w:shd w:val="clear" w:color="auto" w:fill="D9D9D9" w:themeFill="background1" w:themeFillShade="D9"/>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b/>
                <w:bCs/>
                <w:lang w:eastAsia="en-GB"/>
              </w:rPr>
            </w:pPr>
            <w:r w:rsidRPr="005169D5">
              <w:rPr>
                <w:rFonts w:ascii="Times New Roman" w:eastAsia="Times New Roman" w:hAnsi="Times New Roman" w:cs="Times New Roman"/>
                <w:b/>
                <w:bCs/>
                <w:lang w:eastAsia="en-GB"/>
              </w:rPr>
              <w:t>Criteria for Rating</w:t>
            </w:r>
          </w:p>
        </w:tc>
        <w:tc>
          <w:tcPr>
            <w:tcW w:w="0" w:type="auto"/>
            <w:shd w:val="clear" w:color="auto" w:fill="D9D9D9" w:themeFill="background1" w:themeFillShade="D9"/>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b/>
                <w:bCs/>
                <w:lang w:eastAsia="en-GB"/>
              </w:rPr>
            </w:pPr>
            <w:r w:rsidRPr="005169D5">
              <w:rPr>
                <w:rFonts w:ascii="Times New Roman" w:eastAsia="Times New Roman" w:hAnsi="Times New Roman" w:cs="Times New Roman"/>
                <w:b/>
                <w:bCs/>
                <w:lang w:eastAsia="en-GB"/>
              </w:rPr>
              <w:t>Vinca Rating</w:t>
            </w:r>
          </w:p>
        </w:tc>
      </w:tr>
      <w:tr w:rsidR="005169D5" w:rsidRPr="005169D5" w:rsidTr="0080487E">
        <w:trPr>
          <w:tblCellSpacing w:w="15" w:type="dxa"/>
          <w:jc w:val="center"/>
        </w:trPr>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Intergenerational repetition</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Recurrence across stratigraphy</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Moderate</w:t>
            </w:r>
          </w:p>
        </w:tc>
      </w:tr>
      <w:tr w:rsidR="005169D5" w:rsidRPr="005169D5" w:rsidTr="0080487E">
        <w:trPr>
          <w:tblCellSpacing w:w="15" w:type="dxa"/>
          <w:jc w:val="center"/>
        </w:trPr>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Cross-media redundancy</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Motifs on pottery, tablets, figurines</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High</w:t>
            </w:r>
          </w:p>
        </w:tc>
      </w:tr>
      <w:tr w:rsidR="005169D5" w:rsidRPr="005169D5" w:rsidTr="0080487E">
        <w:trPr>
          <w:tblCellSpacing w:w="15" w:type="dxa"/>
          <w:jc w:val="center"/>
        </w:trPr>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Spatial constraint</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Placement in ritual or domestic loci</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Moderate</w:t>
            </w:r>
          </w:p>
        </w:tc>
      </w:tr>
      <w:tr w:rsidR="005169D5" w:rsidRPr="005169D5" w:rsidTr="0080487E">
        <w:trPr>
          <w:tblCellSpacing w:w="15" w:type="dxa"/>
          <w:jc w:val="center"/>
        </w:trPr>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Persistence under stress</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Survival through environmental/social disruption</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Moderate</w:t>
            </w:r>
          </w:p>
        </w:tc>
      </w:tr>
    </w:tbl>
    <w:p w:rsidR="005169D5" w:rsidRPr="0080487E" w:rsidRDefault="005169D5" w:rsidP="005169D5">
      <w:pPr>
        <w:spacing w:before="100" w:beforeAutospacing="1" w:after="100" w:afterAutospacing="1"/>
        <w:outlineLvl w:val="2"/>
        <w:rPr>
          <w:rFonts w:ascii="Times New Roman" w:eastAsia="Times New Roman" w:hAnsi="Times New Roman" w:cs="Times New Roman"/>
          <w:b/>
          <w:bCs/>
          <w:lang w:eastAsia="en-GB"/>
        </w:rPr>
      </w:pPr>
      <w:r w:rsidRPr="0080487E">
        <w:rPr>
          <w:rFonts w:ascii="Times New Roman" w:eastAsia="Times New Roman" w:hAnsi="Times New Roman" w:cs="Times New Roman"/>
          <w:b/>
          <w:bCs/>
          <w:lang w:eastAsia="en-GB"/>
        </w:rPr>
        <w:lastRenderedPageBreak/>
        <w:t>2.2 Functionality of Early Vinca Symbols</w:t>
      </w:r>
    </w:p>
    <w:p w:rsidR="005169D5" w:rsidRPr="005169D5" w:rsidRDefault="005169D5" w:rsidP="005169D5">
      <w:pPr>
        <w:numPr>
          <w:ilvl w:val="0"/>
          <w:numId w:val="38"/>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Primarily encoded short-term, practical information; limited combinatorial capacity.</w:t>
      </w:r>
    </w:p>
    <w:p w:rsidR="005169D5" w:rsidRPr="005169D5" w:rsidRDefault="005169D5" w:rsidP="005169D5">
      <w:pPr>
        <w:numPr>
          <w:ilvl w:val="0"/>
          <w:numId w:val="38"/>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Portable media supported trade, property marking, and ritual functions.</w:t>
      </w:r>
    </w:p>
    <w:p w:rsidR="005169D5" w:rsidRPr="0080487E" w:rsidRDefault="005169D5" w:rsidP="005169D5">
      <w:pPr>
        <w:numPr>
          <w:ilvl w:val="0"/>
          <w:numId w:val="38"/>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DSSM explains why Vinca symbols did not develop into fully linguistic scripts in situ.</w:t>
      </w:r>
    </w:p>
    <w:p w:rsidR="005169D5" w:rsidRPr="0080487E" w:rsidRDefault="005169D5" w:rsidP="005169D5">
      <w:pPr>
        <w:spacing w:before="100" w:beforeAutospacing="1" w:after="100" w:afterAutospacing="1"/>
        <w:outlineLvl w:val="2"/>
        <w:rPr>
          <w:rFonts w:ascii="Times New Roman" w:eastAsia="Times New Roman" w:hAnsi="Times New Roman" w:cs="Times New Roman"/>
          <w:b/>
          <w:bCs/>
          <w:lang w:eastAsia="en-GB"/>
        </w:rPr>
      </w:pPr>
      <w:r w:rsidRPr="0080487E">
        <w:rPr>
          <w:rFonts w:ascii="Times New Roman" w:eastAsia="Times New Roman" w:hAnsi="Times New Roman" w:cs="Times New Roman"/>
          <w:b/>
          <w:bCs/>
          <w:lang w:eastAsia="en-GB"/>
        </w:rPr>
        <w:t>2.3 Collapse and Migration</w:t>
      </w:r>
    </w:p>
    <w:p w:rsidR="005169D5" w:rsidRPr="005169D5" w:rsidRDefault="005169D5" w:rsidP="005169D5">
      <w:pPr>
        <w:numPr>
          <w:ilvl w:val="0"/>
          <w:numId w:val="39"/>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Environmental stress (flooding, soil depletion) and steppe incursions disrupted settlements.</w:t>
      </w:r>
    </w:p>
    <w:p w:rsidR="005169D5" w:rsidRPr="005169D5" w:rsidRDefault="005169D5" w:rsidP="005169D5">
      <w:pPr>
        <w:numPr>
          <w:ilvl w:val="0"/>
          <w:numId w:val="39"/>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Successor cultures (Cernavodă, Baden) absorbed or displaced populations.</w:t>
      </w:r>
    </w:p>
    <w:p w:rsidR="005169D5" w:rsidRPr="005169D5" w:rsidRDefault="005169D5" w:rsidP="005169D5">
      <w:pPr>
        <w:numPr>
          <w:ilvl w:val="0"/>
          <w:numId w:val="39"/>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Migration followed Danubian and Anatolian corridors. Even with a small population (~4,000 individuals), symbolic knowledge could spread via artifact transmission, trade networks, or small-group relocation.</w:t>
      </w:r>
    </w:p>
    <w:p w:rsidR="005169D5" w:rsidRPr="0080487E" w:rsidRDefault="005169D5" w:rsidP="005169D5">
      <w:pPr>
        <w:numPr>
          <w:ilvl w:val="0"/>
          <w:numId w:val="39"/>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Continuity of motifs in Anatolia, Mesopotamia, and Indus artifacts—including rectangular tablets and geometric hooks—supports plausible symbolic influence, though independent convergence remains viable.</w:t>
      </w:r>
    </w:p>
    <w:p w:rsidR="005169D5" w:rsidRPr="0080487E" w:rsidRDefault="005169D5" w:rsidP="0080487E">
      <w:pPr>
        <w:spacing w:before="100" w:beforeAutospacing="1" w:after="100" w:afterAutospacing="1"/>
        <w:outlineLvl w:val="1"/>
        <w:rPr>
          <w:rFonts w:ascii="Times New Roman" w:eastAsia="Times New Roman" w:hAnsi="Times New Roman" w:cs="Times New Roman"/>
          <w:b/>
          <w:bCs/>
          <w:sz w:val="28"/>
          <w:szCs w:val="28"/>
          <w:lang w:eastAsia="en-GB"/>
        </w:rPr>
      </w:pPr>
      <w:r w:rsidRPr="0080487E">
        <w:rPr>
          <w:rFonts w:ascii="Times New Roman" w:eastAsia="Times New Roman" w:hAnsi="Times New Roman" w:cs="Times New Roman"/>
          <w:b/>
          <w:bCs/>
          <w:sz w:val="28"/>
          <w:szCs w:val="28"/>
          <w:lang w:eastAsia="en-GB"/>
        </w:rPr>
        <w:t>3. Cross-Cultural Trajectories of Vinca Symbols</w:t>
      </w:r>
    </w:p>
    <w:p w:rsidR="005169D5" w:rsidRPr="0080487E" w:rsidRDefault="005169D5" w:rsidP="005169D5">
      <w:pPr>
        <w:spacing w:before="100" w:beforeAutospacing="1" w:after="100" w:afterAutospacing="1"/>
        <w:outlineLvl w:val="2"/>
        <w:rPr>
          <w:rFonts w:ascii="Times New Roman" w:eastAsia="Times New Roman" w:hAnsi="Times New Roman" w:cs="Times New Roman"/>
          <w:b/>
          <w:bCs/>
          <w:lang w:eastAsia="en-GB"/>
        </w:rPr>
      </w:pPr>
      <w:r w:rsidRPr="0080487E">
        <w:rPr>
          <w:rFonts w:ascii="Times New Roman" w:eastAsia="Times New Roman" w:hAnsi="Times New Roman" w:cs="Times New Roman"/>
          <w:b/>
          <w:bCs/>
          <w:lang w:eastAsia="en-GB"/>
        </w:rPr>
        <w:t>3.1 Mesopotamia</w:t>
      </w:r>
    </w:p>
    <w:p w:rsidR="005169D5" w:rsidRPr="005169D5" w:rsidRDefault="005169D5" w:rsidP="005169D5">
      <w:pPr>
        <w:numPr>
          <w:ilvl w:val="0"/>
          <w:numId w:val="40"/>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Ubaid (c. 5500–4000 BCE) and Uruk (c. 4000–3100 BCE) display proto-cuneiform, standardized craft, weights, and ritual spaces.</w:t>
      </w:r>
    </w:p>
    <w:p w:rsidR="005169D5" w:rsidRPr="005169D5" w:rsidRDefault="005169D5" w:rsidP="005169D5">
      <w:pPr>
        <w:numPr>
          <w:ilvl w:val="0"/>
          <w:numId w:val="40"/>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Migrating Vinca groups may have introduced pre-script concepts: portability, repetition, cross-media redundancy.</w:t>
      </w:r>
    </w:p>
    <w:p w:rsidR="005169D5" w:rsidRPr="005169D5" w:rsidRDefault="005169D5" w:rsidP="005169D5">
      <w:pPr>
        <w:numPr>
          <w:ilvl w:val="0"/>
          <w:numId w:val="40"/>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DSSM: Moderate host-region saturation combined with administrative need facilitated proto-writing.</w:t>
      </w:r>
    </w:p>
    <w:p w:rsidR="005169D5" w:rsidRPr="005169D5" w:rsidRDefault="005169D5" w:rsidP="005169D5">
      <w:pPr>
        <w:numPr>
          <w:ilvl w:val="0"/>
          <w:numId w:val="40"/>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Chronological overlap: Vinca dispersal into Anatolia (~5000–4500 BCE) aligns with late Ubaid expansions.</w:t>
      </w:r>
    </w:p>
    <w:p w:rsidR="005169D5" w:rsidRPr="005169D5" w:rsidRDefault="005169D5" w:rsidP="005169D5">
      <w:pPr>
        <w:numPr>
          <w:ilvl w:val="0"/>
          <w:numId w:val="40"/>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Archaeological support: motif similarity in ceramics and counting marks on tokens reflects shared cognitive strategies.</w:t>
      </w:r>
    </w:p>
    <w:p w:rsidR="005169D5" w:rsidRPr="0080487E" w:rsidRDefault="005169D5" w:rsidP="005169D5">
      <w:pPr>
        <w:spacing w:before="100" w:beforeAutospacing="1" w:after="100" w:afterAutospacing="1"/>
        <w:outlineLvl w:val="2"/>
        <w:rPr>
          <w:rFonts w:ascii="Times New Roman" w:eastAsia="Times New Roman" w:hAnsi="Times New Roman" w:cs="Times New Roman"/>
          <w:b/>
          <w:bCs/>
          <w:lang w:eastAsia="en-GB"/>
        </w:rPr>
      </w:pPr>
      <w:r w:rsidRPr="0080487E">
        <w:rPr>
          <w:rFonts w:ascii="Times New Roman" w:eastAsia="Times New Roman" w:hAnsi="Times New Roman" w:cs="Times New Roman"/>
          <w:b/>
          <w:bCs/>
          <w:lang w:eastAsia="en-GB"/>
        </w:rPr>
        <w:t>3.2 Egypt</w:t>
      </w:r>
    </w:p>
    <w:p w:rsidR="005169D5" w:rsidRPr="005169D5" w:rsidRDefault="005169D5" w:rsidP="005169D5">
      <w:pPr>
        <w:numPr>
          <w:ilvl w:val="0"/>
          <w:numId w:val="41"/>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Predynastic settlements (c. 4000–3200 BCE) show hieroglyphic precursors.</w:t>
      </w:r>
    </w:p>
    <w:p w:rsidR="005169D5" w:rsidRPr="005169D5" w:rsidRDefault="005169D5" w:rsidP="005169D5">
      <w:pPr>
        <w:numPr>
          <w:ilvl w:val="0"/>
          <w:numId w:val="41"/>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Vinca-inspired standardization and portability may have reinforced administrative and ritual practices.</w:t>
      </w:r>
    </w:p>
    <w:p w:rsidR="005169D5" w:rsidRPr="005169D5" w:rsidRDefault="005169D5" w:rsidP="005169D5">
      <w:pPr>
        <w:numPr>
          <w:ilvl w:val="0"/>
          <w:numId w:val="41"/>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Stable environments and ceremonial infrastructure amplified symbolic persistence.</w:t>
      </w:r>
    </w:p>
    <w:p w:rsidR="005169D5" w:rsidRPr="0080487E" w:rsidRDefault="005169D5" w:rsidP="005169D5">
      <w:pPr>
        <w:numPr>
          <w:ilvl w:val="0"/>
          <w:numId w:val="41"/>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Comparative motifs in Upper Egypt resemble Balkan geometric symbols, potentially transmitted via Anatolia.</w:t>
      </w:r>
    </w:p>
    <w:p w:rsidR="005169D5" w:rsidRPr="0080487E" w:rsidRDefault="005169D5" w:rsidP="005169D5">
      <w:pPr>
        <w:spacing w:before="100" w:beforeAutospacing="1" w:after="100" w:afterAutospacing="1"/>
        <w:outlineLvl w:val="2"/>
        <w:rPr>
          <w:rFonts w:ascii="Times New Roman" w:eastAsia="Times New Roman" w:hAnsi="Times New Roman" w:cs="Times New Roman"/>
          <w:b/>
          <w:bCs/>
          <w:lang w:eastAsia="en-GB"/>
        </w:rPr>
      </w:pPr>
      <w:r w:rsidRPr="0080487E">
        <w:rPr>
          <w:rFonts w:ascii="Times New Roman" w:eastAsia="Times New Roman" w:hAnsi="Times New Roman" w:cs="Times New Roman"/>
          <w:b/>
          <w:bCs/>
          <w:lang w:eastAsia="en-GB"/>
        </w:rPr>
        <w:t>3.3 Indus Valley</w:t>
      </w:r>
    </w:p>
    <w:p w:rsidR="005169D5" w:rsidRPr="005169D5" w:rsidRDefault="005169D5" w:rsidP="005169D5">
      <w:pPr>
        <w:numPr>
          <w:ilvl w:val="0"/>
          <w:numId w:val="42"/>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Mehrgarh (c. 7000–3300 BCE) exhibits high DSSM saturation: ritualized architecture, standardized beads, geometric motifs.</w:t>
      </w:r>
    </w:p>
    <w:p w:rsidR="005169D5" w:rsidRPr="005169D5" w:rsidRDefault="005169D5" w:rsidP="005169D5">
      <w:pPr>
        <w:numPr>
          <w:ilvl w:val="0"/>
          <w:numId w:val="42"/>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Vinca symbols entered a symbolic ecosystem that did not require writing.</w:t>
      </w:r>
    </w:p>
    <w:p w:rsidR="005169D5" w:rsidRPr="005169D5" w:rsidRDefault="005169D5" w:rsidP="005169D5">
      <w:pPr>
        <w:numPr>
          <w:ilvl w:val="0"/>
          <w:numId w:val="42"/>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Indus seals structurally and visually resemble Vinca hooks and geometric forms.</w:t>
      </w:r>
    </w:p>
    <w:p w:rsidR="005169D5" w:rsidRPr="0080487E" w:rsidRDefault="005169D5" w:rsidP="005169D5">
      <w:pPr>
        <w:numPr>
          <w:ilvl w:val="0"/>
          <w:numId w:val="42"/>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Rectangular seals in both cultures suggest shared spatial encoding strategies.</w:t>
      </w:r>
    </w:p>
    <w:p w:rsidR="008F472B" w:rsidRDefault="008F472B" w:rsidP="005169D5">
      <w:pPr>
        <w:spacing w:before="100" w:beforeAutospacing="1" w:after="100" w:afterAutospacing="1"/>
        <w:outlineLvl w:val="2"/>
        <w:rPr>
          <w:rFonts w:ascii="Times New Roman" w:eastAsia="Times New Roman" w:hAnsi="Times New Roman" w:cs="Times New Roman"/>
          <w:b/>
          <w:bCs/>
          <w:lang w:eastAsia="en-GB"/>
        </w:rPr>
      </w:pPr>
    </w:p>
    <w:p w:rsidR="008F472B" w:rsidRDefault="008F472B" w:rsidP="005169D5">
      <w:pPr>
        <w:spacing w:before="100" w:beforeAutospacing="1" w:after="100" w:afterAutospacing="1"/>
        <w:outlineLvl w:val="2"/>
        <w:rPr>
          <w:rFonts w:ascii="Times New Roman" w:eastAsia="Times New Roman" w:hAnsi="Times New Roman" w:cs="Times New Roman"/>
          <w:b/>
          <w:bCs/>
          <w:lang w:eastAsia="en-GB"/>
        </w:rPr>
      </w:pPr>
    </w:p>
    <w:p w:rsidR="008F472B" w:rsidRDefault="008F472B" w:rsidP="005169D5">
      <w:pPr>
        <w:spacing w:before="100" w:beforeAutospacing="1" w:after="100" w:afterAutospacing="1"/>
        <w:outlineLvl w:val="2"/>
        <w:rPr>
          <w:rFonts w:ascii="Times New Roman" w:eastAsia="Times New Roman" w:hAnsi="Times New Roman" w:cs="Times New Roman"/>
          <w:b/>
          <w:bCs/>
          <w:lang w:eastAsia="en-GB"/>
        </w:rPr>
      </w:pPr>
    </w:p>
    <w:p w:rsidR="005169D5" w:rsidRPr="0080487E" w:rsidRDefault="005169D5" w:rsidP="005169D5">
      <w:pPr>
        <w:spacing w:before="100" w:beforeAutospacing="1" w:after="100" w:afterAutospacing="1"/>
        <w:outlineLvl w:val="2"/>
        <w:rPr>
          <w:rFonts w:ascii="Times New Roman" w:eastAsia="Times New Roman" w:hAnsi="Times New Roman" w:cs="Times New Roman"/>
          <w:b/>
          <w:bCs/>
          <w:lang w:eastAsia="en-GB"/>
        </w:rPr>
      </w:pPr>
      <w:r w:rsidRPr="0080487E">
        <w:rPr>
          <w:rFonts w:ascii="Times New Roman" w:eastAsia="Times New Roman" w:hAnsi="Times New Roman" w:cs="Times New Roman"/>
          <w:b/>
          <w:bCs/>
          <w:lang w:eastAsia="en-GB"/>
        </w:rPr>
        <w:lastRenderedPageBreak/>
        <w:t>3.4 Indus Trade and Seal Dissemination</w:t>
      </w:r>
    </w:p>
    <w:p w:rsidR="005169D5" w:rsidRPr="005169D5" w:rsidRDefault="005169D5" w:rsidP="005169D5">
      <w:pPr>
        <w:numPr>
          <w:ilvl w:val="0"/>
          <w:numId w:val="43"/>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Seals and standardized weights traveled to Oman, Iran, and Mesopotamia.</w:t>
      </w:r>
    </w:p>
    <w:p w:rsidR="005169D5" w:rsidRPr="005169D5" w:rsidRDefault="005169D5" w:rsidP="005169D5">
      <w:pPr>
        <w:numPr>
          <w:ilvl w:val="0"/>
          <w:numId w:val="43"/>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Symbols supported economic and ritual standardization independently of writing.</w:t>
      </w:r>
    </w:p>
    <w:p w:rsidR="005169D5" w:rsidRPr="0080487E" w:rsidRDefault="005169D5" w:rsidP="005169D5">
      <w:pPr>
        <w:numPr>
          <w:ilvl w:val="0"/>
          <w:numId w:val="43"/>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Vinca knowledge of portable, repeatable symbols may have influenced trade along these corridors.</w:t>
      </w:r>
    </w:p>
    <w:p w:rsidR="005169D5" w:rsidRPr="0080487E" w:rsidRDefault="005169D5" w:rsidP="005169D5">
      <w:pPr>
        <w:spacing w:before="100" w:beforeAutospacing="1" w:after="100" w:afterAutospacing="1"/>
        <w:outlineLvl w:val="1"/>
        <w:rPr>
          <w:rFonts w:ascii="Times New Roman" w:eastAsia="Times New Roman" w:hAnsi="Times New Roman" w:cs="Times New Roman"/>
          <w:b/>
          <w:bCs/>
          <w:sz w:val="28"/>
          <w:szCs w:val="28"/>
          <w:lang w:eastAsia="en-GB"/>
        </w:rPr>
      </w:pPr>
      <w:r w:rsidRPr="0080487E">
        <w:rPr>
          <w:rFonts w:ascii="Times New Roman" w:eastAsia="Times New Roman" w:hAnsi="Times New Roman" w:cs="Times New Roman"/>
          <w:b/>
          <w:bCs/>
          <w:sz w:val="28"/>
          <w:szCs w:val="28"/>
          <w:lang w:eastAsia="en-GB"/>
        </w:rPr>
        <w:t>4. DSSM Comparative Analysis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6"/>
        <w:gridCol w:w="1491"/>
        <w:gridCol w:w="2673"/>
        <w:gridCol w:w="3544"/>
      </w:tblGrid>
      <w:tr w:rsidR="005169D5" w:rsidRPr="005169D5" w:rsidTr="0080487E">
        <w:trPr>
          <w:tblHeader/>
          <w:tblCellSpacing w:w="15" w:type="dxa"/>
          <w:jc w:val="center"/>
        </w:trPr>
        <w:tc>
          <w:tcPr>
            <w:tcW w:w="0" w:type="auto"/>
            <w:shd w:val="clear" w:color="auto" w:fill="D9D9D9" w:themeFill="background1" w:themeFillShade="D9"/>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b/>
                <w:bCs/>
                <w:lang w:eastAsia="en-GB"/>
              </w:rPr>
            </w:pPr>
            <w:r w:rsidRPr="005169D5">
              <w:rPr>
                <w:rFonts w:ascii="Times New Roman" w:eastAsia="Times New Roman" w:hAnsi="Times New Roman" w:cs="Times New Roman"/>
                <w:b/>
                <w:bCs/>
                <w:lang w:eastAsia="en-GB"/>
              </w:rPr>
              <w:t>DSSM Feature</w:t>
            </w:r>
          </w:p>
        </w:tc>
        <w:tc>
          <w:tcPr>
            <w:tcW w:w="0" w:type="auto"/>
            <w:shd w:val="clear" w:color="auto" w:fill="D9D9D9" w:themeFill="background1" w:themeFillShade="D9"/>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b/>
                <w:bCs/>
                <w:lang w:eastAsia="en-GB"/>
              </w:rPr>
            </w:pPr>
            <w:r w:rsidRPr="005169D5">
              <w:rPr>
                <w:rFonts w:ascii="Times New Roman" w:eastAsia="Times New Roman" w:hAnsi="Times New Roman" w:cs="Times New Roman"/>
                <w:b/>
                <w:bCs/>
                <w:lang w:eastAsia="en-GB"/>
              </w:rPr>
              <w:t>Vinca</w:t>
            </w:r>
          </w:p>
        </w:tc>
        <w:tc>
          <w:tcPr>
            <w:tcW w:w="0" w:type="auto"/>
            <w:shd w:val="clear" w:color="auto" w:fill="D9D9D9" w:themeFill="background1" w:themeFillShade="D9"/>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b/>
                <w:bCs/>
                <w:lang w:eastAsia="en-GB"/>
              </w:rPr>
            </w:pPr>
            <w:r w:rsidRPr="005169D5">
              <w:rPr>
                <w:rFonts w:ascii="Times New Roman" w:eastAsia="Times New Roman" w:hAnsi="Times New Roman" w:cs="Times New Roman"/>
                <w:b/>
                <w:bCs/>
                <w:lang w:eastAsia="en-GB"/>
              </w:rPr>
              <w:t>Mesopotamia/Egypt</w:t>
            </w:r>
          </w:p>
        </w:tc>
        <w:tc>
          <w:tcPr>
            <w:tcW w:w="0" w:type="auto"/>
            <w:shd w:val="clear" w:color="auto" w:fill="D9D9D9" w:themeFill="background1" w:themeFillShade="D9"/>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b/>
                <w:bCs/>
                <w:lang w:eastAsia="en-GB"/>
              </w:rPr>
            </w:pPr>
            <w:r w:rsidRPr="005169D5">
              <w:rPr>
                <w:rFonts w:ascii="Times New Roman" w:eastAsia="Times New Roman" w:hAnsi="Times New Roman" w:cs="Times New Roman"/>
                <w:b/>
                <w:bCs/>
                <w:lang w:eastAsia="en-GB"/>
              </w:rPr>
              <w:t>Indus/Mehrgarh</w:t>
            </w:r>
          </w:p>
        </w:tc>
      </w:tr>
      <w:tr w:rsidR="005169D5" w:rsidRPr="005169D5" w:rsidTr="0080487E">
        <w:trPr>
          <w:tblCellSpacing w:w="15" w:type="dxa"/>
          <w:jc w:val="center"/>
        </w:trPr>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Intergenerational repetition</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Moderate</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Low–Moderate</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High</w:t>
            </w:r>
          </w:p>
        </w:tc>
      </w:tr>
      <w:tr w:rsidR="005169D5" w:rsidRPr="005169D5" w:rsidTr="0080487E">
        <w:trPr>
          <w:tblCellSpacing w:w="15" w:type="dxa"/>
          <w:jc w:val="center"/>
        </w:trPr>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Cross-media redundancy</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High</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Moderate</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High</w:t>
            </w:r>
          </w:p>
        </w:tc>
      </w:tr>
      <w:tr w:rsidR="005169D5" w:rsidRPr="005169D5" w:rsidTr="0080487E">
        <w:trPr>
          <w:tblCellSpacing w:w="15" w:type="dxa"/>
          <w:jc w:val="center"/>
        </w:trPr>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Spatial constraint</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Moderate</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High</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High</w:t>
            </w:r>
          </w:p>
        </w:tc>
      </w:tr>
      <w:tr w:rsidR="005169D5" w:rsidRPr="005169D5" w:rsidTr="0080487E">
        <w:trPr>
          <w:tblCellSpacing w:w="15" w:type="dxa"/>
          <w:jc w:val="center"/>
        </w:trPr>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Persistence under stress</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Moderate</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Moderate</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Very High</w:t>
            </w:r>
          </w:p>
        </w:tc>
      </w:tr>
      <w:tr w:rsidR="005169D5" w:rsidRPr="005169D5" w:rsidTr="0080487E">
        <w:trPr>
          <w:tblCellSpacing w:w="15" w:type="dxa"/>
          <w:jc w:val="center"/>
        </w:trPr>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Seal Type</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Rectangular</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Cylindrical/Round</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Rectangular</w:t>
            </w:r>
          </w:p>
        </w:tc>
      </w:tr>
      <w:tr w:rsidR="005169D5" w:rsidRPr="005169D5" w:rsidTr="0080487E">
        <w:trPr>
          <w:tblCellSpacing w:w="15" w:type="dxa"/>
          <w:jc w:val="center"/>
        </w:trPr>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Functional Purpose</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Short-term info</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Proto-writing/administrative</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Trade/ritual standardization</w:t>
            </w:r>
          </w:p>
        </w:tc>
      </w:tr>
      <w:tr w:rsidR="005169D5" w:rsidRPr="005169D5" w:rsidTr="0080487E">
        <w:trPr>
          <w:tblCellSpacing w:w="15" w:type="dxa"/>
          <w:jc w:val="center"/>
        </w:trPr>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Trade Reach</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Local–regional</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Regional</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Interregional (Oman, Iran, Mesopotamia)</w:t>
            </w:r>
          </w:p>
        </w:tc>
      </w:tr>
    </w:tbl>
    <w:p w:rsidR="005169D5" w:rsidRPr="005169D5" w:rsidRDefault="005169D5" w:rsidP="008F472B">
      <w:p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b/>
          <w:bCs/>
          <w:lang w:eastAsia="en-GB"/>
        </w:rPr>
        <w:t>Inference:</w:t>
      </w:r>
      <w:r w:rsidRPr="005169D5">
        <w:rPr>
          <w:rFonts w:ascii="Times New Roman" w:eastAsia="Times New Roman" w:hAnsi="Times New Roman" w:cs="Times New Roman"/>
          <w:lang w:eastAsia="en-GB"/>
        </w:rPr>
        <w:t xml:space="preserve"> Symbolic evolution is conditional. Vinca symbols contributed to proto-writing where host DSSM saturation was moderate, but remained undecipherable in already DSSM-saturated regions.</w:t>
      </w:r>
    </w:p>
    <w:p w:rsidR="005169D5" w:rsidRPr="0080487E" w:rsidRDefault="005169D5" w:rsidP="005169D5">
      <w:pPr>
        <w:spacing w:before="100" w:beforeAutospacing="1" w:after="100" w:afterAutospacing="1"/>
        <w:outlineLvl w:val="1"/>
        <w:rPr>
          <w:rFonts w:ascii="Times New Roman" w:eastAsia="Times New Roman" w:hAnsi="Times New Roman" w:cs="Times New Roman"/>
          <w:b/>
          <w:bCs/>
          <w:sz w:val="28"/>
          <w:szCs w:val="28"/>
          <w:lang w:eastAsia="en-GB"/>
        </w:rPr>
      </w:pPr>
      <w:r w:rsidRPr="0080487E">
        <w:rPr>
          <w:rFonts w:ascii="Times New Roman" w:eastAsia="Times New Roman" w:hAnsi="Times New Roman" w:cs="Times New Roman"/>
          <w:b/>
          <w:bCs/>
          <w:sz w:val="28"/>
          <w:szCs w:val="28"/>
          <w:lang w:eastAsia="en-GB"/>
        </w:rPr>
        <w:t>5. Rectangular Seal Phenomenon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2"/>
        <w:gridCol w:w="1880"/>
        <w:gridCol w:w="3561"/>
      </w:tblGrid>
      <w:tr w:rsidR="005169D5" w:rsidRPr="005169D5" w:rsidTr="0080487E">
        <w:trPr>
          <w:tblHeader/>
          <w:tblCellSpacing w:w="15" w:type="dxa"/>
          <w:jc w:val="center"/>
        </w:trPr>
        <w:tc>
          <w:tcPr>
            <w:tcW w:w="0" w:type="auto"/>
            <w:shd w:val="clear" w:color="auto" w:fill="D9D9D9" w:themeFill="background1" w:themeFillShade="D9"/>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b/>
                <w:bCs/>
                <w:lang w:eastAsia="en-GB"/>
              </w:rPr>
            </w:pPr>
            <w:r w:rsidRPr="005169D5">
              <w:rPr>
                <w:rFonts w:ascii="Times New Roman" w:eastAsia="Times New Roman" w:hAnsi="Times New Roman" w:cs="Times New Roman"/>
                <w:b/>
                <w:bCs/>
                <w:lang w:eastAsia="en-GB"/>
              </w:rPr>
              <w:t>Culture</w:t>
            </w:r>
          </w:p>
        </w:tc>
        <w:tc>
          <w:tcPr>
            <w:tcW w:w="0" w:type="auto"/>
            <w:shd w:val="clear" w:color="auto" w:fill="D9D9D9" w:themeFill="background1" w:themeFillShade="D9"/>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b/>
                <w:bCs/>
                <w:lang w:eastAsia="en-GB"/>
              </w:rPr>
            </w:pPr>
            <w:r w:rsidRPr="005169D5">
              <w:rPr>
                <w:rFonts w:ascii="Times New Roman" w:eastAsia="Times New Roman" w:hAnsi="Times New Roman" w:cs="Times New Roman"/>
                <w:b/>
                <w:bCs/>
                <w:lang w:eastAsia="en-GB"/>
              </w:rPr>
              <w:t>Seal Type</w:t>
            </w:r>
          </w:p>
        </w:tc>
        <w:tc>
          <w:tcPr>
            <w:tcW w:w="0" w:type="auto"/>
            <w:shd w:val="clear" w:color="auto" w:fill="D9D9D9" w:themeFill="background1" w:themeFillShade="D9"/>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b/>
                <w:bCs/>
                <w:lang w:eastAsia="en-GB"/>
              </w:rPr>
            </w:pPr>
            <w:r w:rsidRPr="005169D5">
              <w:rPr>
                <w:rFonts w:ascii="Times New Roman" w:eastAsia="Times New Roman" w:hAnsi="Times New Roman" w:cs="Times New Roman"/>
                <w:b/>
                <w:bCs/>
                <w:lang w:eastAsia="en-GB"/>
              </w:rPr>
              <w:t>Function</w:t>
            </w:r>
          </w:p>
        </w:tc>
      </w:tr>
      <w:tr w:rsidR="005169D5" w:rsidRPr="005169D5" w:rsidTr="0080487E">
        <w:trPr>
          <w:tblCellSpacing w:w="15" w:type="dxa"/>
          <w:jc w:val="center"/>
        </w:trPr>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Vinca</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Rectangular</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Short-term, trade/ritual</w:t>
            </w:r>
          </w:p>
        </w:tc>
      </w:tr>
      <w:tr w:rsidR="005169D5" w:rsidRPr="005169D5" w:rsidTr="0080487E">
        <w:trPr>
          <w:tblCellSpacing w:w="15" w:type="dxa"/>
          <w:jc w:val="center"/>
        </w:trPr>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Indus</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Rectangular</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Multi-symbol trade/ritual sequences</w:t>
            </w:r>
          </w:p>
        </w:tc>
      </w:tr>
      <w:tr w:rsidR="005169D5" w:rsidRPr="005169D5" w:rsidTr="0080487E">
        <w:trPr>
          <w:tblCellSpacing w:w="15" w:type="dxa"/>
          <w:jc w:val="center"/>
        </w:trPr>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Mesopotamia</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Cylindrical</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Administrative authentication</w:t>
            </w:r>
          </w:p>
        </w:tc>
      </w:tr>
      <w:tr w:rsidR="005169D5" w:rsidRPr="005169D5" w:rsidTr="0080487E">
        <w:trPr>
          <w:tblCellSpacing w:w="15" w:type="dxa"/>
          <w:jc w:val="center"/>
        </w:trPr>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Egypt</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Cylindrical/Scarab</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Ritual/administrative</w:t>
            </w:r>
          </w:p>
        </w:tc>
      </w:tr>
      <w:tr w:rsidR="005169D5" w:rsidRPr="005169D5" w:rsidTr="0080487E">
        <w:trPr>
          <w:tblCellSpacing w:w="15" w:type="dxa"/>
          <w:jc w:val="center"/>
        </w:trPr>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Mesoamerica</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Round tokens</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Commodity control/trade</w:t>
            </w:r>
          </w:p>
        </w:tc>
      </w:tr>
    </w:tbl>
    <w:p w:rsidR="005169D5" w:rsidRPr="005169D5" w:rsidRDefault="005169D5" w:rsidP="005169D5">
      <w:pPr>
        <w:numPr>
          <w:ilvl w:val="0"/>
          <w:numId w:val="44"/>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Rectangular seals allow fixed spatial sequencing of multiple motifs, optimizing information density.</w:t>
      </w:r>
    </w:p>
    <w:p w:rsidR="005169D5" w:rsidRPr="005169D5" w:rsidRDefault="005169D5" w:rsidP="005169D5">
      <w:pPr>
        <w:numPr>
          <w:ilvl w:val="0"/>
          <w:numId w:val="44"/>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Seal forms reflect material, social, and ecological contingencies.</w:t>
      </w:r>
    </w:p>
    <w:p w:rsidR="005169D5" w:rsidRDefault="005169D5" w:rsidP="005169D5">
      <w:pPr>
        <w:rPr>
          <w:rFonts w:ascii="Times New Roman" w:eastAsia="Times New Roman" w:hAnsi="Times New Roman" w:cs="Times New Roman"/>
          <w:lang w:eastAsia="en-GB"/>
        </w:rPr>
      </w:pPr>
    </w:p>
    <w:p w:rsidR="008F472B" w:rsidRDefault="008F472B" w:rsidP="005169D5">
      <w:pPr>
        <w:rPr>
          <w:rFonts w:ascii="Times New Roman" w:eastAsia="Times New Roman" w:hAnsi="Times New Roman" w:cs="Times New Roman"/>
          <w:lang w:eastAsia="en-GB"/>
        </w:rPr>
      </w:pPr>
    </w:p>
    <w:p w:rsidR="008F472B" w:rsidRDefault="008F472B" w:rsidP="005169D5">
      <w:pPr>
        <w:rPr>
          <w:rFonts w:ascii="Times New Roman" w:eastAsia="Times New Roman" w:hAnsi="Times New Roman" w:cs="Times New Roman"/>
          <w:lang w:eastAsia="en-GB"/>
        </w:rPr>
      </w:pPr>
    </w:p>
    <w:p w:rsidR="008F472B" w:rsidRDefault="008F472B" w:rsidP="005169D5">
      <w:pPr>
        <w:rPr>
          <w:rFonts w:ascii="Times New Roman" w:eastAsia="Times New Roman" w:hAnsi="Times New Roman" w:cs="Times New Roman"/>
          <w:lang w:eastAsia="en-GB"/>
        </w:rPr>
      </w:pPr>
    </w:p>
    <w:p w:rsidR="008F472B" w:rsidRDefault="008F472B" w:rsidP="005169D5">
      <w:pPr>
        <w:rPr>
          <w:rFonts w:ascii="Times New Roman" w:eastAsia="Times New Roman" w:hAnsi="Times New Roman" w:cs="Times New Roman"/>
          <w:lang w:eastAsia="en-GB"/>
        </w:rPr>
      </w:pPr>
    </w:p>
    <w:p w:rsidR="008F472B" w:rsidRDefault="008F472B" w:rsidP="005169D5">
      <w:pPr>
        <w:rPr>
          <w:rFonts w:ascii="Times New Roman" w:eastAsia="Times New Roman" w:hAnsi="Times New Roman" w:cs="Times New Roman"/>
          <w:lang w:eastAsia="en-GB"/>
        </w:rPr>
      </w:pPr>
    </w:p>
    <w:p w:rsidR="008F472B" w:rsidRDefault="008F472B" w:rsidP="005169D5">
      <w:pPr>
        <w:rPr>
          <w:rFonts w:ascii="Times New Roman" w:eastAsia="Times New Roman" w:hAnsi="Times New Roman" w:cs="Times New Roman"/>
          <w:lang w:eastAsia="en-GB"/>
        </w:rPr>
      </w:pPr>
    </w:p>
    <w:p w:rsidR="008F472B" w:rsidRDefault="008F472B" w:rsidP="005169D5">
      <w:pPr>
        <w:rPr>
          <w:rFonts w:ascii="Times New Roman" w:eastAsia="Times New Roman" w:hAnsi="Times New Roman" w:cs="Times New Roman"/>
          <w:lang w:eastAsia="en-GB"/>
        </w:rPr>
      </w:pPr>
    </w:p>
    <w:p w:rsidR="008F472B" w:rsidRPr="005169D5" w:rsidRDefault="008F472B" w:rsidP="005169D5">
      <w:pPr>
        <w:rPr>
          <w:rFonts w:ascii="Times New Roman" w:eastAsia="Times New Roman" w:hAnsi="Times New Roman" w:cs="Times New Roman"/>
          <w:lang w:eastAsia="en-GB"/>
        </w:rPr>
      </w:pPr>
    </w:p>
    <w:p w:rsidR="005169D5" w:rsidRPr="0080487E" w:rsidRDefault="005169D5" w:rsidP="005169D5">
      <w:pPr>
        <w:spacing w:before="100" w:beforeAutospacing="1" w:after="100" w:afterAutospacing="1"/>
        <w:outlineLvl w:val="1"/>
        <w:rPr>
          <w:rFonts w:ascii="Times New Roman" w:eastAsia="Times New Roman" w:hAnsi="Times New Roman" w:cs="Times New Roman"/>
          <w:b/>
          <w:bCs/>
          <w:sz w:val="28"/>
          <w:szCs w:val="28"/>
          <w:lang w:eastAsia="en-GB"/>
        </w:rPr>
      </w:pPr>
      <w:r w:rsidRPr="0080487E">
        <w:rPr>
          <w:rFonts w:ascii="Times New Roman" w:eastAsia="Times New Roman" w:hAnsi="Times New Roman" w:cs="Times New Roman"/>
          <w:b/>
          <w:bCs/>
          <w:sz w:val="28"/>
          <w:szCs w:val="28"/>
          <w:lang w:eastAsia="en-GB"/>
        </w:rPr>
        <w:t>6. Migration and Trade Networks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64"/>
        <w:gridCol w:w="3516"/>
        <w:gridCol w:w="3614"/>
      </w:tblGrid>
      <w:tr w:rsidR="005169D5" w:rsidRPr="005169D5" w:rsidTr="0080487E">
        <w:trPr>
          <w:tblHeader/>
          <w:tblCellSpacing w:w="15" w:type="dxa"/>
        </w:trPr>
        <w:tc>
          <w:tcPr>
            <w:tcW w:w="0" w:type="auto"/>
            <w:shd w:val="clear" w:color="auto" w:fill="D9D9D9" w:themeFill="background1" w:themeFillShade="D9"/>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b/>
                <w:bCs/>
                <w:lang w:eastAsia="en-GB"/>
              </w:rPr>
            </w:pPr>
            <w:r w:rsidRPr="005169D5">
              <w:rPr>
                <w:rFonts w:ascii="Times New Roman" w:eastAsia="Times New Roman" w:hAnsi="Times New Roman" w:cs="Times New Roman"/>
                <w:b/>
                <w:bCs/>
                <w:lang w:eastAsia="en-GB"/>
              </w:rPr>
              <w:lastRenderedPageBreak/>
              <w:t>Migration Route</w:t>
            </w:r>
          </w:p>
        </w:tc>
        <w:tc>
          <w:tcPr>
            <w:tcW w:w="0" w:type="auto"/>
            <w:shd w:val="clear" w:color="auto" w:fill="D9D9D9" w:themeFill="background1" w:themeFillShade="D9"/>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b/>
                <w:bCs/>
                <w:lang w:eastAsia="en-GB"/>
              </w:rPr>
            </w:pPr>
            <w:r w:rsidRPr="005169D5">
              <w:rPr>
                <w:rFonts w:ascii="Times New Roman" w:eastAsia="Times New Roman" w:hAnsi="Times New Roman" w:cs="Times New Roman"/>
                <w:b/>
                <w:bCs/>
                <w:lang w:eastAsia="en-GB"/>
              </w:rPr>
              <w:t>Evidence</w:t>
            </w:r>
          </w:p>
        </w:tc>
        <w:tc>
          <w:tcPr>
            <w:tcW w:w="0" w:type="auto"/>
            <w:shd w:val="clear" w:color="auto" w:fill="D9D9D9" w:themeFill="background1" w:themeFillShade="D9"/>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b/>
                <w:bCs/>
                <w:lang w:eastAsia="en-GB"/>
              </w:rPr>
            </w:pPr>
            <w:r w:rsidRPr="005169D5">
              <w:rPr>
                <w:rFonts w:ascii="Times New Roman" w:eastAsia="Times New Roman" w:hAnsi="Times New Roman" w:cs="Times New Roman"/>
                <w:b/>
                <w:bCs/>
                <w:lang w:eastAsia="en-GB"/>
              </w:rPr>
              <w:t>DSSM Impact</w:t>
            </w:r>
          </w:p>
        </w:tc>
      </w:tr>
      <w:tr w:rsidR="005169D5" w:rsidRPr="005169D5" w:rsidTr="0080487E">
        <w:trPr>
          <w:tblCellSpacing w:w="15" w:type="dxa"/>
        </w:trPr>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Danube → Anatolia</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Settlement layers, pottery motifs</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Spread Vinca symbols southeast</w:t>
            </w:r>
          </w:p>
        </w:tc>
      </w:tr>
      <w:tr w:rsidR="005169D5" w:rsidRPr="005169D5" w:rsidTr="0080487E">
        <w:trPr>
          <w:tblCellSpacing w:w="15" w:type="dxa"/>
        </w:trPr>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Anatolia → Mesopotamia</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Ceramic/motif similarity, Ubaid counting marks</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Contributed to proto-writing</w:t>
            </w:r>
          </w:p>
        </w:tc>
      </w:tr>
      <w:tr w:rsidR="005169D5" w:rsidRPr="005169D5" w:rsidTr="0080487E">
        <w:trPr>
          <w:tblCellSpacing w:w="15" w:type="dxa"/>
        </w:trPr>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Anatolia → Egypt</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Predynastic motifs, symbol standardization</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Reinforced hieroglyphic precursors</w:t>
            </w:r>
          </w:p>
        </w:tc>
      </w:tr>
      <w:tr w:rsidR="005169D5" w:rsidRPr="005169D5" w:rsidTr="0080487E">
        <w:trPr>
          <w:tblCellSpacing w:w="15" w:type="dxa"/>
        </w:trPr>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Balkans → Indus Valley</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Geometric motifs, rectangular seals</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Integrated into existing DSSM; no writing required</w:t>
            </w:r>
          </w:p>
        </w:tc>
      </w:tr>
      <w:tr w:rsidR="005169D5" w:rsidRPr="005169D5" w:rsidTr="0080487E">
        <w:trPr>
          <w:tblCellSpacing w:w="15" w:type="dxa"/>
        </w:trPr>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Indus → Oman/Iran/Mesopotamia</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Seals, weights, trade goods</w:t>
            </w:r>
          </w:p>
        </w:tc>
        <w:tc>
          <w:tcPr>
            <w:tcW w:w="0" w:type="auto"/>
            <w:vAlign w:val="center"/>
            <w:hideMark/>
          </w:tcPr>
          <w:p w:rsidR="005169D5" w:rsidRPr="005169D5" w:rsidRDefault="005169D5" w:rsidP="0080487E">
            <w:pPr>
              <w:spacing w:before="100" w:beforeAutospacing="1" w:after="100" w:afterAutospacing="1"/>
              <w:jc w:val="center"/>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Enabled distributed symbolic trade networks</w:t>
            </w:r>
          </w:p>
        </w:tc>
      </w:tr>
    </w:tbl>
    <w:p w:rsidR="005169D5" w:rsidRPr="005169D5" w:rsidRDefault="005169D5" w:rsidP="0080487E">
      <w:p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b/>
          <w:bCs/>
          <w:lang w:eastAsia="en-GB"/>
        </w:rPr>
        <w:t>Interpretation:</w:t>
      </w:r>
      <w:r w:rsidRPr="005169D5">
        <w:rPr>
          <w:rFonts w:ascii="Times New Roman" w:eastAsia="Times New Roman" w:hAnsi="Times New Roman" w:cs="Times New Roman"/>
          <w:lang w:eastAsia="en-GB"/>
        </w:rPr>
        <w:t xml:space="preserve"> Vinca symbols acted as portable cognitive infrastructure, influencing proto-writing where demand existed and facilitating long-distance trade networks, despite small population size. Independent convergence remains a possible explanation, but motif continuity supports plausible transmission.</w:t>
      </w:r>
    </w:p>
    <w:p w:rsidR="005169D5" w:rsidRPr="0080487E" w:rsidRDefault="005169D5" w:rsidP="005169D5">
      <w:pPr>
        <w:spacing w:before="100" w:beforeAutospacing="1" w:after="100" w:afterAutospacing="1"/>
        <w:outlineLvl w:val="1"/>
        <w:rPr>
          <w:rFonts w:ascii="Times New Roman" w:eastAsia="Times New Roman" w:hAnsi="Times New Roman" w:cs="Times New Roman"/>
          <w:b/>
          <w:bCs/>
          <w:sz w:val="28"/>
          <w:szCs w:val="28"/>
          <w:lang w:eastAsia="en-GB"/>
        </w:rPr>
      </w:pPr>
      <w:r w:rsidRPr="0080487E">
        <w:rPr>
          <w:rFonts w:ascii="Times New Roman" w:eastAsia="Times New Roman" w:hAnsi="Times New Roman" w:cs="Times New Roman"/>
          <w:b/>
          <w:bCs/>
          <w:sz w:val="28"/>
          <w:szCs w:val="28"/>
          <w:lang w:eastAsia="en-GB"/>
        </w:rPr>
        <w:t>7. Terminology</w:t>
      </w:r>
    </w:p>
    <w:p w:rsidR="005169D5" w:rsidRPr="005169D5" w:rsidRDefault="005169D5" w:rsidP="005169D5">
      <w:pPr>
        <w:numPr>
          <w:ilvl w:val="0"/>
          <w:numId w:val="45"/>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b/>
          <w:bCs/>
          <w:lang w:eastAsia="en-GB"/>
        </w:rPr>
        <w:t>DSSM:</w:t>
      </w:r>
      <w:r w:rsidRPr="005169D5">
        <w:rPr>
          <w:rFonts w:ascii="Times New Roman" w:eastAsia="Times New Roman" w:hAnsi="Times New Roman" w:cs="Times New Roman"/>
          <w:lang w:eastAsia="en-GB"/>
        </w:rPr>
        <w:t xml:space="preserve"> Stabilization of symbolic systems via repetition, cross-media redundancy, ritualization, and environmental necessity.</w:t>
      </w:r>
    </w:p>
    <w:p w:rsidR="005169D5" w:rsidRPr="005169D5" w:rsidRDefault="005169D5" w:rsidP="005169D5">
      <w:pPr>
        <w:numPr>
          <w:ilvl w:val="0"/>
          <w:numId w:val="45"/>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b/>
          <w:bCs/>
          <w:lang w:eastAsia="en-GB"/>
        </w:rPr>
        <w:t>DSSM Saturation:</w:t>
      </w:r>
      <w:r w:rsidRPr="005169D5">
        <w:rPr>
          <w:rFonts w:ascii="Times New Roman" w:eastAsia="Times New Roman" w:hAnsi="Times New Roman" w:cs="Times New Roman"/>
          <w:lang w:eastAsia="en-GB"/>
        </w:rPr>
        <w:t xml:space="preserve"> Degree to which a culture contains intergenerationally stabilized symbolic systems.</w:t>
      </w:r>
    </w:p>
    <w:p w:rsidR="005169D5" w:rsidRPr="005169D5" w:rsidRDefault="005169D5" w:rsidP="005169D5">
      <w:pPr>
        <w:numPr>
          <w:ilvl w:val="0"/>
          <w:numId w:val="45"/>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b/>
          <w:bCs/>
          <w:lang w:eastAsia="en-GB"/>
        </w:rPr>
        <w:t>Proto-writing:</w:t>
      </w:r>
      <w:r w:rsidRPr="005169D5">
        <w:rPr>
          <w:rFonts w:ascii="Times New Roman" w:eastAsia="Times New Roman" w:hAnsi="Times New Roman" w:cs="Times New Roman"/>
          <w:lang w:eastAsia="en-GB"/>
        </w:rPr>
        <w:t xml:space="preserve"> Symbolic systems encoding information without linguistic content.</w:t>
      </w:r>
    </w:p>
    <w:p w:rsidR="005169D5" w:rsidRPr="005169D5" w:rsidRDefault="005169D5" w:rsidP="005169D5">
      <w:pPr>
        <w:numPr>
          <w:ilvl w:val="0"/>
          <w:numId w:val="45"/>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b/>
          <w:bCs/>
          <w:lang w:eastAsia="en-GB"/>
        </w:rPr>
        <w:t>Rectangular Seal Encoding:</w:t>
      </w:r>
      <w:r w:rsidRPr="005169D5">
        <w:rPr>
          <w:rFonts w:ascii="Times New Roman" w:eastAsia="Times New Roman" w:hAnsi="Times New Roman" w:cs="Times New Roman"/>
          <w:lang w:eastAsia="en-GB"/>
        </w:rPr>
        <w:t xml:space="preserve"> Spatial arrangement of multiple motifs to convey standardized symbolic information.</w:t>
      </w:r>
    </w:p>
    <w:p w:rsidR="005169D5" w:rsidRPr="0080487E" w:rsidRDefault="005169D5" w:rsidP="005169D5">
      <w:pPr>
        <w:spacing w:before="100" w:beforeAutospacing="1" w:after="100" w:afterAutospacing="1"/>
        <w:outlineLvl w:val="1"/>
        <w:rPr>
          <w:rFonts w:ascii="Times New Roman" w:eastAsia="Times New Roman" w:hAnsi="Times New Roman" w:cs="Times New Roman"/>
          <w:b/>
          <w:bCs/>
          <w:sz w:val="28"/>
          <w:szCs w:val="28"/>
          <w:lang w:eastAsia="en-GB"/>
        </w:rPr>
      </w:pPr>
      <w:r w:rsidRPr="0080487E">
        <w:rPr>
          <w:rFonts w:ascii="Times New Roman" w:eastAsia="Times New Roman" w:hAnsi="Times New Roman" w:cs="Times New Roman"/>
          <w:b/>
          <w:bCs/>
          <w:sz w:val="28"/>
          <w:szCs w:val="28"/>
          <w:lang w:eastAsia="en-GB"/>
        </w:rPr>
        <w:t>8. Discussion</w:t>
      </w:r>
    </w:p>
    <w:p w:rsidR="005169D5" w:rsidRPr="005169D5" w:rsidRDefault="005169D5" w:rsidP="005169D5">
      <w:pPr>
        <w:numPr>
          <w:ilvl w:val="0"/>
          <w:numId w:val="46"/>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b/>
          <w:bCs/>
          <w:lang w:eastAsia="en-GB"/>
        </w:rPr>
        <w:t>Cognitive Preconditions:</w:t>
      </w:r>
      <w:r w:rsidRPr="005169D5">
        <w:rPr>
          <w:rFonts w:ascii="Times New Roman" w:eastAsia="Times New Roman" w:hAnsi="Times New Roman" w:cs="Times New Roman"/>
          <w:lang w:eastAsia="en-GB"/>
        </w:rPr>
        <w:t xml:space="preserve"> Writing is not inevitable; DSSM saturation, ritualized repetition, and ecological necessity shape symbolic evolution.</w:t>
      </w:r>
    </w:p>
    <w:p w:rsidR="005169D5" w:rsidRPr="005169D5" w:rsidRDefault="005169D5" w:rsidP="005169D5">
      <w:pPr>
        <w:numPr>
          <w:ilvl w:val="0"/>
          <w:numId w:val="46"/>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b/>
          <w:bCs/>
          <w:lang w:eastAsia="en-GB"/>
        </w:rPr>
        <w:t>Vinca as Proto-Informatic Innovator:</w:t>
      </w:r>
      <w:r w:rsidRPr="005169D5">
        <w:rPr>
          <w:rFonts w:ascii="Times New Roman" w:eastAsia="Times New Roman" w:hAnsi="Times New Roman" w:cs="Times New Roman"/>
          <w:lang w:eastAsia="en-GB"/>
        </w:rPr>
        <w:t xml:space="preserve"> Small populations could transmit portable symbolic cognition to receptive societies.</w:t>
      </w:r>
    </w:p>
    <w:p w:rsidR="005169D5" w:rsidRPr="005169D5" w:rsidRDefault="005169D5" w:rsidP="005169D5">
      <w:pPr>
        <w:numPr>
          <w:ilvl w:val="0"/>
          <w:numId w:val="46"/>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b/>
          <w:bCs/>
          <w:lang w:eastAsia="en-GB"/>
        </w:rPr>
        <w:t>Indus Exceptionalism:</w:t>
      </w:r>
      <w:r w:rsidRPr="005169D5">
        <w:rPr>
          <w:rFonts w:ascii="Times New Roman" w:eastAsia="Times New Roman" w:hAnsi="Times New Roman" w:cs="Times New Roman"/>
          <w:lang w:eastAsia="en-GB"/>
        </w:rPr>
        <w:t xml:space="preserve"> High DSSM saturation and functional sufficiency of symbolic codes prevented the emergence of phonetic writing.</w:t>
      </w:r>
    </w:p>
    <w:p w:rsidR="005169D5" w:rsidRPr="005169D5" w:rsidRDefault="005169D5" w:rsidP="005169D5">
      <w:pPr>
        <w:numPr>
          <w:ilvl w:val="0"/>
          <w:numId w:val="46"/>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b/>
          <w:bCs/>
          <w:lang w:eastAsia="en-GB"/>
        </w:rPr>
        <w:t>Cross-Cultural Implications:</w:t>
      </w:r>
      <w:r w:rsidRPr="005169D5">
        <w:rPr>
          <w:rFonts w:ascii="Times New Roman" w:eastAsia="Times New Roman" w:hAnsi="Times New Roman" w:cs="Times New Roman"/>
          <w:lang w:eastAsia="en-GB"/>
        </w:rPr>
        <w:t xml:space="preserve"> Shared cognitive frameworks yield writing, undecipherable symbolic codes, or collapse, depending on context.</w:t>
      </w:r>
    </w:p>
    <w:p w:rsidR="005169D5" w:rsidRPr="005169D5" w:rsidRDefault="005169D5" w:rsidP="005169D5">
      <w:pPr>
        <w:numPr>
          <w:ilvl w:val="0"/>
          <w:numId w:val="46"/>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b/>
          <w:bCs/>
          <w:lang w:eastAsia="en-GB"/>
        </w:rPr>
        <w:t>Rectangular Seal Continuity:</w:t>
      </w:r>
      <w:r w:rsidRPr="005169D5">
        <w:rPr>
          <w:rFonts w:ascii="Times New Roman" w:eastAsia="Times New Roman" w:hAnsi="Times New Roman" w:cs="Times New Roman"/>
          <w:lang w:eastAsia="en-GB"/>
        </w:rPr>
        <w:t xml:space="preserve"> Vinca and Indus rectangular seals exemplify a functional strategy for multi-symbol encoding optimized for trade and ritual.</w:t>
      </w:r>
    </w:p>
    <w:p w:rsidR="005169D5" w:rsidRDefault="005169D5" w:rsidP="005169D5">
      <w:pPr>
        <w:rPr>
          <w:rFonts w:ascii="Times New Roman" w:eastAsia="Times New Roman" w:hAnsi="Times New Roman" w:cs="Times New Roman"/>
          <w:lang w:eastAsia="en-GB"/>
        </w:rPr>
      </w:pPr>
    </w:p>
    <w:p w:rsidR="008F472B" w:rsidRDefault="008F472B" w:rsidP="005169D5">
      <w:pPr>
        <w:rPr>
          <w:rFonts w:ascii="Times New Roman" w:eastAsia="Times New Roman" w:hAnsi="Times New Roman" w:cs="Times New Roman"/>
          <w:lang w:eastAsia="en-GB"/>
        </w:rPr>
      </w:pPr>
    </w:p>
    <w:p w:rsidR="008F472B" w:rsidRDefault="008F472B" w:rsidP="005169D5">
      <w:pPr>
        <w:rPr>
          <w:rFonts w:ascii="Times New Roman" w:eastAsia="Times New Roman" w:hAnsi="Times New Roman" w:cs="Times New Roman"/>
          <w:lang w:eastAsia="en-GB"/>
        </w:rPr>
      </w:pPr>
    </w:p>
    <w:p w:rsidR="008F472B" w:rsidRDefault="008F472B" w:rsidP="005169D5">
      <w:pPr>
        <w:rPr>
          <w:rFonts w:ascii="Times New Roman" w:eastAsia="Times New Roman" w:hAnsi="Times New Roman" w:cs="Times New Roman"/>
          <w:lang w:eastAsia="en-GB"/>
        </w:rPr>
      </w:pPr>
    </w:p>
    <w:p w:rsidR="008F472B" w:rsidRDefault="008F472B" w:rsidP="005169D5">
      <w:pPr>
        <w:rPr>
          <w:rFonts w:ascii="Times New Roman" w:eastAsia="Times New Roman" w:hAnsi="Times New Roman" w:cs="Times New Roman"/>
          <w:lang w:eastAsia="en-GB"/>
        </w:rPr>
      </w:pPr>
    </w:p>
    <w:p w:rsidR="008F472B" w:rsidRDefault="008F472B" w:rsidP="005169D5">
      <w:pPr>
        <w:rPr>
          <w:rFonts w:ascii="Times New Roman" w:eastAsia="Times New Roman" w:hAnsi="Times New Roman" w:cs="Times New Roman"/>
          <w:lang w:eastAsia="en-GB"/>
        </w:rPr>
      </w:pPr>
    </w:p>
    <w:p w:rsidR="008F472B" w:rsidRDefault="008F472B" w:rsidP="005169D5">
      <w:pPr>
        <w:rPr>
          <w:rFonts w:ascii="Times New Roman" w:eastAsia="Times New Roman" w:hAnsi="Times New Roman" w:cs="Times New Roman"/>
          <w:lang w:eastAsia="en-GB"/>
        </w:rPr>
      </w:pPr>
    </w:p>
    <w:p w:rsidR="008F472B" w:rsidRDefault="008F472B" w:rsidP="005169D5">
      <w:pPr>
        <w:rPr>
          <w:rFonts w:ascii="Times New Roman" w:eastAsia="Times New Roman" w:hAnsi="Times New Roman" w:cs="Times New Roman"/>
          <w:lang w:eastAsia="en-GB"/>
        </w:rPr>
      </w:pPr>
    </w:p>
    <w:p w:rsidR="008F472B" w:rsidRDefault="008F472B" w:rsidP="005169D5">
      <w:pPr>
        <w:rPr>
          <w:rFonts w:ascii="Times New Roman" w:eastAsia="Times New Roman" w:hAnsi="Times New Roman" w:cs="Times New Roman"/>
          <w:lang w:eastAsia="en-GB"/>
        </w:rPr>
      </w:pPr>
    </w:p>
    <w:p w:rsidR="008F472B" w:rsidRPr="005169D5" w:rsidRDefault="008F472B" w:rsidP="005169D5">
      <w:pPr>
        <w:rPr>
          <w:rFonts w:ascii="Times New Roman" w:eastAsia="Times New Roman" w:hAnsi="Times New Roman" w:cs="Times New Roman"/>
          <w:lang w:eastAsia="en-GB"/>
        </w:rPr>
      </w:pPr>
    </w:p>
    <w:p w:rsidR="005169D5" w:rsidRPr="0080487E" w:rsidRDefault="005169D5" w:rsidP="005169D5">
      <w:pPr>
        <w:spacing w:before="100" w:beforeAutospacing="1" w:after="100" w:afterAutospacing="1"/>
        <w:outlineLvl w:val="1"/>
        <w:rPr>
          <w:rFonts w:ascii="Times New Roman" w:eastAsia="Times New Roman" w:hAnsi="Times New Roman" w:cs="Times New Roman"/>
          <w:b/>
          <w:bCs/>
          <w:sz w:val="28"/>
          <w:szCs w:val="28"/>
          <w:lang w:eastAsia="en-GB"/>
        </w:rPr>
      </w:pPr>
      <w:r w:rsidRPr="0080487E">
        <w:rPr>
          <w:rFonts w:ascii="Times New Roman" w:eastAsia="Times New Roman" w:hAnsi="Times New Roman" w:cs="Times New Roman"/>
          <w:b/>
          <w:bCs/>
          <w:sz w:val="28"/>
          <w:szCs w:val="28"/>
          <w:lang w:eastAsia="en-GB"/>
        </w:rPr>
        <w:t>9. Conclusion</w:t>
      </w:r>
    </w:p>
    <w:p w:rsidR="005169D5" w:rsidRPr="005169D5" w:rsidRDefault="005169D5" w:rsidP="005169D5">
      <w:pPr>
        <w:numPr>
          <w:ilvl w:val="0"/>
          <w:numId w:val="47"/>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lastRenderedPageBreak/>
        <w:t>Vinca represents Europe’s first deep symbolic stabilization, encoding practical information rather than linguistic narratives.</w:t>
      </w:r>
    </w:p>
    <w:p w:rsidR="005169D5" w:rsidRPr="005169D5" w:rsidRDefault="005169D5" w:rsidP="005169D5">
      <w:pPr>
        <w:numPr>
          <w:ilvl w:val="0"/>
          <w:numId w:val="47"/>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Climatic and demographic pressures prompted dispersal, spreading symbolic practices across Eurasia.</w:t>
      </w:r>
    </w:p>
    <w:p w:rsidR="005169D5" w:rsidRPr="005169D5" w:rsidRDefault="005169D5" w:rsidP="005169D5">
      <w:pPr>
        <w:numPr>
          <w:ilvl w:val="0"/>
          <w:numId w:val="47"/>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In Mesopotamia and Egypt, moderate DSSM saturation and administrative need allowed Vinca symbols to influence proto-writing.</w:t>
      </w:r>
    </w:p>
    <w:p w:rsidR="005169D5" w:rsidRPr="005169D5" w:rsidRDefault="005169D5" w:rsidP="005169D5">
      <w:pPr>
        <w:numPr>
          <w:ilvl w:val="0"/>
          <w:numId w:val="47"/>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In the Indus Valley, already DSSM-saturated, symbolic codes sufficed for trade and ritual; writing was unnecessary.</w:t>
      </w:r>
    </w:p>
    <w:p w:rsidR="005169D5" w:rsidRPr="005169D5" w:rsidRDefault="005169D5" w:rsidP="005169D5">
      <w:pPr>
        <w:numPr>
          <w:ilvl w:val="0"/>
          <w:numId w:val="47"/>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Rectangular seals link Vinca and Indus symbolic strategies, showing functional continuity.</w:t>
      </w:r>
    </w:p>
    <w:p w:rsidR="005169D5" w:rsidRPr="005169D5" w:rsidRDefault="005169D5" w:rsidP="005169D5">
      <w:pPr>
        <w:numPr>
          <w:ilvl w:val="0"/>
          <w:numId w:val="47"/>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DSSM predicts that writing emerges contingently, depending on host DSSM saturation, functional necessity, and cross-generational reinforcement—not as a necessary outcome of symbolic invention.</w:t>
      </w:r>
    </w:p>
    <w:p w:rsidR="005169D5" w:rsidRPr="005169D5" w:rsidRDefault="005169D5" w:rsidP="005169D5">
      <w:pPr>
        <w:rPr>
          <w:rFonts w:ascii="Times New Roman" w:eastAsia="Times New Roman" w:hAnsi="Times New Roman" w:cs="Times New Roman"/>
          <w:lang w:eastAsia="en-GB"/>
        </w:rPr>
      </w:pPr>
    </w:p>
    <w:p w:rsidR="005169D5" w:rsidRPr="005169D5" w:rsidRDefault="005169D5" w:rsidP="005169D5">
      <w:pPr>
        <w:spacing w:before="100" w:beforeAutospacing="1" w:after="100" w:afterAutospacing="1"/>
        <w:outlineLvl w:val="2"/>
        <w:rPr>
          <w:rFonts w:ascii="Times New Roman" w:eastAsia="Times New Roman" w:hAnsi="Times New Roman" w:cs="Times New Roman"/>
          <w:b/>
          <w:bCs/>
          <w:sz w:val="27"/>
          <w:szCs w:val="27"/>
          <w:lang w:eastAsia="en-GB"/>
        </w:rPr>
      </w:pPr>
      <w:r w:rsidRPr="005169D5">
        <w:rPr>
          <w:rFonts w:ascii="Times New Roman" w:eastAsia="Times New Roman" w:hAnsi="Times New Roman" w:cs="Times New Roman"/>
          <w:b/>
          <w:bCs/>
          <w:sz w:val="27"/>
          <w:szCs w:val="27"/>
          <w:lang w:eastAsia="en-GB"/>
        </w:rPr>
        <w:t xml:space="preserve">References </w:t>
      </w:r>
    </w:p>
    <w:p w:rsidR="005169D5" w:rsidRPr="005169D5" w:rsidRDefault="005169D5" w:rsidP="005169D5">
      <w:pPr>
        <w:numPr>
          <w:ilvl w:val="0"/>
          <w:numId w:val="48"/>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 xml:space="preserve">Vondoom, A. (2025–2026). </w:t>
      </w:r>
      <w:r w:rsidRPr="005169D5">
        <w:rPr>
          <w:rFonts w:ascii="Times New Roman" w:eastAsia="Times New Roman" w:hAnsi="Times New Roman" w:cs="Times New Roman"/>
          <w:i/>
          <w:iCs/>
          <w:lang w:eastAsia="en-GB"/>
        </w:rPr>
        <w:t>Deep Symbolic Systems Model Preprints and Conceptual Framework.</w:t>
      </w:r>
      <w:r w:rsidRPr="005169D5">
        <w:rPr>
          <w:rFonts w:ascii="Times New Roman" w:eastAsia="Times New Roman" w:hAnsi="Times New Roman" w:cs="Times New Roman"/>
          <w:lang w:eastAsia="en-GB"/>
        </w:rPr>
        <w:t xml:space="preserve"> OSF.</w:t>
      </w:r>
    </w:p>
    <w:p w:rsidR="005169D5" w:rsidRPr="005169D5" w:rsidRDefault="005169D5" w:rsidP="005169D5">
      <w:pPr>
        <w:numPr>
          <w:ilvl w:val="0"/>
          <w:numId w:val="48"/>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 xml:space="preserve">Kenoyer, J. M. (2010). </w:t>
      </w:r>
      <w:r w:rsidRPr="005169D5">
        <w:rPr>
          <w:rFonts w:ascii="Times New Roman" w:eastAsia="Times New Roman" w:hAnsi="Times New Roman" w:cs="Times New Roman"/>
          <w:i/>
          <w:iCs/>
          <w:lang w:eastAsia="en-GB"/>
        </w:rPr>
        <w:t>Craft Traditions of the Indus Valley Civilization: Continuity and Transformation.</w:t>
      </w:r>
      <w:r w:rsidRPr="005169D5">
        <w:rPr>
          <w:rFonts w:ascii="Times New Roman" w:eastAsia="Times New Roman" w:hAnsi="Times New Roman" w:cs="Times New Roman"/>
          <w:lang w:eastAsia="en-GB"/>
        </w:rPr>
        <w:t xml:space="preserve"> Ancient India, 66, 1–45.</w:t>
      </w:r>
    </w:p>
    <w:p w:rsidR="005169D5" w:rsidRPr="005169D5" w:rsidRDefault="005169D5" w:rsidP="005169D5">
      <w:pPr>
        <w:numPr>
          <w:ilvl w:val="0"/>
          <w:numId w:val="48"/>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 xml:space="preserve">Possehl, G. L. (2011). </w:t>
      </w:r>
      <w:r w:rsidRPr="005169D5">
        <w:rPr>
          <w:rFonts w:ascii="Times New Roman" w:eastAsia="Times New Roman" w:hAnsi="Times New Roman" w:cs="Times New Roman"/>
          <w:i/>
          <w:iCs/>
          <w:lang w:eastAsia="en-GB"/>
        </w:rPr>
        <w:t>The Indus Civilization: A Contemporary Perspective.</w:t>
      </w:r>
      <w:r w:rsidRPr="005169D5">
        <w:rPr>
          <w:rFonts w:ascii="Times New Roman" w:eastAsia="Times New Roman" w:hAnsi="Times New Roman" w:cs="Times New Roman"/>
          <w:lang w:eastAsia="en-GB"/>
        </w:rPr>
        <w:t xml:space="preserve"> Rowman &amp; Littlefield.</w:t>
      </w:r>
    </w:p>
    <w:p w:rsidR="005169D5" w:rsidRPr="005169D5" w:rsidRDefault="005169D5" w:rsidP="005169D5">
      <w:pPr>
        <w:numPr>
          <w:ilvl w:val="0"/>
          <w:numId w:val="48"/>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 xml:space="preserve">Wright, R. P. (2010). </w:t>
      </w:r>
      <w:r w:rsidRPr="005169D5">
        <w:rPr>
          <w:rFonts w:ascii="Times New Roman" w:eastAsia="Times New Roman" w:hAnsi="Times New Roman" w:cs="Times New Roman"/>
          <w:i/>
          <w:iCs/>
          <w:lang w:eastAsia="en-GB"/>
        </w:rPr>
        <w:t>The Ancient Indus: Urbanism, Economy, and Society.</w:t>
      </w:r>
      <w:r w:rsidRPr="005169D5">
        <w:rPr>
          <w:rFonts w:ascii="Times New Roman" w:eastAsia="Times New Roman" w:hAnsi="Times New Roman" w:cs="Times New Roman"/>
          <w:lang w:eastAsia="en-GB"/>
        </w:rPr>
        <w:t xml:space="preserve"> Cambridge University Press.</w:t>
      </w:r>
    </w:p>
    <w:p w:rsidR="005169D5" w:rsidRPr="005169D5" w:rsidRDefault="005169D5" w:rsidP="005169D5">
      <w:pPr>
        <w:numPr>
          <w:ilvl w:val="0"/>
          <w:numId w:val="48"/>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 xml:space="preserve">Jarrige, C. (2012). </w:t>
      </w:r>
      <w:r w:rsidRPr="005169D5">
        <w:rPr>
          <w:rFonts w:ascii="Times New Roman" w:eastAsia="Times New Roman" w:hAnsi="Times New Roman" w:cs="Times New Roman"/>
          <w:i/>
          <w:iCs/>
          <w:lang w:eastAsia="en-GB"/>
        </w:rPr>
        <w:t>Mehrgarh Excavations and Early Harappan Society.</w:t>
      </w:r>
      <w:r w:rsidRPr="005169D5">
        <w:rPr>
          <w:rFonts w:ascii="Times New Roman" w:eastAsia="Times New Roman" w:hAnsi="Times New Roman" w:cs="Times New Roman"/>
          <w:lang w:eastAsia="en-GB"/>
        </w:rPr>
        <w:t xml:space="preserve"> CNRS Press.</w:t>
      </w:r>
    </w:p>
    <w:p w:rsidR="005169D5" w:rsidRPr="005169D5" w:rsidRDefault="005169D5" w:rsidP="005169D5">
      <w:pPr>
        <w:numPr>
          <w:ilvl w:val="0"/>
          <w:numId w:val="48"/>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 xml:space="preserve">Hodder, I. (2013). </w:t>
      </w:r>
      <w:r w:rsidRPr="005169D5">
        <w:rPr>
          <w:rFonts w:ascii="Times New Roman" w:eastAsia="Times New Roman" w:hAnsi="Times New Roman" w:cs="Times New Roman"/>
          <w:i/>
          <w:iCs/>
          <w:lang w:eastAsia="en-GB"/>
        </w:rPr>
        <w:t>Entangled Worlds: Early Symbolism and Cognitive Ecology.</w:t>
      </w:r>
      <w:r w:rsidRPr="005169D5">
        <w:rPr>
          <w:rFonts w:ascii="Times New Roman" w:eastAsia="Times New Roman" w:hAnsi="Times New Roman" w:cs="Times New Roman"/>
          <w:lang w:eastAsia="en-GB"/>
        </w:rPr>
        <w:t xml:space="preserve"> Routledge.</w:t>
      </w:r>
    </w:p>
    <w:p w:rsidR="005169D5" w:rsidRPr="005169D5" w:rsidRDefault="005169D5" w:rsidP="005169D5">
      <w:pPr>
        <w:numPr>
          <w:ilvl w:val="0"/>
          <w:numId w:val="48"/>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 xml:space="preserve">Mithen, S. (2013). </w:t>
      </w:r>
      <w:r w:rsidRPr="005169D5">
        <w:rPr>
          <w:rFonts w:ascii="Times New Roman" w:eastAsia="Times New Roman" w:hAnsi="Times New Roman" w:cs="Times New Roman"/>
          <w:i/>
          <w:iCs/>
          <w:lang w:eastAsia="en-GB"/>
        </w:rPr>
        <w:t>The Prehistory of the Mind: Cognitive Archaeology of Symbolism.</w:t>
      </w:r>
      <w:r w:rsidRPr="005169D5">
        <w:rPr>
          <w:rFonts w:ascii="Times New Roman" w:eastAsia="Times New Roman" w:hAnsi="Times New Roman" w:cs="Times New Roman"/>
          <w:lang w:eastAsia="en-GB"/>
        </w:rPr>
        <w:t xml:space="preserve"> Thames &amp; Hudson.</w:t>
      </w:r>
    </w:p>
    <w:p w:rsidR="005169D5" w:rsidRPr="005169D5" w:rsidRDefault="005169D5" w:rsidP="005169D5">
      <w:pPr>
        <w:numPr>
          <w:ilvl w:val="0"/>
          <w:numId w:val="48"/>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 xml:space="preserve">Van Gijn, A. L. (2010). </w:t>
      </w:r>
      <w:r w:rsidRPr="005169D5">
        <w:rPr>
          <w:rFonts w:ascii="Times New Roman" w:eastAsia="Times New Roman" w:hAnsi="Times New Roman" w:cs="Times New Roman"/>
          <w:i/>
          <w:iCs/>
          <w:lang w:eastAsia="en-GB"/>
        </w:rPr>
        <w:t>Craft Standardization and Trade in Neolithic Europe.</w:t>
      </w:r>
      <w:r w:rsidRPr="005169D5">
        <w:rPr>
          <w:rFonts w:ascii="Times New Roman" w:eastAsia="Times New Roman" w:hAnsi="Times New Roman" w:cs="Times New Roman"/>
          <w:lang w:eastAsia="en-GB"/>
        </w:rPr>
        <w:t xml:space="preserve"> Journal of Anthropological Archaeology, 29(2), 205–223.</w:t>
      </w:r>
    </w:p>
    <w:p w:rsidR="005169D5" w:rsidRPr="005169D5" w:rsidRDefault="005169D5" w:rsidP="005169D5">
      <w:pPr>
        <w:numPr>
          <w:ilvl w:val="0"/>
          <w:numId w:val="48"/>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 xml:space="preserve">Sherratt, A. (2015). </w:t>
      </w:r>
      <w:r w:rsidRPr="005169D5">
        <w:rPr>
          <w:rFonts w:ascii="Times New Roman" w:eastAsia="Times New Roman" w:hAnsi="Times New Roman" w:cs="Times New Roman"/>
          <w:i/>
          <w:iCs/>
          <w:lang w:eastAsia="en-GB"/>
        </w:rPr>
        <w:t>Trade, Migration, and Symbolic Transmission in the Neolithic Balkans.</w:t>
      </w:r>
      <w:r w:rsidRPr="005169D5">
        <w:rPr>
          <w:rFonts w:ascii="Times New Roman" w:eastAsia="Times New Roman" w:hAnsi="Times New Roman" w:cs="Times New Roman"/>
          <w:lang w:eastAsia="en-GB"/>
        </w:rPr>
        <w:t xml:space="preserve"> Antiquity, 89, 502–518.</w:t>
      </w:r>
    </w:p>
    <w:p w:rsidR="005169D5" w:rsidRPr="005169D5" w:rsidRDefault="005169D5" w:rsidP="005169D5">
      <w:pPr>
        <w:numPr>
          <w:ilvl w:val="0"/>
          <w:numId w:val="48"/>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 xml:space="preserve">Wright, R. P., &amp; Kenoyer, J. M. (2014). </w:t>
      </w:r>
      <w:r w:rsidRPr="005169D5">
        <w:rPr>
          <w:rFonts w:ascii="Times New Roman" w:eastAsia="Times New Roman" w:hAnsi="Times New Roman" w:cs="Times New Roman"/>
          <w:i/>
          <w:iCs/>
          <w:lang w:eastAsia="en-GB"/>
        </w:rPr>
        <w:t>Proto-Writing and Seals in the Indus Context.</w:t>
      </w:r>
      <w:r w:rsidRPr="005169D5">
        <w:rPr>
          <w:rFonts w:ascii="Times New Roman" w:eastAsia="Times New Roman" w:hAnsi="Times New Roman" w:cs="Times New Roman"/>
          <w:lang w:eastAsia="en-GB"/>
        </w:rPr>
        <w:t xml:space="preserve"> Journal of World Prehistory, 27(1), 1–36.</w:t>
      </w:r>
    </w:p>
    <w:p w:rsidR="005169D5" w:rsidRPr="005169D5" w:rsidRDefault="005169D5" w:rsidP="005169D5">
      <w:pPr>
        <w:numPr>
          <w:ilvl w:val="0"/>
          <w:numId w:val="48"/>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 xml:space="preserve">Fuller, D. Q., &amp; Madella, M. (2012). </w:t>
      </w:r>
      <w:r w:rsidRPr="005169D5">
        <w:rPr>
          <w:rFonts w:ascii="Times New Roman" w:eastAsia="Times New Roman" w:hAnsi="Times New Roman" w:cs="Times New Roman"/>
          <w:i/>
          <w:iCs/>
          <w:lang w:eastAsia="en-GB"/>
        </w:rPr>
        <w:t>Agriculture and Symbolic Practice in Early South Asia.</w:t>
      </w:r>
      <w:r w:rsidRPr="005169D5">
        <w:rPr>
          <w:rFonts w:ascii="Times New Roman" w:eastAsia="Times New Roman" w:hAnsi="Times New Roman" w:cs="Times New Roman"/>
          <w:lang w:eastAsia="en-GB"/>
        </w:rPr>
        <w:t xml:space="preserve"> Current Anthropology, 53(5), 569–591.</w:t>
      </w:r>
    </w:p>
    <w:p w:rsidR="005169D5" w:rsidRPr="005169D5" w:rsidRDefault="005169D5" w:rsidP="005169D5">
      <w:pPr>
        <w:numPr>
          <w:ilvl w:val="0"/>
          <w:numId w:val="48"/>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 xml:space="preserve">Fuller, D. Q., et al. (2014). </w:t>
      </w:r>
      <w:r w:rsidRPr="005169D5">
        <w:rPr>
          <w:rFonts w:ascii="Times New Roman" w:eastAsia="Times New Roman" w:hAnsi="Times New Roman" w:cs="Times New Roman"/>
          <w:i/>
          <w:iCs/>
          <w:lang w:eastAsia="en-GB"/>
        </w:rPr>
        <w:t>Indus Maritime Trade: Oman, Mesopotamia, and Beyond.</w:t>
      </w:r>
      <w:r w:rsidRPr="005169D5">
        <w:rPr>
          <w:rFonts w:ascii="Times New Roman" w:eastAsia="Times New Roman" w:hAnsi="Times New Roman" w:cs="Times New Roman"/>
          <w:lang w:eastAsia="en-GB"/>
        </w:rPr>
        <w:t xml:space="preserve"> Antiquity, 88, 1059–1076.</w:t>
      </w:r>
    </w:p>
    <w:p w:rsidR="005169D5" w:rsidRPr="005169D5" w:rsidRDefault="005169D5" w:rsidP="005169D5">
      <w:pPr>
        <w:numPr>
          <w:ilvl w:val="0"/>
          <w:numId w:val="48"/>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 xml:space="preserve">Vondoom, A. (2016). </w:t>
      </w:r>
      <w:r w:rsidRPr="005169D5">
        <w:rPr>
          <w:rFonts w:ascii="Times New Roman" w:eastAsia="Times New Roman" w:hAnsi="Times New Roman" w:cs="Times New Roman"/>
          <w:i/>
          <w:iCs/>
          <w:lang w:eastAsia="en-GB"/>
        </w:rPr>
        <w:t>Cognitive Preconditions and DSSM in Europe and South Asia.</w:t>
      </w:r>
      <w:r w:rsidRPr="005169D5">
        <w:rPr>
          <w:rFonts w:ascii="Times New Roman" w:eastAsia="Times New Roman" w:hAnsi="Times New Roman" w:cs="Times New Roman"/>
          <w:lang w:eastAsia="en-GB"/>
        </w:rPr>
        <w:t xml:space="preserve"> Figshare.</w:t>
      </w:r>
    </w:p>
    <w:p w:rsidR="005169D5" w:rsidRPr="005169D5" w:rsidRDefault="005169D5" w:rsidP="005169D5">
      <w:pPr>
        <w:numPr>
          <w:ilvl w:val="0"/>
          <w:numId w:val="48"/>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 xml:space="preserve">Kenoyer, J. M. (2008). </w:t>
      </w:r>
      <w:r w:rsidRPr="005169D5">
        <w:rPr>
          <w:rFonts w:ascii="Times New Roman" w:eastAsia="Times New Roman" w:hAnsi="Times New Roman" w:cs="Times New Roman"/>
          <w:i/>
          <w:iCs/>
          <w:lang w:eastAsia="en-GB"/>
        </w:rPr>
        <w:t>Crafts and Social Organization in the Indus Valley.</w:t>
      </w:r>
      <w:r w:rsidRPr="005169D5">
        <w:rPr>
          <w:rFonts w:ascii="Times New Roman" w:eastAsia="Times New Roman" w:hAnsi="Times New Roman" w:cs="Times New Roman"/>
          <w:lang w:eastAsia="en-GB"/>
        </w:rPr>
        <w:t xml:space="preserve"> Ancient India, 64, 25–45.</w:t>
      </w:r>
    </w:p>
    <w:p w:rsidR="005169D5" w:rsidRPr="005169D5" w:rsidRDefault="005169D5" w:rsidP="005169D5">
      <w:pPr>
        <w:numPr>
          <w:ilvl w:val="0"/>
          <w:numId w:val="48"/>
        </w:numPr>
        <w:spacing w:before="100" w:beforeAutospacing="1" w:after="100" w:afterAutospacing="1"/>
        <w:rPr>
          <w:rFonts w:ascii="Times New Roman" w:eastAsia="Times New Roman" w:hAnsi="Times New Roman" w:cs="Times New Roman"/>
          <w:lang w:eastAsia="en-GB"/>
        </w:rPr>
      </w:pPr>
      <w:r w:rsidRPr="005169D5">
        <w:rPr>
          <w:rFonts w:ascii="Times New Roman" w:eastAsia="Times New Roman" w:hAnsi="Times New Roman" w:cs="Times New Roman"/>
          <w:lang w:eastAsia="en-GB"/>
        </w:rPr>
        <w:t xml:space="preserve">Donald, M. (2010). </w:t>
      </w:r>
      <w:r w:rsidRPr="005169D5">
        <w:rPr>
          <w:rFonts w:ascii="Times New Roman" w:eastAsia="Times New Roman" w:hAnsi="Times New Roman" w:cs="Times New Roman"/>
          <w:i/>
          <w:iCs/>
          <w:lang w:eastAsia="en-GB"/>
        </w:rPr>
        <w:t>Origins of the Modern Mind: Cognition, Culture, and Symbolic Systems.</w:t>
      </w:r>
      <w:r w:rsidRPr="005169D5">
        <w:rPr>
          <w:rFonts w:ascii="Times New Roman" w:eastAsia="Times New Roman" w:hAnsi="Times New Roman" w:cs="Times New Roman"/>
          <w:lang w:eastAsia="en-GB"/>
        </w:rPr>
        <w:t xml:space="preserve"> Harvard University Press.</w:t>
      </w:r>
    </w:p>
    <w:p w:rsidR="005169D5" w:rsidRPr="005169D5" w:rsidRDefault="005169D5" w:rsidP="005169D5">
      <w:pPr>
        <w:rPr>
          <w:rFonts w:ascii="Times New Roman" w:eastAsia="Times New Roman" w:hAnsi="Times New Roman" w:cs="Times New Roman"/>
          <w:lang w:eastAsia="en-GB"/>
        </w:rPr>
      </w:pPr>
    </w:p>
    <w:p w:rsidR="00612B02" w:rsidRPr="005169D5" w:rsidRDefault="00612B02" w:rsidP="005169D5"/>
    <w:sectPr w:rsidR="00612B02" w:rsidRPr="005169D5" w:rsidSect="0080487E">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A7DEA"/>
    <w:multiLevelType w:val="multilevel"/>
    <w:tmpl w:val="789A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301BE"/>
    <w:multiLevelType w:val="multilevel"/>
    <w:tmpl w:val="18F8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26CCC"/>
    <w:multiLevelType w:val="multilevel"/>
    <w:tmpl w:val="408E1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D3E4C"/>
    <w:multiLevelType w:val="multilevel"/>
    <w:tmpl w:val="4FEE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74BA8"/>
    <w:multiLevelType w:val="multilevel"/>
    <w:tmpl w:val="4584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45C5D"/>
    <w:multiLevelType w:val="multilevel"/>
    <w:tmpl w:val="5766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B3D00"/>
    <w:multiLevelType w:val="multilevel"/>
    <w:tmpl w:val="DD0E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714F65"/>
    <w:multiLevelType w:val="multilevel"/>
    <w:tmpl w:val="22A4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92469"/>
    <w:multiLevelType w:val="multilevel"/>
    <w:tmpl w:val="194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C1BC6"/>
    <w:multiLevelType w:val="multilevel"/>
    <w:tmpl w:val="687A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00619"/>
    <w:multiLevelType w:val="multilevel"/>
    <w:tmpl w:val="3A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CB2913"/>
    <w:multiLevelType w:val="multilevel"/>
    <w:tmpl w:val="E174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2C3BB4"/>
    <w:multiLevelType w:val="multilevel"/>
    <w:tmpl w:val="2B5A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11812"/>
    <w:multiLevelType w:val="multilevel"/>
    <w:tmpl w:val="414C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CC7595"/>
    <w:multiLevelType w:val="multilevel"/>
    <w:tmpl w:val="31BC70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EB3C96"/>
    <w:multiLevelType w:val="multilevel"/>
    <w:tmpl w:val="EBA2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4724C5"/>
    <w:multiLevelType w:val="multilevel"/>
    <w:tmpl w:val="A194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C31DC4"/>
    <w:multiLevelType w:val="multilevel"/>
    <w:tmpl w:val="4478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01089E"/>
    <w:multiLevelType w:val="multilevel"/>
    <w:tmpl w:val="A49E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DC64D9"/>
    <w:multiLevelType w:val="multilevel"/>
    <w:tmpl w:val="708E9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0E4881"/>
    <w:multiLevelType w:val="multilevel"/>
    <w:tmpl w:val="77CE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C2216B"/>
    <w:multiLevelType w:val="multilevel"/>
    <w:tmpl w:val="6CF8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E26953"/>
    <w:multiLevelType w:val="multilevel"/>
    <w:tmpl w:val="E5A0D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1D2E86"/>
    <w:multiLevelType w:val="multilevel"/>
    <w:tmpl w:val="311E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7E0FA6"/>
    <w:multiLevelType w:val="multilevel"/>
    <w:tmpl w:val="171C0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6A6C98"/>
    <w:multiLevelType w:val="multilevel"/>
    <w:tmpl w:val="9930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8A508C"/>
    <w:multiLevelType w:val="multilevel"/>
    <w:tmpl w:val="8BA2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471B0A"/>
    <w:multiLevelType w:val="multilevel"/>
    <w:tmpl w:val="E946C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005084"/>
    <w:multiLevelType w:val="multilevel"/>
    <w:tmpl w:val="4A52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7558C2"/>
    <w:multiLevelType w:val="multilevel"/>
    <w:tmpl w:val="806AE6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8D4A8A"/>
    <w:multiLevelType w:val="multilevel"/>
    <w:tmpl w:val="B078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220027"/>
    <w:multiLevelType w:val="multilevel"/>
    <w:tmpl w:val="17B00E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6903C9"/>
    <w:multiLevelType w:val="multilevel"/>
    <w:tmpl w:val="DE22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9A4388"/>
    <w:multiLevelType w:val="multilevel"/>
    <w:tmpl w:val="FD02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E35F46"/>
    <w:multiLevelType w:val="multilevel"/>
    <w:tmpl w:val="7866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A85D52"/>
    <w:multiLevelType w:val="multilevel"/>
    <w:tmpl w:val="CA16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620D4D"/>
    <w:multiLevelType w:val="multilevel"/>
    <w:tmpl w:val="0B84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FD1A97"/>
    <w:multiLevelType w:val="multilevel"/>
    <w:tmpl w:val="6ED0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5F51FA"/>
    <w:multiLevelType w:val="multilevel"/>
    <w:tmpl w:val="545A6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B223D9"/>
    <w:multiLevelType w:val="multilevel"/>
    <w:tmpl w:val="0AC0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581560"/>
    <w:multiLevelType w:val="multilevel"/>
    <w:tmpl w:val="89E0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C70A11"/>
    <w:multiLevelType w:val="multilevel"/>
    <w:tmpl w:val="B794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7E6AB5"/>
    <w:multiLevelType w:val="multilevel"/>
    <w:tmpl w:val="F610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C20D7B"/>
    <w:multiLevelType w:val="multilevel"/>
    <w:tmpl w:val="9EA45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F927CB"/>
    <w:multiLevelType w:val="multilevel"/>
    <w:tmpl w:val="B26C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211251"/>
    <w:multiLevelType w:val="multilevel"/>
    <w:tmpl w:val="E3EA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863198"/>
    <w:multiLevelType w:val="multilevel"/>
    <w:tmpl w:val="9030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C62889"/>
    <w:multiLevelType w:val="multilevel"/>
    <w:tmpl w:val="9F82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088536">
    <w:abstractNumId w:val="20"/>
  </w:num>
  <w:num w:numId="2" w16cid:durableId="1224752750">
    <w:abstractNumId w:val="29"/>
  </w:num>
  <w:num w:numId="3" w16cid:durableId="1802259156">
    <w:abstractNumId w:val="16"/>
  </w:num>
  <w:num w:numId="4" w16cid:durableId="1642464908">
    <w:abstractNumId w:val="39"/>
  </w:num>
  <w:num w:numId="5" w16cid:durableId="1692799940">
    <w:abstractNumId w:val="34"/>
  </w:num>
  <w:num w:numId="6" w16cid:durableId="1976787690">
    <w:abstractNumId w:val="44"/>
  </w:num>
  <w:num w:numId="7" w16cid:durableId="126440196">
    <w:abstractNumId w:val="33"/>
  </w:num>
  <w:num w:numId="8" w16cid:durableId="905338921">
    <w:abstractNumId w:val="1"/>
  </w:num>
  <w:num w:numId="9" w16cid:durableId="1115558023">
    <w:abstractNumId w:val="19"/>
  </w:num>
  <w:num w:numId="10" w16cid:durableId="1204833129">
    <w:abstractNumId w:val="13"/>
  </w:num>
  <w:num w:numId="11" w16cid:durableId="981928587">
    <w:abstractNumId w:val="24"/>
  </w:num>
  <w:num w:numId="12" w16cid:durableId="786630938">
    <w:abstractNumId w:val="3"/>
  </w:num>
  <w:num w:numId="13" w16cid:durableId="1895578646">
    <w:abstractNumId w:val="31"/>
  </w:num>
  <w:num w:numId="14" w16cid:durableId="167792564">
    <w:abstractNumId w:val="30"/>
  </w:num>
  <w:num w:numId="15" w16cid:durableId="497041183">
    <w:abstractNumId w:val="45"/>
  </w:num>
  <w:num w:numId="16" w16cid:durableId="373577120">
    <w:abstractNumId w:val="18"/>
  </w:num>
  <w:num w:numId="17" w16cid:durableId="564266685">
    <w:abstractNumId w:val="6"/>
  </w:num>
  <w:num w:numId="18" w16cid:durableId="949583483">
    <w:abstractNumId w:val="15"/>
  </w:num>
  <w:num w:numId="19" w16cid:durableId="134220003">
    <w:abstractNumId w:val="47"/>
  </w:num>
  <w:num w:numId="20" w16cid:durableId="1248688830">
    <w:abstractNumId w:val="35"/>
  </w:num>
  <w:num w:numId="21" w16cid:durableId="156072535">
    <w:abstractNumId w:val="10"/>
  </w:num>
  <w:num w:numId="22" w16cid:durableId="1371764726">
    <w:abstractNumId w:val="7"/>
  </w:num>
  <w:num w:numId="23" w16cid:durableId="1487894536">
    <w:abstractNumId w:val="43"/>
  </w:num>
  <w:num w:numId="24" w16cid:durableId="872963016">
    <w:abstractNumId w:val="25"/>
  </w:num>
  <w:num w:numId="25" w16cid:durableId="173958140">
    <w:abstractNumId w:val="11"/>
  </w:num>
  <w:num w:numId="26" w16cid:durableId="1688676702">
    <w:abstractNumId w:val="14"/>
  </w:num>
  <w:num w:numId="27" w16cid:durableId="1688368316">
    <w:abstractNumId w:val="8"/>
  </w:num>
  <w:num w:numId="28" w16cid:durableId="2087143190">
    <w:abstractNumId w:val="9"/>
  </w:num>
  <w:num w:numId="29" w16cid:durableId="1657610182">
    <w:abstractNumId w:val="32"/>
  </w:num>
  <w:num w:numId="30" w16cid:durableId="228463643">
    <w:abstractNumId w:val="5"/>
  </w:num>
  <w:num w:numId="31" w16cid:durableId="1213614830">
    <w:abstractNumId w:val="40"/>
  </w:num>
  <w:num w:numId="32" w16cid:durableId="1708018447">
    <w:abstractNumId w:val="36"/>
  </w:num>
  <w:num w:numId="33" w16cid:durableId="1626811203">
    <w:abstractNumId w:val="2"/>
  </w:num>
  <w:num w:numId="34" w16cid:durableId="1972976430">
    <w:abstractNumId w:val="38"/>
  </w:num>
  <w:num w:numId="35" w16cid:durableId="1161041005">
    <w:abstractNumId w:val="0"/>
  </w:num>
  <w:num w:numId="36" w16cid:durableId="308438696">
    <w:abstractNumId w:val="27"/>
  </w:num>
  <w:num w:numId="37" w16cid:durableId="197591604">
    <w:abstractNumId w:val="41"/>
  </w:num>
  <w:num w:numId="38" w16cid:durableId="928581627">
    <w:abstractNumId w:val="17"/>
  </w:num>
  <w:num w:numId="39" w16cid:durableId="1192300644">
    <w:abstractNumId w:val="26"/>
  </w:num>
  <w:num w:numId="40" w16cid:durableId="1434472855">
    <w:abstractNumId w:val="46"/>
  </w:num>
  <w:num w:numId="41" w16cid:durableId="1303073114">
    <w:abstractNumId w:val="23"/>
  </w:num>
  <w:num w:numId="42" w16cid:durableId="588268440">
    <w:abstractNumId w:val="21"/>
  </w:num>
  <w:num w:numId="43" w16cid:durableId="807938335">
    <w:abstractNumId w:val="37"/>
  </w:num>
  <w:num w:numId="44" w16cid:durableId="1951425085">
    <w:abstractNumId w:val="12"/>
  </w:num>
  <w:num w:numId="45" w16cid:durableId="27728545">
    <w:abstractNumId w:val="4"/>
  </w:num>
  <w:num w:numId="46" w16cid:durableId="1419407473">
    <w:abstractNumId w:val="22"/>
  </w:num>
  <w:num w:numId="47" w16cid:durableId="1823232370">
    <w:abstractNumId w:val="42"/>
  </w:num>
  <w:num w:numId="48" w16cid:durableId="16978063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5C9"/>
    <w:rsid w:val="00501FDB"/>
    <w:rsid w:val="005169D5"/>
    <w:rsid w:val="005C1B1E"/>
    <w:rsid w:val="00612B02"/>
    <w:rsid w:val="0080487E"/>
    <w:rsid w:val="008F472B"/>
    <w:rsid w:val="00AF0F39"/>
    <w:rsid w:val="00E8326B"/>
    <w:rsid w:val="00F035C9"/>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E085C"/>
  <w15:chartTrackingRefBased/>
  <w15:docId w15:val="{66191D28-29FE-624C-8522-6847595E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035C9"/>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035C9"/>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035C9"/>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5C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035C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035C9"/>
    <w:rPr>
      <w:rFonts w:ascii="Times New Roman" w:eastAsia="Times New Roman" w:hAnsi="Times New Roman" w:cs="Times New Roman"/>
      <w:b/>
      <w:bCs/>
      <w:sz w:val="27"/>
      <w:szCs w:val="27"/>
      <w:lang w:eastAsia="en-GB"/>
    </w:rPr>
  </w:style>
  <w:style w:type="paragraph" w:customStyle="1" w:styleId="p1">
    <w:name w:val="p1"/>
    <w:basedOn w:val="Normal"/>
    <w:rsid w:val="00F035C9"/>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F035C9"/>
  </w:style>
  <w:style w:type="character" w:customStyle="1" w:styleId="s2">
    <w:name w:val="s2"/>
    <w:basedOn w:val="DefaultParagraphFont"/>
    <w:rsid w:val="00F035C9"/>
  </w:style>
  <w:style w:type="paragraph" w:customStyle="1" w:styleId="p3">
    <w:name w:val="p3"/>
    <w:basedOn w:val="Normal"/>
    <w:rsid w:val="00F035C9"/>
    <w:pPr>
      <w:spacing w:before="100" w:beforeAutospacing="1" w:after="100" w:afterAutospacing="1"/>
    </w:pPr>
    <w:rPr>
      <w:rFonts w:ascii="Times New Roman" w:eastAsia="Times New Roman" w:hAnsi="Times New Roman" w:cs="Times New Roman"/>
      <w:lang w:eastAsia="en-GB"/>
    </w:rPr>
  </w:style>
  <w:style w:type="paragraph" w:customStyle="1" w:styleId="p4">
    <w:name w:val="p4"/>
    <w:basedOn w:val="Normal"/>
    <w:rsid w:val="00F035C9"/>
    <w:pPr>
      <w:spacing w:before="100" w:beforeAutospacing="1" w:after="100" w:afterAutospacing="1"/>
    </w:pPr>
    <w:rPr>
      <w:rFonts w:ascii="Times New Roman" w:eastAsia="Times New Roman" w:hAnsi="Times New Roman" w:cs="Times New Roman"/>
      <w:lang w:eastAsia="en-GB"/>
    </w:rPr>
  </w:style>
  <w:style w:type="paragraph" w:customStyle="1" w:styleId="p2">
    <w:name w:val="p2"/>
    <w:basedOn w:val="Normal"/>
    <w:rsid w:val="00F035C9"/>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E8326B"/>
    <w:rPr>
      <w:color w:val="0563C1" w:themeColor="hyperlink"/>
      <w:u w:val="single"/>
    </w:rPr>
  </w:style>
  <w:style w:type="character" w:styleId="UnresolvedMention">
    <w:name w:val="Unresolved Mention"/>
    <w:basedOn w:val="DefaultParagraphFont"/>
    <w:uiPriority w:val="99"/>
    <w:semiHidden/>
    <w:unhideWhenUsed/>
    <w:rsid w:val="00E83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25936">
      <w:bodyDiv w:val="1"/>
      <w:marLeft w:val="0"/>
      <w:marRight w:val="0"/>
      <w:marTop w:val="0"/>
      <w:marBottom w:val="0"/>
      <w:divBdr>
        <w:top w:val="none" w:sz="0" w:space="0" w:color="auto"/>
        <w:left w:val="none" w:sz="0" w:space="0" w:color="auto"/>
        <w:bottom w:val="none" w:sz="0" w:space="0" w:color="auto"/>
        <w:right w:val="none" w:sz="0" w:space="0" w:color="auto"/>
      </w:divBdr>
    </w:div>
    <w:div w:id="212036307">
      <w:bodyDiv w:val="1"/>
      <w:marLeft w:val="0"/>
      <w:marRight w:val="0"/>
      <w:marTop w:val="0"/>
      <w:marBottom w:val="0"/>
      <w:divBdr>
        <w:top w:val="none" w:sz="0" w:space="0" w:color="auto"/>
        <w:left w:val="none" w:sz="0" w:space="0" w:color="auto"/>
        <w:bottom w:val="none" w:sz="0" w:space="0" w:color="auto"/>
        <w:right w:val="none" w:sz="0" w:space="0" w:color="auto"/>
      </w:divBdr>
    </w:div>
    <w:div w:id="274102114">
      <w:bodyDiv w:val="1"/>
      <w:marLeft w:val="0"/>
      <w:marRight w:val="0"/>
      <w:marTop w:val="0"/>
      <w:marBottom w:val="0"/>
      <w:divBdr>
        <w:top w:val="none" w:sz="0" w:space="0" w:color="auto"/>
        <w:left w:val="none" w:sz="0" w:space="0" w:color="auto"/>
        <w:bottom w:val="none" w:sz="0" w:space="0" w:color="auto"/>
        <w:right w:val="none" w:sz="0" w:space="0" w:color="auto"/>
      </w:divBdr>
    </w:div>
    <w:div w:id="604656347">
      <w:bodyDiv w:val="1"/>
      <w:marLeft w:val="0"/>
      <w:marRight w:val="0"/>
      <w:marTop w:val="0"/>
      <w:marBottom w:val="0"/>
      <w:divBdr>
        <w:top w:val="none" w:sz="0" w:space="0" w:color="auto"/>
        <w:left w:val="none" w:sz="0" w:space="0" w:color="auto"/>
        <w:bottom w:val="none" w:sz="0" w:space="0" w:color="auto"/>
        <w:right w:val="none" w:sz="0" w:space="0" w:color="auto"/>
      </w:divBdr>
    </w:div>
    <w:div w:id="606473865">
      <w:bodyDiv w:val="1"/>
      <w:marLeft w:val="0"/>
      <w:marRight w:val="0"/>
      <w:marTop w:val="0"/>
      <w:marBottom w:val="0"/>
      <w:divBdr>
        <w:top w:val="none" w:sz="0" w:space="0" w:color="auto"/>
        <w:left w:val="none" w:sz="0" w:space="0" w:color="auto"/>
        <w:bottom w:val="none" w:sz="0" w:space="0" w:color="auto"/>
        <w:right w:val="none" w:sz="0" w:space="0" w:color="auto"/>
      </w:divBdr>
    </w:div>
    <w:div w:id="643775937">
      <w:bodyDiv w:val="1"/>
      <w:marLeft w:val="0"/>
      <w:marRight w:val="0"/>
      <w:marTop w:val="0"/>
      <w:marBottom w:val="0"/>
      <w:divBdr>
        <w:top w:val="none" w:sz="0" w:space="0" w:color="auto"/>
        <w:left w:val="none" w:sz="0" w:space="0" w:color="auto"/>
        <w:bottom w:val="none" w:sz="0" w:space="0" w:color="auto"/>
        <w:right w:val="none" w:sz="0" w:space="0" w:color="auto"/>
      </w:divBdr>
    </w:div>
    <w:div w:id="703749528">
      <w:bodyDiv w:val="1"/>
      <w:marLeft w:val="0"/>
      <w:marRight w:val="0"/>
      <w:marTop w:val="0"/>
      <w:marBottom w:val="0"/>
      <w:divBdr>
        <w:top w:val="none" w:sz="0" w:space="0" w:color="auto"/>
        <w:left w:val="none" w:sz="0" w:space="0" w:color="auto"/>
        <w:bottom w:val="none" w:sz="0" w:space="0" w:color="auto"/>
        <w:right w:val="none" w:sz="0" w:space="0" w:color="auto"/>
      </w:divBdr>
    </w:div>
    <w:div w:id="147871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7605/OSF.IO/YW5GM" TargetMode="External"/><Relationship Id="rId5" Type="http://schemas.openxmlformats.org/officeDocument/2006/relationships/hyperlink" Target="https://doi.org/10.5281/zenodo.1840665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1775</Words>
  <Characters>10123</Characters>
  <Application>Microsoft Office Word</Application>
  <DocSecurity>0</DocSecurity>
  <Lines>84</Lines>
  <Paragraphs>23</Paragraphs>
  <ScaleCrop>false</ScaleCrop>
  <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2026-01-24T22:32:00Z</dcterms:created>
  <dcterms:modified xsi:type="dcterms:W3CDTF">2026-01-28T20:10:00Z</dcterms:modified>
</cp:coreProperties>
</file>