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6BA3" w:rsidRPr="007C10CF" w:rsidRDefault="00026BA3" w:rsidP="00026BA3">
      <w:pPr>
        <w:pStyle w:val="p3"/>
        <w:rPr>
          <w:color w:val="000000" w:themeColor="text1"/>
          <w:sz w:val="40"/>
          <w:szCs w:val="40"/>
        </w:rPr>
      </w:pPr>
      <w:r w:rsidRPr="007C10CF">
        <w:rPr>
          <w:b/>
          <w:bCs/>
          <w:color w:val="000000" w:themeColor="text1"/>
          <w:sz w:val="48"/>
          <w:szCs w:val="48"/>
        </w:rPr>
        <w:t>Vinca Culture and the Origins of Deep Symbolic Stabilization:</w:t>
      </w:r>
      <w:r w:rsidRPr="007C10CF">
        <w:rPr>
          <w:b/>
          <w:bCs/>
          <w:color w:val="000000" w:themeColor="text1"/>
          <w:sz w:val="40"/>
          <w:szCs w:val="40"/>
        </w:rPr>
        <w:t xml:space="preserve"> </w:t>
      </w:r>
      <w:r w:rsidRPr="007C10CF">
        <w:rPr>
          <w:color w:val="000000" w:themeColor="text1"/>
        </w:rPr>
        <w:t>A DSSM Perspective</w:t>
      </w:r>
    </w:p>
    <w:p w:rsidR="007C10CF" w:rsidRPr="00E4730F" w:rsidRDefault="007C10C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E4730F" w:rsidRDefault="00E4730F" w:rsidP="007C10CF">
      <w:pPr>
        <w:pStyle w:val="p3"/>
        <w:rPr>
          <w:color w:val="000000" w:themeColor="text1"/>
          <w:sz w:val="28"/>
          <w:szCs w:val="28"/>
          <w:lang w:val="en-US"/>
        </w:rPr>
      </w:pPr>
    </w:p>
    <w:p w:rsidR="007C10CF" w:rsidRPr="003D40C2" w:rsidRDefault="007C10CF" w:rsidP="007C10CF">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7C10CF" w:rsidRDefault="007C10CF" w:rsidP="007C10CF">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Pr="003D40C2">
        <w:rPr>
          <w:rFonts w:ascii="Times New Roman" w:eastAsia="Times New Roman" w:hAnsi="Times New Roman" w:cs="Times New Roman"/>
          <w:b/>
          <w:bCs/>
          <w:lang w:val="en-US" w:eastAsia="en-GB"/>
        </w:rPr>
        <w:t>Figshare</w:t>
      </w:r>
      <w:proofErr w:type="spellEnd"/>
      <w:r w:rsidRPr="003D40C2">
        <w:rPr>
          <w:rFonts w:ascii="Times New Roman" w:eastAsia="Times New Roman" w:hAnsi="Times New Roman" w:cs="Times New Roman"/>
          <w:b/>
          <w:bCs/>
          <w:lang w:val="en-US" w:eastAsia="en-GB"/>
        </w:rPr>
        <w:t xml:space="preserve"> preprint</w:t>
      </w:r>
    </w:p>
    <w:p w:rsidR="00E4730F" w:rsidRPr="007A6680" w:rsidRDefault="00E4730F" w:rsidP="00E4730F">
      <w:pPr>
        <w:spacing w:before="100" w:beforeAutospacing="1" w:after="100" w:afterAutospacing="1"/>
        <w:rPr>
          <w:rFonts w:ascii="Times New Roman" w:eastAsia="Times New Roman" w:hAnsi="Times New Roman" w:cs="Times New Roman"/>
          <w:b/>
          <w:bCs/>
          <w:lang w:val="en-US" w:eastAsia="en-GB"/>
        </w:rPr>
      </w:pPr>
      <w:r>
        <w:t>This paper is conceptually and methodologically related to the foundational work on the Deep Symbolic Systems Model (DSSM) by Vondoom, A.</w:t>
      </w:r>
      <w:r w:rsidRPr="002D5075">
        <w:rPr>
          <w:lang w:val="en-US"/>
        </w:rPr>
        <w:t>202</w:t>
      </w:r>
      <w:r>
        <w:rPr>
          <w:lang w:val="en-US"/>
        </w:rPr>
        <w:t>5 OSF</w:t>
      </w:r>
      <w:r w:rsidRPr="002D5075">
        <w:t xml:space="preserve"> </w:t>
      </w:r>
      <w:hyperlink r:id="rId5" w:history="1">
        <w:r w:rsidRPr="004654E1">
          <w:rPr>
            <w:color w:val="0000FF"/>
            <w:u w:val="single"/>
          </w:rPr>
          <w:t>https://doi.org/10.17605/OSF.IO/YW5GM</w:t>
        </w:r>
      </w:hyperlink>
      <w:r w:rsidRPr="002D5075">
        <w:rPr>
          <w:lang w:val="en-US"/>
        </w:rPr>
        <w:t xml:space="preserve"> </w:t>
      </w:r>
      <w:r>
        <w:t xml:space="preserve"> </w:t>
      </w:r>
    </w:p>
    <w:p w:rsidR="00026BA3" w:rsidRPr="001D074D" w:rsidRDefault="00026BA3" w:rsidP="00026BA3">
      <w:pPr>
        <w:pStyle w:val="p3"/>
        <w:rPr>
          <w:color w:val="000000" w:themeColor="text1"/>
          <w:sz w:val="28"/>
          <w:szCs w:val="28"/>
        </w:rPr>
      </w:pPr>
      <w:r w:rsidRPr="001D074D">
        <w:rPr>
          <w:b/>
          <w:bCs/>
          <w:color w:val="000000" w:themeColor="text1"/>
          <w:sz w:val="28"/>
          <w:szCs w:val="28"/>
        </w:rPr>
        <w:lastRenderedPageBreak/>
        <w:t>Abstract</w:t>
      </w:r>
    </w:p>
    <w:p w:rsidR="00026BA3" w:rsidRPr="001D074D" w:rsidRDefault="00026BA3" w:rsidP="001D074D">
      <w:pPr>
        <w:pStyle w:val="p1"/>
        <w:ind w:firstLine="720"/>
        <w:rPr>
          <w:color w:val="000000" w:themeColor="text1"/>
        </w:rPr>
      </w:pPr>
      <w:r w:rsidRPr="001D074D">
        <w:rPr>
          <w:color w:val="000000" w:themeColor="text1"/>
        </w:rPr>
        <w:t>The Vinca culture (c. 5700–4500 BCE), centered along the Danube corridor, represents Europe’s earliest fully DSSM-compliant symbolic system. Repeated and standardized motifs across multiple media demonstrate intergenerational persistence, spatial constraint, cross-media redundancy, and resilience under social and environmental stress. Despite this early symbolic saturation, Vinca’s DSSM collapsed during Eneolithic transitions due to structural disruptions, including population migration, cultural transformation, and institutional breakdown, exemplified by the Cernavodă (~4600–4000 BCE) and Baden (~3600–2800 BCE) cultures. Comparative structural analysis shows strong parallels between Vinca symbols and later Indus inscriptions, indicating convergent cognitive strategies for symbolic stabilization. Placing Vinca within a global DSSM framework confirms that Europe was an independent cradle of deep symbolic stabilization long before classical urban civilizations.</w:t>
      </w:r>
    </w:p>
    <w:p w:rsidR="00026BA3" w:rsidRPr="001D074D" w:rsidRDefault="00026BA3" w:rsidP="00026BA3">
      <w:pPr>
        <w:rPr>
          <w:rStyle w:val="s1"/>
          <w:rFonts w:ascii="Times New Roman" w:hAnsi="Times New Roman" w:cs="Times New Roman"/>
          <w:color w:val="000000" w:themeColor="text1"/>
        </w:rPr>
      </w:pPr>
    </w:p>
    <w:p w:rsidR="00026BA3" w:rsidRPr="001D074D" w:rsidRDefault="00026BA3" w:rsidP="001D074D">
      <w:pPr>
        <w:pStyle w:val="Heading3"/>
        <w:rPr>
          <w:color w:val="000000" w:themeColor="text1"/>
          <w:sz w:val="28"/>
          <w:szCs w:val="28"/>
        </w:rPr>
      </w:pPr>
      <w:r w:rsidRPr="001D074D">
        <w:rPr>
          <w:color w:val="000000" w:themeColor="text1"/>
          <w:sz w:val="28"/>
          <w:szCs w:val="28"/>
        </w:rPr>
        <w:t>1. Introduction: Vinca and European DSSM Origins</w:t>
      </w:r>
    </w:p>
    <w:p w:rsidR="00026BA3" w:rsidRPr="001D074D" w:rsidRDefault="00026BA3" w:rsidP="00026BA3">
      <w:pPr>
        <w:pStyle w:val="p1"/>
        <w:rPr>
          <w:color w:val="000000" w:themeColor="text1"/>
        </w:rPr>
      </w:pPr>
      <w:r w:rsidRPr="001D074D">
        <w:rPr>
          <w:color w:val="000000" w:themeColor="text1"/>
        </w:rPr>
        <w:t>Conventional narratives often underplay pre-urban symbolic sophistication. Vinca challenges this view, providing early evidence of fully stabilized symbolic practice:</w:t>
      </w:r>
    </w:p>
    <w:p w:rsidR="00026BA3" w:rsidRPr="001D074D" w:rsidRDefault="00026BA3" w:rsidP="00026BA3">
      <w:pPr>
        <w:pStyle w:val="p1"/>
        <w:numPr>
          <w:ilvl w:val="0"/>
          <w:numId w:val="43"/>
        </w:numPr>
        <w:rPr>
          <w:color w:val="000000" w:themeColor="text1"/>
        </w:rPr>
      </w:pPr>
      <w:r w:rsidRPr="001D074D">
        <w:rPr>
          <w:rStyle w:val="s1"/>
          <w:b/>
          <w:bCs/>
          <w:color w:val="000000" w:themeColor="text1"/>
        </w:rPr>
        <w:t>Cognitive Continuity in Europe:</w:t>
      </w:r>
      <w:r w:rsidRPr="001D074D">
        <w:rPr>
          <w:color w:val="000000" w:themeColor="text1"/>
        </w:rPr>
        <w:t xml:space="preserve"> DSSM criteria—intergenerational repetition, spatial constraint, cross-media redundancy, persistence under stress—are clearly present in Vinca, predating urban civilizations in Mesopotamia, Egypt, or the Indus Valley.</w:t>
      </w:r>
    </w:p>
    <w:p w:rsidR="00026BA3" w:rsidRPr="001D074D" w:rsidRDefault="00026BA3" w:rsidP="00026BA3">
      <w:pPr>
        <w:pStyle w:val="p1"/>
        <w:numPr>
          <w:ilvl w:val="0"/>
          <w:numId w:val="43"/>
        </w:numPr>
        <w:rPr>
          <w:color w:val="000000" w:themeColor="text1"/>
        </w:rPr>
      </w:pPr>
      <w:r w:rsidRPr="001D074D">
        <w:rPr>
          <w:rStyle w:val="s1"/>
          <w:b/>
          <w:bCs/>
          <w:color w:val="000000" w:themeColor="text1"/>
        </w:rPr>
        <w:t>Pre-Script DSSM:</w:t>
      </w:r>
      <w:r w:rsidRPr="001D074D">
        <w:rPr>
          <w:color w:val="000000" w:themeColor="text1"/>
        </w:rPr>
        <w:t xml:space="preserve"> Vinca’s portable symbols—geometric motifs, hooks, swastika-like forms—function as standardized pre-script cognitive modules that anticipate later writing systems.</w:t>
      </w:r>
    </w:p>
    <w:p w:rsidR="00026BA3" w:rsidRPr="007C10CF" w:rsidRDefault="00026BA3" w:rsidP="00026BA3">
      <w:pPr>
        <w:pStyle w:val="p1"/>
        <w:numPr>
          <w:ilvl w:val="0"/>
          <w:numId w:val="43"/>
        </w:numPr>
        <w:rPr>
          <w:rStyle w:val="s1"/>
          <w:color w:val="000000" w:themeColor="text1"/>
        </w:rPr>
      </w:pPr>
      <w:r w:rsidRPr="001D074D">
        <w:rPr>
          <w:rStyle w:val="s1"/>
          <w:b/>
          <w:bCs/>
          <w:color w:val="000000" w:themeColor="text1"/>
        </w:rPr>
        <w:t>Structural Collapse:</w:t>
      </w:r>
      <w:r w:rsidRPr="001D074D">
        <w:rPr>
          <w:color w:val="000000" w:themeColor="text1"/>
        </w:rPr>
        <w:t xml:space="preserve"> Unlike Indus or Egyptian DSSM systems, Vinca’s symbolic stabilization dissipated during cultural transitions, not due to cognitive limitation.</w:t>
      </w:r>
    </w:p>
    <w:p w:rsidR="00026BA3" w:rsidRPr="001D074D" w:rsidRDefault="00026BA3" w:rsidP="001D074D">
      <w:pPr>
        <w:pStyle w:val="Heading3"/>
        <w:rPr>
          <w:color w:val="000000" w:themeColor="text1"/>
          <w:sz w:val="28"/>
          <w:szCs w:val="28"/>
        </w:rPr>
      </w:pPr>
      <w:r w:rsidRPr="001D074D">
        <w:rPr>
          <w:color w:val="000000" w:themeColor="text1"/>
          <w:sz w:val="28"/>
          <w:szCs w:val="28"/>
        </w:rPr>
        <w:t>2. Archaeological and Cultural Context</w:t>
      </w:r>
    </w:p>
    <w:p w:rsidR="00026BA3" w:rsidRPr="001D074D" w:rsidRDefault="00026BA3" w:rsidP="00026BA3">
      <w:pPr>
        <w:pStyle w:val="Heading4"/>
        <w:rPr>
          <w:rFonts w:ascii="Times New Roman" w:hAnsi="Times New Roman" w:cs="Times New Roman"/>
          <w:color w:val="000000" w:themeColor="text1"/>
        </w:rPr>
      </w:pPr>
      <w:r w:rsidRPr="001D074D">
        <w:rPr>
          <w:rFonts w:ascii="Times New Roman" w:hAnsi="Times New Roman" w:cs="Times New Roman"/>
          <w:color w:val="000000" w:themeColor="text1"/>
        </w:rPr>
        <w:t>2.1 Origins and Precursors</w:t>
      </w:r>
    </w:p>
    <w:p w:rsidR="00026BA3" w:rsidRPr="001D074D" w:rsidRDefault="00026BA3" w:rsidP="00026BA3">
      <w:pPr>
        <w:pStyle w:val="p1"/>
        <w:numPr>
          <w:ilvl w:val="0"/>
          <w:numId w:val="44"/>
        </w:numPr>
        <w:rPr>
          <w:color w:val="000000" w:themeColor="text1"/>
        </w:rPr>
      </w:pPr>
      <w:r w:rsidRPr="001D074D">
        <w:rPr>
          <w:rStyle w:val="s1"/>
          <w:b/>
          <w:bCs/>
          <w:color w:val="000000" w:themeColor="text1"/>
        </w:rPr>
        <w:t>Starčevo–Körös–Criș cultures (c. 6200–4500 BCE):</w:t>
      </w:r>
      <w:r w:rsidRPr="001D074D">
        <w:rPr>
          <w:color w:val="000000" w:themeColor="text1"/>
        </w:rPr>
        <w:t xml:space="preserve"> Provided demographic, technological, and symbolic foundations for Vinca development.</w:t>
      </w:r>
    </w:p>
    <w:p w:rsidR="00026BA3" w:rsidRPr="001D074D" w:rsidRDefault="00026BA3" w:rsidP="00026BA3">
      <w:pPr>
        <w:pStyle w:val="p1"/>
        <w:numPr>
          <w:ilvl w:val="0"/>
          <w:numId w:val="44"/>
        </w:numPr>
        <w:rPr>
          <w:color w:val="000000" w:themeColor="text1"/>
        </w:rPr>
      </w:pPr>
      <w:r w:rsidRPr="001D074D">
        <w:rPr>
          <w:rStyle w:val="s1"/>
          <w:b/>
          <w:bCs/>
          <w:color w:val="000000" w:themeColor="text1"/>
        </w:rPr>
        <w:t>Migration Patterns:</w:t>
      </w:r>
      <w:r w:rsidRPr="001D074D">
        <w:rPr>
          <w:color w:val="000000" w:themeColor="text1"/>
        </w:rPr>
        <w:t xml:space="preserve"> Gradual population movements from the Balkans and Anatolia into the central Danube corridor transmitted Neolithic farming, craft, and symbolic practices.</w:t>
      </w:r>
    </w:p>
    <w:p w:rsidR="001D074D" w:rsidRDefault="00026BA3" w:rsidP="001D074D">
      <w:pPr>
        <w:pStyle w:val="p1"/>
        <w:numPr>
          <w:ilvl w:val="0"/>
          <w:numId w:val="44"/>
        </w:numPr>
        <w:rPr>
          <w:color w:val="000000" w:themeColor="text1"/>
        </w:rPr>
      </w:pPr>
      <w:r w:rsidRPr="001D074D">
        <w:rPr>
          <w:rStyle w:val="s1"/>
          <w:b/>
          <w:bCs/>
          <w:color w:val="000000" w:themeColor="text1"/>
        </w:rPr>
        <w:t>Key Sites:</w:t>
      </w:r>
      <w:r w:rsidRPr="001D074D">
        <w:rPr>
          <w:color w:val="000000" w:themeColor="text1"/>
        </w:rPr>
        <w:t xml:space="preserve"> Vinča-Belo Brdo (Serbia), Varna (Bulgaria), and other settlements exhibit dense occupation, standardized pottery, and extensive symbolic artifacts.</w:t>
      </w:r>
    </w:p>
    <w:p w:rsidR="00026BA3" w:rsidRPr="001D074D" w:rsidRDefault="00026BA3" w:rsidP="001D074D">
      <w:pPr>
        <w:pStyle w:val="p1"/>
        <w:ind w:left="720"/>
        <w:rPr>
          <w:color w:val="000000" w:themeColor="text1"/>
        </w:rPr>
      </w:pPr>
      <w:r w:rsidRPr="001D074D">
        <w:rPr>
          <w:color w:val="000000" w:themeColor="text1"/>
        </w:rPr>
        <w:t>2.2 Cultural Transformations</w:t>
      </w:r>
    </w:p>
    <w:p w:rsidR="00026BA3" w:rsidRPr="001D074D" w:rsidRDefault="00026BA3" w:rsidP="00026BA3">
      <w:pPr>
        <w:pStyle w:val="p1"/>
        <w:numPr>
          <w:ilvl w:val="0"/>
          <w:numId w:val="45"/>
        </w:numPr>
        <w:rPr>
          <w:color w:val="000000" w:themeColor="text1"/>
        </w:rPr>
      </w:pPr>
      <w:r w:rsidRPr="001D074D">
        <w:rPr>
          <w:rStyle w:val="s1"/>
          <w:b/>
          <w:bCs/>
          <w:color w:val="000000" w:themeColor="text1"/>
        </w:rPr>
        <w:t>Cernavodă Culture (c. 4600–4000 BCE):</w:t>
      </w:r>
      <w:r w:rsidRPr="001D074D">
        <w:rPr>
          <w:color w:val="000000" w:themeColor="text1"/>
        </w:rPr>
        <w:t xml:space="preserve"> Pastoral mobility, copper use, and reduced symbolic elaboration replaced Vinca networks.</w:t>
      </w:r>
    </w:p>
    <w:p w:rsidR="00026BA3" w:rsidRPr="001D074D" w:rsidRDefault="00026BA3" w:rsidP="00026BA3">
      <w:pPr>
        <w:pStyle w:val="p1"/>
        <w:numPr>
          <w:ilvl w:val="0"/>
          <w:numId w:val="45"/>
        </w:numPr>
        <w:rPr>
          <w:color w:val="000000" w:themeColor="text1"/>
        </w:rPr>
      </w:pPr>
      <w:r w:rsidRPr="001D074D">
        <w:rPr>
          <w:rStyle w:val="s1"/>
          <w:b/>
          <w:bCs/>
          <w:color w:val="000000" w:themeColor="text1"/>
        </w:rPr>
        <w:t>Baden Culture (c. 3600–2800 BCE):</w:t>
      </w:r>
      <w:r w:rsidRPr="001D074D">
        <w:rPr>
          <w:color w:val="000000" w:themeColor="text1"/>
        </w:rPr>
        <w:t xml:space="preserve"> Chalcolithic complex with novel ceramics and ritual practices replaced Vinca social structures.</w:t>
      </w:r>
    </w:p>
    <w:p w:rsidR="00026BA3" w:rsidRDefault="00026BA3" w:rsidP="007C10CF">
      <w:pPr>
        <w:pStyle w:val="p1"/>
        <w:rPr>
          <w:color w:val="000000" w:themeColor="text1"/>
        </w:rPr>
      </w:pPr>
      <w:r w:rsidRPr="001D074D">
        <w:rPr>
          <w:rStyle w:val="s2"/>
          <w:b/>
          <w:bCs/>
          <w:color w:val="000000" w:themeColor="text1"/>
        </w:rPr>
        <w:t>Interpretation:</w:t>
      </w:r>
      <w:r w:rsidRPr="001D074D">
        <w:rPr>
          <w:color w:val="000000" w:themeColor="text1"/>
        </w:rPr>
        <w:t xml:space="preserve"> These transformations fractured the institutional and social supports of Vinca’s DSSM, precipitating symbolic discontinuity.</w:t>
      </w:r>
    </w:p>
    <w:p w:rsidR="007C10CF" w:rsidRDefault="007C10CF" w:rsidP="007C10CF">
      <w:pPr>
        <w:pStyle w:val="p1"/>
        <w:rPr>
          <w:color w:val="000000" w:themeColor="text1"/>
        </w:rPr>
      </w:pPr>
    </w:p>
    <w:p w:rsidR="007C10CF" w:rsidRPr="001D074D" w:rsidRDefault="007C10CF" w:rsidP="007C10CF">
      <w:pPr>
        <w:pStyle w:val="p1"/>
        <w:rPr>
          <w:rStyle w:val="s1"/>
          <w:color w:val="000000" w:themeColor="text1"/>
        </w:rPr>
      </w:pPr>
    </w:p>
    <w:p w:rsidR="00026BA3" w:rsidRPr="001D074D" w:rsidRDefault="00026BA3" w:rsidP="00026BA3">
      <w:pPr>
        <w:pStyle w:val="Heading3"/>
        <w:rPr>
          <w:color w:val="000000" w:themeColor="text1"/>
          <w:sz w:val="28"/>
          <w:szCs w:val="28"/>
        </w:rPr>
      </w:pPr>
      <w:r w:rsidRPr="001D074D">
        <w:rPr>
          <w:color w:val="000000" w:themeColor="text1"/>
          <w:sz w:val="28"/>
          <w:szCs w:val="28"/>
        </w:rPr>
        <w:lastRenderedPageBreak/>
        <w:t>3. DSSM Analysis of Vinca Symbolic Systems</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4"/>
        <w:gridCol w:w="7497"/>
      </w:tblGrid>
      <w:tr w:rsidR="001D074D" w:rsidRPr="001D074D" w:rsidTr="001D074D">
        <w:trPr>
          <w:tblHeader/>
          <w:tblCellSpacing w:w="15" w:type="dxa"/>
        </w:trPr>
        <w:tc>
          <w:tcPr>
            <w:tcW w:w="0" w:type="auto"/>
            <w:shd w:val="clear" w:color="auto" w:fill="D9D9D9" w:themeFill="background1" w:themeFillShade="D9"/>
            <w:vAlign w:val="center"/>
            <w:hideMark/>
          </w:tcPr>
          <w:p w:rsidR="00026BA3" w:rsidRPr="001D074D" w:rsidRDefault="00026BA3" w:rsidP="001D074D">
            <w:pPr>
              <w:pStyle w:val="p1"/>
              <w:jc w:val="center"/>
              <w:rPr>
                <w:b/>
                <w:bCs/>
                <w:color w:val="000000" w:themeColor="text1"/>
              </w:rPr>
            </w:pPr>
            <w:r w:rsidRPr="001D074D">
              <w:rPr>
                <w:b/>
                <w:bCs/>
                <w:color w:val="000000" w:themeColor="text1"/>
              </w:rPr>
              <w:t>DSSM Criterion</w:t>
            </w:r>
          </w:p>
        </w:tc>
        <w:tc>
          <w:tcPr>
            <w:tcW w:w="7452" w:type="dxa"/>
            <w:shd w:val="clear" w:color="auto" w:fill="D9D9D9" w:themeFill="background1" w:themeFillShade="D9"/>
            <w:vAlign w:val="center"/>
            <w:hideMark/>
          </w:tcPr>
          <w:p w:rsidR="00026BA3" w:rsidRPr="001D074D" w:rsidRDefault="00026BA3" w:rsidP="001D074D">
            <w:pPr>
              <w:pStyle w:val="p1"/>
              <w:ind w:right="-16"/>
              <w:jc w:val="center"/>
              <w:rPr>
                <w:b/>
                <w:bCs/>
                <w:color w:val="000000" w:themeColor="text1"/>
              </w:rPr>
            </w:pPr>
            <w:r w:rsidRPr="001D074D">
              <w:rPr>
                <w:b/>
                <w:bCs/>
                <w:color w:val="000000" w:themeColor="text1"/>
              </w:rPr>
              <w:t>Evidence from Vinca</w:t>
            </w:r>
          </w:p>
        </w:tc>
      </w:tr>
      <w:tr w:rsidR="001D074D" w:rsidRPr="001D074D" w:rsidTr="001D074D">
        <w:trPr>
          <w:tblCellSpacing w:w="15" w:type="dxa"/>
        </w:trPr>
        <w:tc>
          <w:tcPr>
            <w:tcW w:w="0" w:type="auto"/>
            <w:vAlign w:val="center"/>
            <w:hideMark/>
          </w:tcPr>
          <w:p w:rsidR="00026BA3" w:rsidRPr="001D074D" w:rsidRDefault="00026BA3" w:rsidP="001D074D">
            <w:pPr>
              <w:pStyle w:val="p1"/>
              <w:jc w:val="center"/>
              <w:rPr>
                <w:color w:val="000000" w:themeColor="text1"/>
              </w:rPr>
            </w:pPr>
            <w:r w:rsidRPr="001D074D">
              <w:rPr>
                <w:color w:val="000000" w:themeColor="text1"/>
              </w:rPr>
              <w:t>Intergenerational repetition</w:t>
            </w:r>
          </w:p>
        </w:tc>
        <w:tc>
          <w:tcPr>
            <w:tcW w:w="7452" w:type="dxa"/>
            <w:vAlign w:val="center"/>
            <w:hideMark/>
          </w:tcPr>
          <w:p w:rsidR="00026BA3" w:rsidRPr="001D074D" w:rsidRDefault="00026BA3" w:rsidP="001D074D">
            <w:pPr>
              <w:pStyle w:val="p1"/>
              <w:ind w:right="-16"/>
              <w:jc w:val="center"/>
              <w:rPr>
                <w:color w:val="000000" w:themeColor="text1"/>
              </w:rPr>
            </w:pPr>
            <w:r w:rsidRPr="001D074D">
              <w:rPr>
                <w:color w:val="000000" w:themeColor="text1"/>
              </w:rPr>
              <w:t>Motifs persist over ~1200 years</w:t>
            </w:r>
          </w:p>
        </w:tc>
      </w:tr>
      <w:tr w:rsidR="001D074D" w:rsidRPr="001D074D" w:rsidTr="001D074D">
        <w:trPr>
          <w:tblCellSpacing w:w="15" w:type="dxa"/>
        </w:trPr>
        <w:tc>
          <w:tcPr>
            <w:tcW w:w="0" w:type="auto"/>
            <w:vAlign w:val="center"/>
            <w:hideMark/>
          </w:tcPr>
          <w:p w:rsidR="00026BA3" w:rsidRPr="001D074D" w:rsidRDefault="00026BA3" w:rsidP="001D074D">
            <w:pPr>
              <w:pStyle w:val="p1"/>
              <w:jc w:val="center"/>
              <w:rPr>
                <w:color w:val="000000" w:themeColor="text1"/>
              </w:rPr>
            </w:pPr>
            <w:r w:rsidRPr="001D074D">
              <w:rPr>
                <w:color w:val="000000" w:themeColor="text1"/>
              </w:rPr>
              <w:t>Spatial constraint</w:t>
            </w:r>
          </w:p>
        </w:tc>
        <w:tc>
          <w:tcPr>
            <w:tcW w:w="7452" w:type="dxa"/>
            <w:vAlign w:val="center"/>
            <w:hideMark/>
          </w:tcPr>
          <w:p w:rsidR="00026BA3" w:rsidRPr="001D074D" w:rsidRDefault="00026BA3" w:rsidP="001D074D">
            <w:pPr>
              <w:pStyle w:val="p1"/>
              <w:ind w:right="-16"/>
              <w:jc w:val="center"/>
              <w:rPr>
                <w:color w:val="000000" w:themeColor="text1"/>
              </w:rPr>
            </w:pPr>
            <w:r w:rsidRPr="001D074D">
              <w:rPr>
                <w:color w:val="000000" w:themeColor="text1"/>
              </w:rPr>
              <w:t>Symbols appear in ritual, domestic, and communal contexts</w:t>
            </w:r>
          </w:p>
        </w:tc>
      </w:tr>
      <w:tr w:rsidR="001D074D" w:rsidRPr="001D074D" w:rsidTr="001D074D">
        <w:trPr>
          <w:tblCellSpacing w:w="15" w:type="dxa"/>
        </w:trPr>
        <w:tc>
          <w:tcPr>
            <w:tcW w:w="0" w:type="auto"/>
            <w:vAlign w:val="center"/>
            <w:hideMark/>
          </w:tcPr>
          <w:p w:rsidR="00026BA3" w:rsidRPr="001D074D" w:rsidRDefault="00026BA3" w:rsidP="001D074D">
            <w:pPr>
              <w:pStyle w:val="p1"/>
              <w:jc w:val="center"/>
              <w:rPr>
                <w:color w:val="000000" w:themeColor="text1"/>
              </w:rPr>
            </w:pPr>
            <w:r w:rsidRPr="001D074D">
              <w:rPr>
                <w:color w:val="000000" w:themeColor="text1"/>
              </w:rPr>
              <w:t>Cross-media redundancy</w:t>
            </w:r>
          </w:p>
        </w:tc>
        <w:tc>
          <w:tcPr>
            <w:tcW w:w="7452" w:type="dxa"/>
            <w:vAlign w:val="center"/>
            <w:hideMark/>
          </w:tcPr>
          <w:p w:rsidR="00026BA3" w:rsidRPr="001D074D" w:rsidRDefault="00026BA3" w:rsidP="001D074D">
            <w:pPr>
              <w:pStyle w:val="p1"/>
              <w:ind w:right="-16"/>
              <w:jc w:val="center"/>
              <w:rPr>
                <w:color w:val="000000" w:themeColor="text1"/>
              </w:rPr>
            </w:pPr>
            <w:r w:rsidRPr="001D074D">
              <w:rPr>
                <w:color w:val="000000" w:themeColor="text1"/>
              </w:rPr>
              <w:t>Repeated motifs on pottery, figurines, and tablets</w:t>
            </w:r>
          </w:p>
        </w:tc>
      </w:tr>
      <w:tr w:rsidR="001D074D" w:rsidRPr="001D074D" w:rsidTr="001D074D">
        <w:trPr>
          <w:tblCellSpacing w:w="15" w:type="dxa"/>
        </w:trPr>
        <w:tc>
          <w:tcPr>
            <w:tcW w:w="0" w:type="auto"/>
            <w:vAlign w:val="center"/>
            <w:hideMark/>
          </w:tcPr>
          <w:p w:rsidR="00026BA3" w:rsidRPr="001D074D" w:rsidRDefault="00026BA3" w:rsidP="001D074D">
            <w:pPr>
              <w:pStyle w:val="p1"/>
              <w:jc w:val="center"/>
              <w:rPr>
                <w:color w:val="000000" w:themeColor="text1"/>
              </w:rPr>
            </w:pPr>
            <w:r w:rsidRPr="001D074D">
              <w:rPr>
                <w:color w:val="000000" w:themeColor="text1"/>
              </w:rPr>
              <w:t>Persistence under stress</w:t>
            </w:r>
          </w:p>
        </w:tc>
        <w:tc>
          <w:tcPr>
            <w:tcW w:w="7452" w:type="dxa"/>
            <w:vAlign w:val="center"/>
            <w:hideMark/>
          </w:tcPr>
          <w:p w:rsidR="00026BA3" w:rsidRPr="001D074D" w:rsidRDefault="00026BA3" w:rsidP="001D074D">
            <w:pPr>
              <w:pStyle w:val="p1"/>
              <w:ind w:right="-16"/>
              <w:jc w:val="center"/>
              <w:rPr>
                <w:color w:val="000000" w:themeColor="text1"/>
              </w:rPr>
            </w:pPr>
            <w:r w:rsidRPr="001D074D">
              <w:rPr>
                <w:color w:val="000000" w:themeColor="text1"/>
              </w:rPr>
              <w:t>Survived environmental and demographic fluctuations until c. 4500 BCE</w:t>
            </w:r>
          </w:p>
        </w:tc>
      </w:tr>
    </w:tbl>
    <w:p w:rsidR="00026BA3" w:rsidRPr="001D074D" w:rsidRDefault="00026BA3" w:rsidP="00DC5067">
      <w:pPr>
        <w:pStyle w:val="p1"/>
        <w:rPr>
          <w:rStyle w:val="s2"/>
          <w:color w:val="000000" w:themeColor="text1"/>
        </w:rPr>
      </w:pPr>
      <w:r w:rsidRPr="001D074D">
        <w:rPr>
          <w:rStyle w:val="s1"/>
          <w:b/>
          <w:bCs/>
          <w:color w:val="000000" w:themeColor="text1"/>
        </w:rPr>
        <w:t>Conclusion:</w:t>
      </w:r>
      <w:r w:rsidRPr="001D074D">
        <w:rPr>
          <w:color w:val="000000" w:themeColor="text1"/>
        </w:rPr>
        <w:t xml:space="preserve"> Vinca meets all DSSM criteria, representing the first fully stabilized European symbolic system, comparable in sophistication to early Indus and Mesopotamian proto-writing.</w:t>
      </w:r>
    </w:p>
    <w:p w:rsidR="007C10CF" w:rsidRDefault="007C10CF" w:rsidP="001D074D">
      <w:pPr>
        <w:pStyle w:val="Heading3"/>
        <w:rPr>
          <w:color w:val="000000" w:themeColor="text1"/>
          <w:sz w:val="28"/>
          <w:szCs w:val="28"/>
        </w:rPr>
      </w:pPr>
    </w:p>
    <w:p w:rsidR="00026BA3" w:rsidRPr="001D074D" w:rsidRDefault="00026BA3" w:rsidP="001D074D">
      <w:pPr>
        <w:pStyle w:val="Heading3"/>
        <w:rPr>
          <w:color w:val="000000" w:themeColor="text1"/>
          <w:sz w:val="28"/>
          <w:szCs w:val="28"/>
        </w:rPr>
      </w:pPr>
      <w:r w:rsidRPr="001D074D">
        <w:rPr>
          <w:color w:val="000000" w:themeColor="text1"/>
          <w:sz w:val="28"/>
          <w:szCs w:val="28"/>
        </w:rPr>
        <w:t>4. Collapse and Loss of DSSM in Vinca</w:t>
      </w:r>
    </w:p>
    <w:p w:rsidR="00026BA3" w:rsidRPr="001D074D" w:rsidRDefault="00026BA3" w:rsidP="00026BA3">
      <w:pPr>
        <w:pStyle w:val="p1"/>
        <w:rPr>
          <w:color w:val="000000" w:themeColor="text1"/>
        </w:rPr>
      </w:pPr>
      <w:r w:rsidRPr="001D074D">
        <w:rPr>
          <w:color w:val="000000" w:themeColor="text1"/>
        </w:rPr>
        <w:t>Vinca’s DSSM failure reflects structural rather than cognitive limitations:</w:t>
      </w:r>
    </w:p>
    <w:p w:rsidR="00026BA3" w:rsidRPr="001D074D" w:rsidRDefault="00026BA3" w:rsidP="00026BA3">
      <w:pPr>
        <w:pStyle w:val="p1"/>
        <w:numPr>
          <w:ilvl w:val="0"/>
          <w:numId w:val="46"/>
        </w:numPr>
        <w:rPr>
          <w:color w:val="000000" w:themeColor="text1"/>
        </w:rPr>
      </w:pPr>
      <w:r w:rsidRPr="001D074D">
        <w:rPr>
          <w:rStyle w:val="s1"/>
          <w:b/>
          <w:bCs/>
          <w:color w:val="000000" w:themeColor="text1"/>
        </w:rPr>
        <w:t>Network Disruption:</w:t>
      </w:r>
      <w:r w:rsidRPr="001D074D">
        <w:rPr>
          <w:color w:val="000000" w:themeColor="text1"/>
        </w:rPr>
        <w:t xml:space="preserve"> Settlement dispersal and population movement reduced reinforcement for symbolic continuity.</w:t>
      </w:r>
    </w:p>
    <w:p w:rsidR="00026BA3" w:rsidRPr="001D074D" w:rsidRDefault="00026BA3" w:rsidP="00026BA3">
      <w:pPr>
        <w:pStyle w:val="p1"/>
        <w:numPr>
          <w:ilvl w:val="0"/>
          <w:numId w:val="46"/>
        </w:numPr>
        <w:rPr>
          <w:color w:val="000000" w:themeColor="text1"/>
        </w:rPr>
      </w:pPr>
      <w:r w:rsidRPr="001D074D">
        <w:rPr>
          <w:rStyle w:val="s1"/>
          <w:b/>
          <w:bCs/>
          <w:color w:val="000000" w:themeColor="text1"/>
        </w:rPr>
        <w:t>Environmental and Economic Stress:</w:t>
      </w:r>
      <w:r w:rsidRPr="001D074D">
        <w:rPr>
          <w:color w:val="000000" w:themeColor="text1"/>
        </w:rPr>
        <w:t xml:space="preserve"> Altered subsistence strategies undermined craft specialization and ritual coordination.</w:t>
      </w:r>
    </w:p>
    <w:p w:rsidR="00026BA3" w:rsidRPr="00DC5067" w:rsidRDefault="00026BA3" w:rsidP="00026BA3">
      <w:pPr>
        <w:pStyle w:val="p1"/>
        <w:numPr>
          <w:ilvl w:val="0"/>
          <w:numId w:val="46"/>
        </w:numPr>
        <w:rPr>
          <w:rStyle w:val="s2"/>
          <w:color w:val="000000" w:themeColor="text1"/>
        </w:rPr>
      </w:pPr>
      <w:r w:rsidRPr="001D074D">
        <w:rPr>
          <w:rStyle w:val="s1"/>
          <w:b/>
          <w:bCs/>
          <w:color w:val="000000" w:themeColor="text1"/>
        </w:rPr>
        <w:t>Cultural Hybridity:</w:t>
      </w:r>
      <w:r w:rsidRPr="001D074D">
        <w:rPr>
          <w:color w:val="000000" w:themeColor="text1"/>
        </w:rPr>
        <w:t xml:space="preserve"> Interaction with steppe and Balkan Eneolithic populations diluted symbolic practices, preventing continuity into Bronze Age Europe.</w:t>
      </w:r>
    </w:p>
    <w:p w:rsidR="007C10CF" w:rsidRDefault="007C10CF" w:rsidP="00026BA3">
      <w:pPr>
        <w:pStyle w:val="Heading3"/>
        <w:rPr>
          <w:color w:val="000000" w:themeColor="text1"/>
          <w:sz w:val="28"/>
          <w:szCs w:val="28"/>
        </w:rPr>
      </w:pPr>
    </w:p>
    <w:p w:rsidR="00026BA3" w:rsidRPr="00DC5067" w:rsidRDefault="00026BA3" w:rsidP="00026BA3">
      <w:pPr>
        <w:pStyle w:val="Heading3"/>
        <w:rPr>
          <w:color w:val="000000" w:themeColor="text1"/>
          <w:sz w:val="28"/>
          <w:szCs w:val="28"/>
        </w:rPr>
      </w:pPr>
      <w:r w:rsidRPr="00DC5067">
        <w:rPr>
          <w:color w:val="000000" w:themeColor="text1"/>
          <w:sz w:val="28"/>
          <w:szCs w:val="28"/>
        </w:rPr>
        <w:t>5. Vinca Symbols and Visual Parallels to Indus Script</w:t>
      </w:r>
    </w:p>
    <w:p w:rsidR="00026BA3" w:rsidRPr="001D074D" w:rsidRDefault="00026BA3" w:rsidP="00026BA3">
      <w:pPr>
        <w:pStyle w:val="p1"/>
        <w:numPr>
          <w:ilvl w:val="0"/>
          <w:numId w:val="47"/>
        </w:numPr>
        <w:rPr>
          <w:color w:val="000000" w:themeColor="text1"/>
        </w:rPr>
      </w:pPr>
      <w:r w:rsidRPr="001D074D">
        <w:rPr>
          <w:rStyle w:val="s1"/>
          <w:b/>
          <w:bCs/>
          <w:color w:val="000000" w:themeColor="text1"/>
        </w:rPr>
        <w:t>Motif Similarities:</w:t>
      </w:r>
      <w:r w:rsidRPr="001D074D">
        <w:rPr>
          <w:color w:val="000000" w:themeColor="text1"/>
        </w:rPr>
        <w:t xml:space="preserve"> Geometric forms, swastika-like symbols, and abstract hooks appear in both Vinca and Indus artifacts.</w:t>
      </w:r>
    </w:p>
    <w:p w:rsidR="00026BA3" w:rsidRPr="001D074D" w:rsidRDefault="00026BA3" w:rsidP="00026BA3">
      <w:pPr>
        <w:pStyle w:val="p1"/>
        <w:numPr>
          <w:ilvl w:val="0"/>
          <w:numId w:val="47"/>
        </w:numPr>
        <w:rPr>
          <w:color w:val="000000" w:themeColor="text1"/>
        </w:rPr>
      </w:pPr>
      <w:r w:rsidRPr="001D074D">
        <w:rPr>
          <w:rStyle w:val="s1"/>
          <w:b/>
          <w:bCs/>
          <w:color w:val="000000" w:themeColor="text1"/>
        </w:rPr>
        <w:t>Structural Convergence:</w:t>
      </w:r>
      <w:r w:rsidRPr="001D074D">
        <w:rPr>
          <w:color w:val="000000" w:themeColor="text1"/>
        </w:rPr>
        <w:t xml:space="preserve"> Both systems exhibit portability, repetition, and cross-media redundancy, consistent with DSSM predictions.</w:t>
      </w:r>
    </w:p>
    <w:p w:rsidR="00026BA3" w:rsidRPr="00DC5067" w:rsidRDefault="00026BA3" w:rsidP="00026BA3">
      <w:pPr>
        <w:pStyle w:val="p1"/>
        <w:numPr>
          <w:ilvl w:val="0"/>
          <w:numId w:val="47"/>
        </w:numPr>
        <w:rPr>
          <w:rStyle w:val="s2"/>
          <w:color w:val="000000" w:themeColor="text1"/>
        </w:rPr>
      </w:pPr>
      <w:r w:rsidRPr="001D074D">
        <w:rPr>
          <w:rStyle w:val="s1"/>
          <w:b/>
          <w:bCs/>
          <w:color w:val="000000" w:themeColor="text1"/>
        </w:rPr>
        <w:t>Interpretive Implications:</w:t>
      </w:r>
      <w:r w:rsidRPr="001D074D">
        <w:rPr>
          <w:color w:val="000000" w:themeColor="text1"/>
        </w:rPr>
        <w:t xml:space="preserve"> These parallels suggest convergent cognitive strategies for stabilizing symbolic practice, without implying direct cultural transmission.</w:t>
      </w: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7C10CF" w:rsidRDefault="007C10CF" w:rsidP="00DC5067">
      <w:pPr>
        <w:pStyle w:val="Heading3"/>
        <w:rPr>
          <w:color w:val="000000" w:themeColor="text1"/>
          <w:sz w:val="28"/>
          <w:szCs w:val="28"/>
        </w:rPr>
      </w:pPr>
    </w:p>
    <w:p w:rsidR="00026BA3" w:rsidRPr="00DC5067" w:rsidRDefault="00026BA3" w:rsidP="00DC5067">
      <w:pPr>
        <w:pStyle w:val="Heading3"/>
        <w:rPr>
          <w:color w:val="000000" w:themeColor="text1"/>
          <w:sz w:val="28"/>
          <w:szCs w:val="28"/>
        </w:rPr>
      </w:pPr>
      <w:r w:rsidRPr="00DC5067">
        <w:rPr>
          <w:color w:val="000000" w:themeColor="text1"/>
          <w:sz w:val="28"/>
          <w:szCs w:val="28"/>
        </w:rPr>
        <w:t>6. Deep Symbolic Stabilization Across Early Civilizations</w:t>
      </w:r>
    </w:p>
    <w:p w:rsidR="00026BA3" w:rsidRPr="00DC5067" w:rsidRDefault="00026BA3" w:rsidP="00026BA3">
      <w:pPr>
        <w:pStyle w:val="Heading4"/>
        <w:rPr>
          <w:rFonts w:ascii="Times New Roman" w:hAnsi="Times New Roman" w:cs="Times New Roman"/>
          <w:b/>
          <w:bCs/>
          <w:color w:val="000000" w:themeColor="text1"/>
        </w:rPr>
      </w:pPr>
      <w:r w:rsidRPr="00DC5067">
        <w:rPr>
          <w:rFonts w:ascii="Times New Roman" w:hAnsi="Times New Roman" w:cs="Times New Roman"/>
          <w:b/>
          <w:bCs/>
          <w:color w:val="000000" w:themeColor="text1"/>
        </w:rPr>
        <w:t>6.1 DSSM Framework</w:t>
      </w:r>
    </w:p>
    <w:p w:rsidR="00026BA3" w:rsidRPr="001D074D" w:rsidRDefault="00026BA3" w:rsidP="00026BA3">
      <w:pPr>
        <w:pStyle w:val="p1"/>
        <w:rPr>
          <w:color w:val="000000" w:themeColor="text1"/>
        </w:rPr>
      </w:pPr>
      <w:r w:rsidRPr="001D074D">
        <w:rPr>
          <w:color w:val="000000" w:themeColor="text1"/>
        </w:rPr>
        <w:t>Symbolic stabilization occurs when systems persist independently of individual agents, measured by:</w:t>
      </w:r>
    </w:p>
    <w:p w:rsidR="00026BA3" w:rsidRPr="001D074D" w:rsidRDefault="00026BA3" w:rsidP="00026BA3">
      <w:pPr>
        <w:pStyle w:val="p1"/>
        <w:numPr>
          <w:ilvl w:val="0"/>
          <w:numId w:val="48"/>
        </w:numPr>
        <w:rPr>
          <w:color w:val="000000" w:themeColor="text1"/>
        </w:rPr>
      </w:pPr>
      <w:r w:rsidRPr="001D074D">
        <w:rPr>
          <w:color w:val="000000" w:themeColor="text1"/>
        </w:rPr>
        <w:t>Intergenerational repetition</w:t>
      </w:r>
    </w:p>
    <w:p w:rsidR="00026BA3" w:rsidRPr="001D074D" w:rsidRDefault="00026BA3" w:rsidP="00026BA3">
      <w:pPr>
        <w:pStyle w:val="p1"/>
        <w:numPr>
          <w:ilvl w:val="0"/>
          <w:numId w:val="48"/>
        </w:numPr>
        <w:rPr>
          <w:color w:val="000000" w:themeColor="text1"/>
        </w:rPr>
      </w:pPr>
      <w:r w:rsidRPr="001D074D">
        <w:rPr>
          <w:color w:val="000000" w:themeColor="text1"/>
        </w:rPr>
        <w:t>Spatial constraint</w:t>
      </w:r>
    </w:p>
    <w:p w:rsidR="00026BA3" w:rsidRPr="001D074D" w:rsidRDefault="00026BA3" w:rsidP="00026BA3">
      <w:pPr>
        <w:pStyle w:val="p1"/>
        <w:numPr>
          <w:ilvl w:val="0"/>
          <w:numId w:val="48"/>
        </w:numPr>
        <w:rPr>
          <w:color w:val="000000" w:themeColor="text1"/>
        </w:rPr>
      </w:pPr>
      <w:r w:rsidRPr="001D074D">
        <w:rPr>
          <w:color w:val="000000" w:themeColor="text1"/>
        </w:rPr>
        <w:t>Cross-media redundancy</w:t>
      </w:r>
    </w:p>
    <w:p w:rsidR="00026BA3" w:rsidRPr="00DC5067" w:rsidRDefault="00026BA3" w:rsidP="00026BA3">
      <w:pPr>
        <w:pStyle w:val="p1"/>
        <w:numPr>
          <w:ilvl w:val="0"/>
          <w:numId w:val="48"/>
        </w:numPr>
        <w:rPr>
          <w:color w:val="000000" w:themeColor="text1"/>
        </w:rPr>
      </w:pPr>
      <w:r w:rsidRPr="001D074D">
        <w:rPr>
          <w:color w:val="000000" w:themeColor="text1"/>
        </w:rPr>
        <w:t>Persistence under stress</w:t>
      </w:r>
    </w:p>
    <w:p w:rsidR="00026BA3" w:rsidRPr="00DC5067" w:rsidRDefault="00026BA3" w:rsidP="00026BA3">
      <w:pPr>
        <w:pStyle w:val="Heading4"/>
        <w:rPr>
          <w:rFonts w:ascii="Times New Roman" w:hAnsi="Times New Roman" w:cs="Times New Roman"/>
          <w:b/>
          <w:bCs/>
          <w:color w:val="000000" w:themeColor="text1"/>
        </w:rPr>
      </w:pPr>
      <w:r w:rsidRPr="00DC5067">
        <w:rPr>
          <w:rFonts w:ascii="Times New Roman" w:hAnsi="Times New Roman" w:cs="Times New Roman"/>
          <w:b/>
          <w:bCs/>
          <w:color w:val="000000" w:themeColor="text1"/>
        </w:rPr>
        <w:t>6.2 Macro-Regional Case Studies</w:t>
      </w:r>
    </w:p>
    <w:p w:rsidR="00DC5067" w:rsidRPr="00DC5067" w:rsidRDefault="00DC5067" w:rsidP="00DC5067"/>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1901"/>
        <w:gridCol w:w="1667"/>
        <w:gridCol w:w="1162"/>
      </w:tblGrid>
      <w:tr w:rsidR="001D074D" w:rsidRPr="001D074D" w:rsidTr="00DC5067">
        <w:trPr>
          <w:tblHeader/>
          <w:tblCellSpacing w:w="15" w:type="dxa"/>
          <w:jc w:val="center"/>
        </w:trPr>
        <w:tc>
          <w:tcPr>
            <w:tcW w:w="0" w:type="auto"/>
            <w:shd w:val="clear" w:color="auto" w:fill="D9D9D9" w:themeFill="background1" w:themeFillShade="D9"/>
            <w:vAlign w:val="center"/>
            <w:hideMark/>
          </w:tcPr>
          <w:p w:rsidR="00026BA3" w:rsidRPr="001D074D" w:rsidRDefault="00026BA3" w:rsidP="00DC5067">
            <w:pPr>
              <w:pStyle w:val="p1"/>
              <w:jc w:val="center"/>
              <w:rPr>
                <w:b/>
                <w:bCs/>
                <w:color w:val="000000" w:themeColor="text1"/>
              </w:rPr>
            </w:pPr>
            <w:r w:rsidRPr="001D074D">
              <w:rPr>
                <w:b/>
                <w:bCs/>
                <w:color w:val="000000" w:themeColor="text1"/>
              </w:rPr>
              <w:t>Region</w:t>
            </w:r>
          </w:p>
        </w:tc>
        <w:tc>
          <w:tcPr>
            <w:tcW w:w="0" w:type="auto"/>
            <w:shd w:val="clear" w:color="auto" w:fill="D9D9D9" w:themeFill="background1" w:themeFillShade="D9"/>
            <w:vAlign w:val="center"/>
            <w:hideMark/>
          </w:tcPr>
          <w:p w:rsidR="00026BA3" w:rsidRPr="001D074D" w:rsidRDefault="00026BA3" w:rsidP="00DC5067">
            <w:pPr>
              <w:pStyle w:val="p1"/>
              <w:jc w:val="center"/>
              <w:rPr>
                <w:b/>
                <w:bCs/>
                <w:color w:val="000000" w:themeColor="text1"/>
              </w:rPr>
            </w:pPr>
            <w:r w:rsidRPr="001D074D">
              <w:rPr>
                <w:b/>
                <w:bCs/>
                <w:color w:val="000000" w:themeColor="text1"/>
              </w:rPr>
              <w:t>DSSM Saturation</w:t>
            </w:r>
          </w:p>
        </w:tc>
        <w:tc>
          <w:tcPr>
            <w:tcW w:w="0" w:type="auto"/>
            <w:shd w:val="clear" w:color="auto" w:fill="D9D9D9" w:themeFill="background1" w:themeFillShade="D9"/>
            <w:vAlign w:val="center"/>
            <w:hideMark/>
          </w:tcPr>
          <w:p w:rsidR="00026BA3" w:rsidRPr="001D074D" w:rsidRDefault="00026BA3" w:rsidP="00DC5067">
            <w:pPr>
              <w:pStyle w:val="p1"/>
              <w:jc w:val="center"/>
              <w:rPr>
                <w:b/>
                <w:bCs/>
                <w:color w:val="000000" w:themeColor="text1"/>
              </w:rPr>
            </w:pPr>
            <w:r w:rsidRPr="001D074D">
              <w:rPr>
                <w:b/>
                <w:bCs/>
                <w:color w:val="000000" w:themeColor="text1"/>
              </w:rPr>
              <w:t>Monumentality</w:t>
            </w:r>
          </w:p>
        </w:tc>
        <w:tc>
          <w:tcPr>
            <w:tcW w:w="0" w:type="auto"/>
            <w:shd w:val="clear" w:color="auto" w:fill="D9D9D9" w:themeFill="background1" w:themeFillShade="D9"/>
            <w:vAlign w:val="center"/>
            <w:hideMark/>
          </w:tcPr>
          <w:p w:rsidR="00026BA3" w:rsidRPr="001D074D" w:rsidRDefault="00026BA3" w:rsidP="00DC5067">
            <w:pPr>
              <w:pStyle w:val="p1"/>
              <w:jc w:val="center"/>
              <w:rPr>
                <w:b/>
                <w:bCs/>
                <w:color w:val="000000" w:themeColor="text1"/>
              </w:rPr>
            </w:pPr>
            <w:r w:rsidRPr="001D074D">
              <w:rPr>
                <w:b/>
                <w:bCs/>
                <w:color w:val="000000" w:themeColor="text1"/>
              </w:rPr>
              <w:t>Writing</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Egypt</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12,500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3,200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3,200 BCE</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Mesopotamia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8,000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3,100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3,100 BCE</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Indus</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5,500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2,600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2,600 BCE</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East Asia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6,000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2,000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1,500 BCE</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Mesoamerica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4,000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1,400 BCE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900 BCE</w:t>
            </w:r>
          </w:p>
        </w:tc>
      </w:tr>
    </w:tbl>
    <w:p w:rsidR="00026BA3" w:rsidRPr="001D074D" w:rsidRDefault="00026BA3" w:rsidP="00DC5067">
      <w:pPr>
        <w:pStyle w:val="p1"/>
        <w:rPr>
          <w:color w:val="000000" w:themeColor="text1"/>
        </w:rPr>
      </w:pPr>
      <w:r w:rsidRPr="001D074D">
        <w:rPr>
          <w:rStyle w:val="s1"/>
          <w:b/>
          <w:bCs/>
          <w:color w:val="000000" w:themeColor="text1"/>
        </w:rPr>
        <w:t>Interpretation:</w:t>
      </w:r>
      <w:r w:rsidRPr="001D074D">
        <w:rPr>
          <w:color w:val="000000" w:themeColor="text1"/>
        </w:rPr>
        <w:t xml:space="preserve"> DSSM-saturated symbolic systems predate monumental architecture and writing, confirming stabilization as a precursor to urbanization.</w:t>
      </w:r>
    </w:p>
    <w:p w:rsidR="00026BA3" w:rsidRPr="00DC5067" w:rsidRDefault="00026BA3" w:rsidP="00026BA3">
      <w:pPr>
        <w:pStyle w:val="Heading4"/>
        <w:rPr>
          <w:rFonts w:ascii="Times New Roman" w:hAnsi="Times New Roman" w:cs="Times New Roman"/>
          <w:b/>
          <w:bCs/>
          <w:color w:val="000000" w:themeColor="text1"/>
        </w:rPr>
      </w:pPr>
      <w:r w:rsidRPr="00DC5067">
        <w:rPr>
          <w:rFonts w:ascii="Times New Roman" w:hAnsi="Times New Roman" w:cs="Times New Roman"/>
          <w:b/>
          <w:bCs/>
          <w:color w:val="000000" w:themeColor="text1"/>
        </w:rPr>
        <w:t>6.3 Comparative Stabilization Pathways</w:t>
      </w:r>
    </w:p>
    <w:p w:rsidR="00DC5067" w:rsidRPr="00DC5067" w:rsidRDefault="00DC5067" w:rsidP="00DC5067"/>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1905"/>
        <w:gridCol w:w="3130"/>
        <w:gridCol w:w="2849"/>
      </w:tblGrid>
      <w:tr w:rsidR="001D074D" w:rsidRPr="001D074D" w:rsidTr="00DC5067">
        <w:trPr>
          <w:tblHeader/>
          <w:tblCellSpacing w:w="15" w:type="dxa"/>
          <w:jc w:val="center"/>
        </w:trPr>
        <w:tc>
          <w:tcPr>
            <w:tcW w:w="0" w:type="auto"/>
            <w:vAlign w:val="center"/>
            <w:hideMark/>
          </w:tcPr>
          <w:p w:rsidR="00026BA3" w:rsidRPr="001D074D" w:rsidRDefault="00026BA3" w:rsidP="00DC5067">
            <w:pPr>
              <w:pStyle w:val="p1"/>
              <w:jc w:val="center"/>
              <w:rPr>
                <w:b/>
                <w:bCs/>
                <w:color w:val="000000" w:themeColor="text1"/>
              </w:rPr>
            </w:pPr>
            <w:r w:rsidRPr="001D074D">
              <w:rPr>
                <w:b/>
                <w:bCs/>
                <w:color w:val="000000" w:themeColor="text1"/>
              </w:rPr>
              <w:t>Pathway</w:t>
            </w:r>
          </w:p>
        </w:tc>
        <w:tc>
          <w:tcPr>
            <w:tcW w:w="0" w:type="auto"/>
            <w:vAlign w:val="center"/>
            <w:hideMark/>
          </w:tcPr>
          <w:p w:rsidR="00026BA3" w:rsidRPr="001D074D" w:rsidRDefault="00026BA3" w:rsidP="00DC5067">
            <w:pPr>
              <w:pStyle w:val="p1"/>
              <w:jc w:val="center"/>
              <w:rPr>
                <w:b/>
                <w:bCs/>
                <w:color w:val="000000" w:themeColor="text1"/>
              </w:rPr>
            </w:pPr>
            <w:r w:rsidRPr="001D074D">
              <w:rPr>
                <w:b/>
                <w:bCs/>
                <w:color w:val="000000" w:themeColor="text1"/>
              </w:rPr>
              <w:t>Regions</w:t>
            </w:r>
          </w:p>
        </w:tc>
        <w:tc>
          <w:tcPr>
            <w:tcW w:w="0" w:type="auto"/>
            <w:vAlign w:val="center"/>
            <w:hideMark/>
          </w:tcPr>
          <w:p w:rsidR="00026BA3" w:rsidRPr="001D074D" w:rsidRDefault="00026BA3" w:rsidP="00DC5067">
            <w:pPr>
              <w:pStyle w:val="p1"/>
              <w:jc w:val="center"/>
              <w:rPr>
                <w:b/>
                <w:bCs/>
                <w:color w:val="000000" w:themeColor="text1"/>
              </w:rPr>
            </w:pPr>
            <w:r w:rsidRPr="001D074D">
              <w:rPr>
                <w:b/>
                <w:bCs/>
                <w:color w:val="000000" w:themeColor="text1"/>
              </w:rPr>
              <w:t>Mechanism</w:t>
            </w:r>
          </w:p>
        </w:tc>
        <w:tc>
          <w:tcPr>
            <w:tcW w:w="0" w:type="auto"/>
            <w:vAlign w:val="center"/>
            <w:hideMark/>
          </w:tcPr>
          <w:p w:rsidR="00026BA3" w:rsidRPr="001D074D" w:rsidRDefault="00026BA3" w:rsidP="00DC5067">
            <w:pPr>
              <w:pStyle w:val="p1"/>
              <w:jc w:val="center"/>
              <w:rPr>
                <w:b/>
                <w:bCs/>
                <w:color w:val="000000" w:themeColor="text1"/>
              </w:rPr>
            </w:pPr>
            <w:r w:rsidRPr="001D074D">
              <w:rPr>
                <w:b/>
                <w:bCs/>
                <w:color w:val="000000" w:themeColor="text1"/>
              </w:rPr>
              <w:t>DSSM Insight</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Landscape-anchor</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Egypt, Mesopotamia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Fixed cliffs, river terraces</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Early material redundancy</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Portable-craft</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East Asia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Jade, flutes, pottery</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Saturation without monuments</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Ritual-network</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Mesoamerica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Seasonal aggregation, exchange</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Distributed symbolic control</w:t>
            </w:r>
          </w:p>
        </w:tc>
      </w:tr>
      <w:tr w:rsidR="001D074D" w:rsidRPr="001D074D" w:rsidTr="00DC5067">
        <w:trPr>
          <w:tblCellSpacing w:w="15" w:type="dxa"/>
          <w:jc w:val="center"/>
        </w:trPr>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Infrastructural embedding</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Indus Valley, Vinca</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Urban planning, craft standardization</w:t>
            </w:r>
          </w:p>
        </w:tc>
        <w:tc>
          <w:tcPr>
            <w:tcW w:w="0" w:type="auto"/>
            <w:vAlign w:val="center"/>
            <w:hideMark/>
          </w:tcPr>
          <w:p w:rsidR="00026BA3" w:rsidRPr="001D074D" w:rsidRDefault="00026BA3" w:rsidP="00DC5067">
            <w:pPr>
              <w:pStyle w:val="p1"/>
              <w:jc w:val="center"/>
              <w:rPr>
                <w:color w:val="000000" w:themeColor="text1"/>
              </w:rPr>
            </w:pPr>
            <w:r w:rsidRPr="001D074D">
              <w:rPr>
                <w:color w:val="000000" w:themeColor="text1"/>
              </w:rPr>
              <w:t>Symbolism embedded in daily life</w:t>
            </w:r>
          </w:p>
        </w:tc>
      </w:tr>
    </w:tbl>
    <w:p w:rsidR="00026BA3" w:rsidRPr="001D074D" w:rsidRDefault="00026BA3" w:rsidP="00026BA3">
      <w:pPr>
        <w:pStyle w:val="p1"/>
        <w:rPr>
          <w:color w:val="000000" w:themeColor="text1"/>
        </w:rPr>
      </w:pPr>
      <w:r w:rsidRPr="001D074D">
        <w:rPr>
          <w:color w:val="000000" w:themeColor="text1"/>
        </w:rPr>
        <w:t xml:space="preserve">Vinca exemplifies </w:t>
      </w:r>
      <w:r w:rsidRPr="001D074D">
        <w:rPr>
          <w:rStyle w:val="s1"/>
          <w:b/>
          <w:bCs/>
          <w:color w:val="000000" w:themeColor="text1"/>
        </w:rPr>
        <w:t>portable-craft</w:t>
      </w:r>
      <w:r w:rsidRPr="001D074D">
        <w:rPr>
          <w:color w:val="000000" w:themeColor="text1"/>
        </w:rPr>
        <w:t xml:space="preserve"> and </w:t>
      </w:r>
      <w:r w:rsidRPr="001D074D">
        <w:rPr>
          <w:rStyle w:val="s1"/>
          <w:b/>
          <w:bCs/>
          <w:color w:val="000000" w:themeColor="text1"/>
        </w:rPr>
        <w:t>infrastructural embedding</w:t>
      </w:r>
      <w:r w:rsidRPr="001D074D">
        <w:rPr>
          <w:color w:val="000000" w:themeColor="text1"/>
        </w:rPr>
        <w:t>, making it a European forerunner of DSSM outside the Near East.</w:t>
      </w:r>
    </w:p>
    <w:p w:rsidR="00026BA3" w:rsidRPr="001D074D" w:rsidRDefault="00026BA3" w:rsidP="00026BA3">
      <w:pPr>
        <w:rPr>
          <w:rStyle w:val="s2"/>
          <w:rFonts w:ascii="Times New Roman" w:hAnsi="Times New Roman" w:cs="Times New Roman"/>
          <w:color w:val="000000" w:themeColor="text1"/>
        </w:rPr>
      </w:pPr>
    </w:p>
    <w:p w:rsidR="007C10CF" w:rsidRDefault="007C10CF" w:rsidP="00026BA3">
      <w:pPr>
        <w:pStyle w:val="Heading3"/>
        <w:rPr>
          <w:color w:val="000000" w:themeColor="text1"/>
          <w:sz w:val="28"/>
          <w:szCs w:val="28"/>
        </w:rPr>
      </w:pPr>
    </w:p>
    <w:p w:rsidR="007C10CF" w:rsidRDefault="007C10CF" w:rsidP="00026BA3">
      <w:pPr>
        <w:pStyle w:val="Heading3"/>
        <w:rPr>
          <w:color w:val="000000" w:themeColor="text1"/>
          <w:sz w:val="28"/>
          <w:szCs w:val="28"/>
        </w:rPr>
      </w:pPr>
    </w:p>
    <w:p w:rsidR="007C10CF" w:rsidRDefault="007C10CF" w:rsidP="00026BA3">
      <w:pPr>
        <w:pStyle w:val="Heading3"/>
        <w:rPr>
          <w:color w:val="000000" w:themeColor="text1"/>
          <w:sz w:val="28"/>
          <w:szCs w:val="28"/>
        </w:rPr>
      </w:pPr>
    </w:p>
    <w:p w:rsidR="00026BA3" w:rsidRPr="00DC5067" w:rsidRDefault="00026BA3" w:rsidP="00026BA3">
      <w:pPr>
        <w:pStyle w:val="Heading3"/>
        <w:rPr>
          <w:color w:val="000000" w:themeColor="text1"/>
          <w:sz w:val="28"/>
          <w:szCs w:val="28"/>
        </w:rPr>
      </w:pPr>
      <w:r w:rsidRPr="00DC5067">
        <w:rPr>
          <w:color w:val="000000" w:themeColor="text1"/>
          <w:sz w:val="28"/>
          <w:szCs w:val="28"/>
        </w:rPr>
        <w:lastRenderedPageBreak/>
        <w:t>7. Conclusion</w:t>
      </w:r>
    </w:p>
    <w:p w:rsidR="00026BA3" w:rsidRPr="001D074D" w:rsidRDefault="00026BA3" w:rsidP="00026BA3">
      <w:pPr>
        <w:pStyle w:val="p1"/>
        <w:numPr>
          <w:ilvl w:val="0"/>
          <w:numId w:val="49"/>
        </w:numPr>
        <w:rPr>
          <w:color w:val="000000" w:themeColor="text1"/>
        </w:rPr>
      </w:pPr>
      <w:r w:rsidRPr="001D074D">
        <w:rPr>
          <w:color w:val="000000" w:themeColor="text1"/>
        </w:rPr>
        <w:t>Vinca is Europe’s first DSSM-saturated culture, demonstrating fully stabilized symbolic practice across multiple media.</w:t>
      </w:r>
    </w:p>
    <w:p w:rsidR="00026BA3" w:rsidRPr="001D074D" w:rsidRDefault="00026BA3" w:rsidP="00026BA3">
      <w:pPr>
        <w:pStyle w:val="p1"/>
        <w:numPr>
          <w:ilvl w:val="0"/>
          <w:numId w:val="49"/>
        </w:numPr>
        <w:rPr>
          <w:color w:val="000000" w:themeColor="text1"/>
        </w:rPr>
      </w:pPr>
      <w:r w:rsidRPr="001D074D">
        <w:rPr>
          <w:color w:val="000000" w:themeColor="text1"/>
        </w:rPr>
        <w:t>Discontinuity resulted from structural collapse, migration, and cultural transformation, not cognitive deficit.</w:t>
      </w:r>
    </w:p>
    <w:p w:rsidR="00026BA3" w:rsidRPr="001D074D" w:rsidRDefault="00026BA3" w:rsidP="00026BA3">
      <w:pPr>
        <w:pStyle w:val="p1"/>
        <w:numPr>
          <w:ilvl w:val="0"/>
          <w:numId w:val="49"/>
        </w:numPr>
        <w:rPr>
          <w:color w:val="000000" w:themeColor="text1"/>
        </w:rPr>
      </w:pPr>
      <w:r w:rsidRPr="001D074D">
        <w:rPr>
          <w:color w:val="000000" w:themeColor="text1"/>
        </w:rPr>
        <w:t>Visual and functional parallels with Indus script indicate convergent cognitive strategies for symbolic stabilization.</w:t>
      </w:r>
    </w:p>
    <w:p w:rsidR="00026BA3" w:rsidRPr="001D074D" w:rsidRDefault="00026BA3" w:rsidP="00026BA3">
      <w:pPr>
        <w:pStyle w:val="p1"/>
        <w:numPr>
          <w:ilvl w:val="0"/>
          <w:numId w:val="49"/>
        </w:numPr>
        <w:rPr>
          <w:color w:val="000000" w:themeColor="text1"/>
        </w:rPr>
      </w:pPr>
      <w:r w:rsidRPr="001D074D">
        <w:rPr>
          <w:color w:val="000000" w:themeColor="text1"/>
        </w:rPr>
        <w:t>Global DSSM synthesis situates Vinca within a worldwide framework, confirming that symbolic stabilization precedes writing and monumentality.</w:t>
      </w:r>
    </w:p>
    <w:p w:rsidR="00026BA3" w:rsidRPr="001D074D" w:rsidRDefault="00026BA3" w:rsidP="00026BA3">
      <w:pPr>
        <w:rPr>
          <w:rStyle w:val="s2"/>
          <w:rFonts w:ascii="Times New Roman" w:hAnsi="Times New Roman" w:cs="Times New Roman"/>
          <w:color w:val="000000" w:themeColor="text1"/>
        </w:rPr>
      </w:pPr>
    </w:p>
    <w:p w:rsidR="00026BA3" w:rsidRPr="00DC5067" w:rsidRDefault="00026BA3" w:rsidP="00026BA3">
      <w:pPr>
        <w:pStyle w:val="p3"/>
        <w:rPr>
          <w:color w:val="000000" w:themeColor="text1"/>
          <w:sz w:val="28"/>
          <w:szCs w:val="28"/>
        </w:rPr>
      </w:pPr>
      <w:r w:rsidRPr="00DC5067">
        <w:rPr>
          <w:b/>
          <w:bCs/>
          <w:color w:val="000000" w:themeColor="text1"/>
          <w:sz w:val="28"/>
          <w:szCs w:val="28"/>
        </w:rPr>
        <w:t xml:space="preserve">References </w:t>
      </w:r>
    </w:p>
    <w:p w:rsidR="00026BA3" w:rsidRPr="001D074D" w:rsidRDefault="00026BA3" w:rsidP="00026BA3">
      <w:pPr>
        <w:pStyle w:val="p1"/>
        <w:numPr>
          <w:ilvl w:val="0"/>
          <w:numId w:val="50"/>
        </w:numPr>
        <w:rPr>
          <w:color w:val="000000" w:themeColor="text1"/>
        </w:rPr>
      </w:pPr>
      <w:r w:rsidRPr="001D074D">
        <w:rPr>
          <w:color w:val="000000" w:themeColor="text1"/>
        </w:rPr>
        <w:t xml:space="preserve">Vondoom, A. (2025). </w:t>
      </w:r>
      <w:r w:rsidRPr="001D074D">
        <w:rPr>
          <w:i/>
          <w:iCs/>
          <w:color w:val="000000" w:themeColor="text1"/>
        </w:rPr>
        <w:t>The Deep Symbolic Systems Model (DSSM) – A Cognitive–Ritual Framework.</w:t>
      </w:r>
      <w:r w:rsidRPr="001D074D">
        <w:rPr>
          <w:color w:val="000000" w:themeColor="text1"/>
        </w:rPr>
        <w:t xml:space="preserve"> OSF.</w:t>
      </w:r>
    </w:p>
    <w:p w:rsidR="00026BA3" w:rsidRPr="001D074D" w:rsidRDefault="00026BA3" w:rsidP="00026BA3">
      <w:pPr>
        <w:pStyle w:val="p1"/>
        <w:numPr>
          <w:ilvl w:val="0"/>
          <w:numId w:val="50"/>
        </w:numPr>
        <w:rPr>
          <w:color w:val="000000" w:themeColor="text1"/>
        </w:rPr>
      </w:pPr>
      <w:r w:rsidRPr="001D074D">
        <w:rPr>
          <w:color w:val="000000" w:themeColor="text1"/>
        </w:rPr>
        <w:t xml:space="preserve">Vondoom, A. (2026). </w:t>
      </w:r>
      <w:r w:rsidRPr="001D074D">
        <w:rPr>
          <w:i/>
          <w:iCs/>
          <w:color w:val="000000" w:themeColor="text1"/>
        </w:rPr>
        <w:t>Cognitive Preconditions for DSSM.</w:t>
      </w:r>
      <w:r w:rsidRPr="001D074D">
        <w:rPr>
          <w:color w:val="000000" w:themeColor="text1"/>
        </w:rPr>
        <w:t xml:space="preserve"> OSF.</w:t>
      </w:r>
    </w:p>
    <w:p w:rsidR="00026BA3" w:rsidRPr="001D074D" w:rsidRDefault="00026BA3" w:rsidP="00026BA3">
      <w:pPr>
        <w:pStyle w:val="p1"/>
        <w:numPr>
          <w:ilvl w:val="0"/>
          <w:numId w:val="50"/>
        </w:numPr>
        <w:rPr>
          <w:color w:val="000000" w:themeColor="text1"/>
        </w:rPr>
      </w:pPr>
      <w:r w:rsidRPr="001D074D">
        <w:rPr>
          <w:color w:val="000000" w:themeColor="text1"/>
        </w:rPr>
        <w:t xml:space="preserve">Vondoom, A. (2026). </w:t>
      </w:r>
      <w:r w:rsidRPr="001D074D">
        <w:rPr>
          <w:i/>
          <w:iCs/>
          <w:color w:val="000000" w:themeColor="text1"/>
        </w:rPr>
        <w:t>DSSM: Canonical Framework for Symbolic Stabilization Across Macro-Regions.</w:t>
      </w:r>
      <w:r w:rsidRPr="001D074D">
        <w:rPr>
          <w:color w:val="000000" w:themeColor="text1"/>
        </w:rPr>
        <w:t xml:space="preserve"> Figshare.</w:t>
      </w:r>
    </w:p>
    <w:p w:rsidR="00026BA3" w:rsidRPr="001D074D" w:rsidRDefault="00026BA3" w:rsidP="00026BA3">
      <w:pPr>
        <w:pStyle w:val="p1"/>
        <w:numPr>
          <w:ilvl w:val="0"/>
          <w:numId w:val="50"/>
        </w:numPr>
        <w:rPr>
          <w:color w:val="000000" w:themeColor="text1"/>
        </w:rPr>
      </w:pPr>
      <w:r w:rsidRPr="001D074D">
        <w:rPr>
          <w:color w:val="000000" w:themeColor="text1"/>
        </w:rPr>
        <w:t xml:space="preserve">Kenoyer, J. M. (1998). </w:t>
      </w:r>
      <w:r w:rsidRPr="001D074D">
        <w:rPr>
          <w:i/>
          <w:iCs/>
          <w:color w:val="000000" w:themeColor="text1"/>
        </w:rPr>
        <w:t>Ancient Cities of the Indus Valley Civilization.</w:t>
      </w:r>
      <w:r w:rsidRPr="001D074D">
        <w:rPr>
          <w:color w:val="000000" w:themeColor="text1"/>
        </w:rPr>
        <w:t xml:space="preserve"> Oxford University Press.</w:t>
      </w:r>
    </w:p>
    <w:p w:rsidR="00026BA3" w:rsidRPr="001D074D" w:rsidRDefault="00026BA3" w:rsidP="00026BA3">
      <w:pPr>
        <w:pStyle w:val="p1"/>
        <w:numPr>
          <w:ilvl w:val="0"/>
          <w:numId w:val="50"/>
        </w:numPr>
        <w:rPr>
          <w:color w:val="000000" w:themeColor="text1"/>
        </w:rPr>
      </w:pPr>
      <w:r w:rsidRPr="001D074D">
        <w:rPr>
          <w:color w:val="000000" w:themeColor="text1"/>
        </w:rPr>
        <w:t xml:space="preserve">Possehl, G. L. (2002). </w:t>
      </w:r>
      <w:r w:rsidRPr="001D074D">
        <w:rPr>
          <w:i/>
          <w:iCs/>
          <w:color w:val="000000" w:themeColor="text1"/>
        </w:rPr>
        <w:t>The Indus Civilization: A Contemporary Perspective.</w:t>
      </w:r>
      <w:r w:rsidRPr="001D074D">
        <w:rPr>
          <w:color w:val="000000" w:themeColor="text1"/>
        </w:rPr>
        <w:t xml:space="preserve"> Rowman &amp; Littlefield.</w:t>
      </w:r>
    </w:p>
    <w:p w:rsidR="00026BA3" w:rsidRPr="001D074D" w:rsidRDefault="00026BA3" w:rsidP="00026BA3">
      <w:pPr>
        <w:pStyle w:val="p1"/>
        <w:numPr>
          <w:ilvl w:val="0"/>
          <w:numId w:val="50"/>
        </w:numPr>
        <w:rPr>
          <w:color w:val="000000" w:themeColor="text1"/>
        </w:rPr>
      </w:pPr>
      <w:r w:rsidRPr="001D074D">
        <w:rPr>
          <w:color w:val="000000" w:themeColor="text1"/>
        </w:rPr>
        <w:t xml:space="preserve">Renfrew, C. (2003). </w:t>
      </w:r>
      <w:r w:rsidRPr="001D074D">
        <w:rPr>
          <w:i/>
          <w:iCs/>
          <w:color w:val="000000" w:themeColor="text1"/>
        </w:rPr>
        <w:t>Figuring It Out.</w:t>
      </w:r>
    </w:p>
    <w:p w:rsidR="00026BA3" w:rsidRPr="001D074D" w:rsidRDefault="00026BA3" w:rsidP="00026BA3">
      <w:pPr>
        <w:pStyle w:val="p1"/>
        <w:numPr>
          <w:ilvl w:val="0"/>
          <w:numId w:val="50"/>
        </w:numPr>
        <w:rPr>
          <w:color w:val="000000" w:themeColor="text1"/>
        </w:rPr>
      </w:pPr>
      <w:r w:rsidRPr="001D074D">
        <w:rPr>
          <w:color w:val="000000" w:themeColor="text1"/>
        </w:rPr>
        <w:t xml:space="preserve">Hodder, I. (1982). </w:t>
      </w:r>
      <w:r w:rsidRPr="001D074D">
        <w:rPr>
          <w:i/>
          <w:iCs/>
          <w:color w:val="000000" w:themeColor="text1"/>
        </w:rPr>
        <w:t>Symbols in Action.</w:t>
      </w:r>
    </w:p>
    <w:p w:rsidR="00026BA3" w:rsidRPr="001D074D" w:rsidRDefault="00026BA3" w:rsidP="00026BA3">
      <w:pPr>
        <w:pStyle w:val="p1"/>
        <w:numPr>
          <w:ilvl w:val="0"/>
          <w:numId w:val="50"/>
        </w:numPr>
        <w:rPr>
          <w:color w:val="000000" w:themeColor="text1"/>
        </w:rPr>
      </w:pPr>
      <w:r w:rsidRPr="001D074D">
        <w:rPr>
          <w:color w:val="000000" w:themeColor="text1"/>
        </w:rPr>
        <w:t xml:space="preserve">Mithen, S. (1996). </w:t>
      </w:r>
      <w:r w:rsidRPr="001D074D">
        <w:rPr>
          <w:i/>
          <w:iCs/>
          <w:color w:val="000000" w:themeColor="text1"/>
        </w:rPr>
        <w:t>The Prehistory of the Mind.</w:t>
      </w:r>
    </w:p>
    <w:p w:rsidR="00026BA3" w:rsidRPr="001D074D" w:rsidRDefault="00026BA3" w:rsidP="00026BA3">
      <w:pPr>
        <w:pStyle w:val="p1"/>
        <w:numPr>
          <w:ilvl w:val="0"/>
          <w:numId w:val="50"/>
        </w:numPr>
        <w:rPr>
          <w:color w:val="000000" w:themeColor="text1"/>
        </w:rPr>
      </w:pPr>
      <w:r w:rsidRPr="001D074D">
        <w:rPr>
          <w:color w:val="000000" w:themeColor="text1"/>
        </w:rPr>
        <w:t xml:space="preserve">Tattersall, I. (1995). </w:t>
      </w:r>
      <w:r w:rsidRPr="001D074D">
        <w:rPr>
          <w:i/>
          <w:iCs/>
          <w:color w:val="000000" w:themeColor="text1"/>
        </w:rPr>
        <w:t>The Fossil Trail.</w:t>
      </w:r>
    </w:p>
    <w:p w:rsidR="00026BA3" w:rsidRPr="001D074D" w:rsidRDefault="00026BA3" w:rsidP="00026BA3">
      <w:pPr>
        <w:pStyle w:val="p1"/>
        <w:numPr>
          <w:ilvl w:val="0"/>
          <w:numId w:val="50"/>
        </w:numPr>
        <w:rPr>
          <w:color w:val="000000" w:themeColor="text1"/>
        </w:rPr>
      </w:pPr>
      <w:r w:rsidRPr="001D074D">
        <w:rPr>
          <w:color w:val="000000" w:themeColor="text1"/>
        </w:rPr>
        <w:t xml:space="preserve">Sherratt, A. (1997). </w:t>
      </w:r>
      <w:r w:rsidRPr="001D074D">
        <w:rPr>
          <w:i/>
          <w:iCs/>
          <w:color w:val="000000" w:themeColor="text1"/>
        </w:rPr>
        <w:t>Economy and Society in Prehistoric Europe.</w:t>
      </w:r>
    </w:p>
    <w:p w:rsidR="00026BA3" w:rsidRPr="001D074D" w:rsidRDefault="00026BA3" w:rsidP="00026BA3">
      <w:pPr>
        <w:pStyle w:val="p1"/>
        <w:numPr>
          <w:ilvl w:val="0"/>
          <w:numId w:val="50"/>
        </w:numPr>
        <w:rPr>
          <w:color w:val="000000" w:themeColor="text1"/>
        </w:rPr>
      </w:pPr>
      <w:r w:rsidRPr="001D074D">
        <w:rPr>
          <w:color w:val="000000" w:themeColor="text1"/>
        </w:rPr>
        <w:t>Wikipedia contributors. Vinča culture, Starčevo culture, Cernavodă culture, Baden culture.</w:t>
      </w:r>
    </w:p>
    <w:p w:rsidR="00612B02" w:rsidRPr="001D074D" w:rsidRDefault="00612B02" w:rsidP="00026BA3">
      <w:pPr>
        <w:rPr>
          <w:rFonts w:ascii="Times New Roman" w:hAnsi="Times New Roman" w:cs="Times New Roman"/>
          <w:color w:val="000000" w:themeColor="text1"/>
        </w:rPr>
      </w:pPr>
    </w:p>
    <w:sectPr w:rsidR="00612B02" w:rsidRPr="001D074D" w:rsidSect="001D074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DF0"/>
    <w:multiLevelType w:val="multilevel"/>
    <w:tmpl w:val="915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65769"/>
    <w:multiLevelType w:val="multilevel"/>
    <w:tmpl w:val="58A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4316"/>
    <w:multiLevelType w:val="multilevel"/>
    <w:tmpl w:val="B036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20496"/>
    <w:multiLevelType w:val="multilevel"/>
    <w:tmpl w:val="4C1C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3317"/>
    <w:multiLevelType w:val="multilevel"/>
    <w:tmpl w:val="86283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76967"/>
    <w:multiLevelType w:val="multilevel"/>
    <w:tmpl w:val="E64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8317A"/>
    <w:multiLevelType w:val="multilevel"/>
    <w:tmpl w:val="CA0A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B5E97"/>
    <w:multiLevelType w:val="multilevel"/>
    <w:tmpl w:val="3C4E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50524"/>
    <w:multiLevelType w:val="multilevel"/>
    <w:tmpl w:val="A64A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A2568"/>
    <w:multiLevelType w:val="multilevel"/>
    <w:tmpl w:val="5CBC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41F72"/>
    <w:multiLevelType w:val="multilevel"/>
    <w:tmpl w:val="36B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07764"/>
    <w:multiLevelType w:val="multilevel"/>
    <w:tmpl w:val="051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556CB"/>
    <w:multiLevelType w:val="multilevel"/>
    <w:tmpl w:val="FC2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542C6"/>
    <w:multiLevelType w:val="multilevel"/>
    <w:tmpl w:val="BD0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C2E83"/>
    <w:multiLevelType w:val="multilevel"/>
    <w:tmpl w:val="381E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0F9E"/>
    <w:multiLevelType w:val="multilevel"/>
    <w:tmpl w:val="8B98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13305"/>
    <w:multiLevelType w:val="multilevel"/>
    <w:tmpl w:val="0E16A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275E42"/>
    <w:multiLevelType w:val="multilevel"/>
    <w:tmpl w:val="921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A028B"/>
    <w:multiLevelType w:val="multilevel"/>
    <w:tmpl w:val="5FEE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0039C5"/>
    <w:multiLevelType w:val="multilevel"/>
    <w:tmpl w:val="ECE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4523E"/>
    <w:multiLevelType w:val="multilevel"/>
    <w:tmpl w:val="AAE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25CF7"/>
    <w:multiLevelType w:val="multilevel"/>
    <w:tmpl w:val="691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B12AC"/>
    <w:multiLevelType w:val="multilevel"/>
    <w:tmpl w:val="FF68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05574"/>
    <w:multiLevelType w:val="multilevel"/>
    <w:tmpl w:val="0B36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54681"/>
    <w:multiLevelType w:val="multilevel"/>
    <w:tmpl w:val="224A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86387"/>
    <w:multiLevelType w:val="multilevel"/>
    <w:tmpl w:val="1302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9190A"/>
    <w:multiLevelType w:val="multilevel"/>
    <w:tmpl w:val="B9D8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C7246"/>
    <w:multiLevelType w:val="multilevel"/>
    <w:tmpl w:val="921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C6480E"/>
    <w:multiLevelType w:val="multilevel"/>
    <w:tmpl w:val="1248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F0AF9"/>
    <w:multiLevelType w:val="multilevel"/>
    <w:tmpl w:val="60C6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83B7D"/>
    <w:multiLevelType w:val="multilevel"/>
    <w:tmpl w:val="E54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536D7"/>
    <w:multiLevelType w:val="multilevel"/>
    <w:tmpl w:val="4780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D83632"/>
    <w:multiLevelType w:val="multilevel"/>
    <w:tmpl w:val="938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F4D6A"/>
    <w:multiLevelType w:val="multilevel"/>
    <w:tmpl w:val="57B4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D034B1"/>
    <w:multiLevelType w:val="multilevel"/>
    <w:tmpl w:val="2CE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D7A04"/>
    <w:multiLevelType w:val="multilevel"/>
    <w:tmpl w:val="5DA0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DE5012"/>
    <w:multiLevelType w:val="multilevel"/>
    <w:tmpl w:val="13BE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727D6"/>
    <w:multiLevelType w:val="multilevel"/>
    <w:tmpl w:val="F050F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D6251"/>
    <w:multiLevelType w:val="multilevel"/>
    <w:tmpl w:val="10A6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B26BF9"/>
    <w:multiLevelType w:val="multilevel"/>
    <w:tmpl w:val="1FB4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8B4A94"/>
    <w:multiLevelType w:val="multilevel"/>
    <w:tmpl w:val="C85A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15856"/>
    <w:multiLevelType w:val="multilevel"/>
    <w:tmpl w:val="31AE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82EF8"/>
    <w:multiLevelType w:val="multilevel"/>
    <w:tmpl w:val="3E9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A22D4"/>
    <w:multiLevelType w:val="multilevel"/>
    <w:tmpl w:val="C4D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62F83"/>
    <w:multiLevelType w:val="multilevel"/>
    <w:tmpl w:val="F78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25739"/>
    <w:multiLevelType w:val="multilevel"/>
    <w:tmpl w:val="FF9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D030D"/>
    <w:multiLevelType w:val="multilevel"/>
    <w:tmpl w:val="972E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BF0729"/>
    <w:multiLevelType w:val="multilevel"/>
    <w:tmpl w:val="AA84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B476D1"/>
    <w:multiLevelType w:val="multilevel"/>
    <w:tmpl w:val="E80A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004AB"/>
    <w:multiLevelType w:val="multilevel"/>
    <w:tmpl w:val="8CBC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092098">
    <w:abstractNumId w:val="29"/>
  </w:num>
  <w:num w:numId="2" w16cid:durableId="502018135">
    <w:abstractNumId w:val="37"/>
  </w:num>
  <w:num w:numId="3" w16cid:durableId="547685750">
    <w:abstractNumId w:val="16"/>
  </w:num>
  <w:num w:numId="4" w16cid:durableId="387535799">
    <w:abstractNumId w:val="13"/>
  </w:num>
  <w:num w:numId="5" w16cid:durableId="962812650">
    <w:abstractNumId w:val="28"/>
  </w:num>
  <w:num w:numId="6" w16cid:durableId="1149832133">
    <w:abstractNumId w:val="27"/>
  </w:num>
  <w:num w:numId="7" w16cid:durableId="1825513517">
    <w:abstractNumId w:val="15"/>
  </w:num>
  <w:num w:numId="8" w16cid:durableId="1297183524">
    <w:abstractNumId w:val="10"/>
  </w:num>
  <w:num w:numId="9" w16cid:durableId="1443183270">
    <w:abstractNumId w:val="43"/>
  </w:num>
  <w:num w:numId="10" w16cid:durableId="1930187824">
    <w:abstractNumId w:val="14"/>
  </w:num>
  <w:num w:numId="11" w16cid:durableId="769475949">
    <w:abstractNumId w:val="0"/>
  </w:num>
  <w:num w:numId="12" w16cid:durableId="1575971743">
    <w:abstractNumId w:val="9"/>
  </w:num>
  <w:num w:numId="13" w16cid:durableId="857887366">
    <w:abstractNumId w:val="2"/>
  </w:num>
  <w:num w:numId="14" w16cid:durableId="1809660783">
    <w:abstractNumId w:val="11"/>
  </w:num>
  <w:num w:numId="15" w16cid:durableId="517429075">
    <w:abstractNumId w:val="34"/>
  </w:num>
  <w:num w:numId="16" w16cid:durableId="1891307824">
    <w:abstractNumId w:val="35"/>
  </w:num>
  <w:num w:numId="17" w16cid:durableId="39862557">
    <w:abstractNumId w:val="1"/>
  </w:num>
  <w:num w:numId="18" w16cid:durableId="335302824">
    <w:abstractNumId w:val="26"/>
  </w:num>
  <w:num w:numId="19" w16cid:durableId="1541437451">
    <w:abstractNumId w:val="49"/>
  </w:num>
  <w:num w:numId="20" w16cid:durableId="874778695">
    <w:abstractNumId w:val="5"/>
  </w:num>
  <w:num w:numId="21" w16cid:durableId="1258905893">
    <w:abstractNumId w:val="18"/>
  </w:num>
  <w:num w:numId="22" w16cid:durableId="2002542654">
    <w:abstractNumId w:val="6"/>
  </w:num>
  <w:num w:numId="23" w16cid:durableId="1448624487">
    <w:abstractNumId w:val="41"/>
  </w:num>
  <w:num w:numId="24" w16cid:durableId="238098255">
    <w:abstractNumId w:val="17"/>
  </w:num>
  <w:num w:numId="25" w16cid:durableId="217789735">
    <w:abstractNumId w:val="40"/>
  </w:num>
  <w:num w:numId="26" w16cid:durableId="341199030">
    <w:abstractNumId w:val="36"/>
  </w:num>
  <w:num w:numId="27" w16cid:durableId="1117261877">
    <w:abstractNumId w:val="32"/>
  </w:num>
  <w:num w:numId="28" w16cid:durableId="1277447632">
    <w:abstractNumId w:val="47"/>
  </w:num>
  <w:num w:numId="29" w16cid:durableId="519008157">
    <w:abstractNumId w:val="39"/>
  </w:num>
  <w:num w:numId="30" w16cid:durableId="2086877482">
    <w:abstractNumId w:val="20"/>
  </w:num>
  <w:num w:numId="31" w16cid:durableId="1858155949">
    <w:abstractNumId w:val="25"/>
  </w:num>
  <w:num w:numId="32" w16cid:durableId="172844442">
    <w:abstractNumId w:val="42"/>
  </w:num>
  <w:num w:numId="33" w16cid:durableId="278489645">
    <w:abstractNumId w:val="3"/>
  </w:num>
  <w:num w:numId="34" w16cid:durableId="1173911179">
    <w:abstractNumId w:val="48"/>
  </w:num>
  <w:num w:numId="35" w16cid:durableId="2094547845">
    <w:abstractNumId w:val="45"/>
  </w:num>
  <w:num w:numId="36" w16cid:durableId="1268806381">
    <w:abstractNumId w:val="44"/>
  </w:num>
  <w:num w:numId="37" w16cid:durableId="1581258289">
    <w:abstractNumId w:val="21"/>
  </w:num>
  <w:num w:numId="38" w16cid:durableId="691345774">
    <w:abstractNumId w:val="24"/>
  </w:num>
  <w:num w:numId="39" w16cid:durableId="1252664569">
    <w:abstractNumId w:val="23"/>
  </w:num>
  <w:num w:numId="40" w16cid:durableId="1528371679">
    <w:abstractNumId w:val="8"/>
  </w:num>
  <w:num w:numId="41" w16cid:durableId="449055994">
    <w:abstractNumId w:val="31"/>
  </w:num>
  <w:num w:numId="42" w16cid:durableId="772629866">
    <w:abstractNumId w:val="46"/>
  </w:num>
  <w:num w:numId="43" w16cid:durableId="17319917">
    <w:abstractNumId w:val="38"/>
  </w:num>
  <w:num w:numId="44" w16cid:durableId="2049910734">
    <w:abstractNumId w:val="12"/>
  </w:num>
  <w:num w:numId="45" w16cid:durableId="1944803950">
    <w:abstractNumId w:val="19"/>
  </w:num>
  <w:num w:numId="46" w16cid:durableId="828792509">
    <w:abstractNumId w:val="22"/>
  </w:num>
  <w:num w:numId="47" w16cid:durableId="155848321">
    <w:abstractNumId w:val="30"/>
  </w:num>
  <w:num w:numId="48" w16cid:durableId="1137182688">
    <w:abstractNumId w:val="4"/>
  </w:num>
  <w:num w:numId="49" w16cid:durableId="679046666">
    <w:abstractNumId w:val="7"/>
  </w:num>
  <w:num w:numId="50" w16cid:durableId="4702870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4"/>
    <w:rsid w:val="00026BA3"/>
    <w:rsid w:val="001D074D"/>
    <w:rsid w:val="00612B02"/>
    <w:rsid w:val="007C10CF"/>
    <w:rsid w:val="00DC5067"/>
    <w:rsid w:val="00E02045"/>
    <w:rsid w:val="00E4730F"/>
    <w:rsid w:val="00F658D8"/>
    <w:rsid w:val="00F74422"/>
    <w:rsid w:val="00FD5E7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9E6A"/>
  <w15:chartTrackingRefBased/>
  <w15:docId w15:val="{2617E058-7B03-0F43-8F4F-BBA536B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E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5E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D5E7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26B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E74"/>
    <w:rPr>
      <w:rFonts w:ascii="Times New Roman" w:eastAsia="Times New Roman" w:hAnsi="Times New Roman" w:cs="Times New Roman"/>
      <w:b/>
      <w:bCs/>
      <w:sz w:val="27"/>
      <w:szCs w:val="27"/>
      <w:lang w:eastAsia="en-GB"/>
    </w:rPr>
  </w:style>
  <w:style w:type="paragraph" w:customStyle="1" w:styleId="p1">
    <w:name w:val="p1"/>
    <w:basedOn w:val="Normal"/>
    <w:rsid w:val="00FD5E74"/>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FD5E74"/>
  </w:style>
  <w:style w:type="character" w:customStyle="1" w:styleId="apple-converted-space">
    <w:name w:val="apple-converted-space"/>
    <w:basedOn w:val="DefaultParagraphFont"/>
    <w:rsid w:val="00FD5E74"/>
  </w:style>
  <w:style w:type="paragraph" w:customStyle="1" w:styleId="p2">
    <w:name w:val="p2"/>
    <w:basedOn w:val="Normal"/>
    <w:rsid w:val="00FD5E74"/>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FD5E74"/>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D5E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D5E74"/>
    <w:rPr>
      <w:rFonts w:asciiTheme="majorHAnsi" w:eastAsiaTheme="majorEastAsia" w:hAnsiTheme="majorHAnsi" w:cstheme="majorBidi"/>
      <w:color w:val="2F5496" w:themeColor="accent1" w:themeShade="BF"/>
      <w:sz w:val="26"/>
      <w:szCs w:val="26"/>
    </w:rPr>
  </w:style>
  <w:style w:type="character" w:customStyle="1" w:styleId="s2">
    <w:name w:val="s2"/>
    <w:basedOn w:val="DefaultParagraphFont"/>
    <w:rsid w:val="00FD5E74"/>
  </w:style>
  <w:style w:type="paragraph" w:customStyle="1" w:styleId="p4">
    <w:name w:val="p4"/>
    <w:basedOn w:val="Normal"/>
    <w:rsid w:val="00FD5E74"/>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FD5E74"/>
  </w:style>
  <w:style w:type="character" w:customStyle="1" w:styleId="Heading4Char">
    <w:name w:val="Heading 4 Char"/>
    <w:basedOn w:val="DefaultParagraphFont"/>
    <w:link w:val="Heading4"/>
    <w:uiPriority w:val="9"/>
    <w:semiHidden/>
    <w:rsid w:val="00026BA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35">
      <w:bodyDiv w:val="1"/>
      <w:marLeft w:val="0"/>
      <w:marRight w:val="0"/>
      <w:marTop w:val="0"/>
      <w:marBottom w:val="0"/>
      <w:divBdr>
        <w:top w:val="none" w:sz="0" w:space="0" w:color="auto"/>
        <w:left w:val="none" w:sz="0" w:space="0" w:color="auto"/>
        <w:bottom w:val="none" w:sz="0" w:space="0" w:color="auto"/>
        <w:right w:val="none" w:sz="0" w:space="0" w:color="auto"/>
      </w:divBdr>
    </w:div>
    <w:div w:id="1043093665">
      <w:bodyDiv w:val="1"/>
      <w:marLeft w:val="0"/>
      <w:marRight w:val="0"/>
      <w:marTop w:val="0"/>
      <w:marBottom w:val="0"/>
      <w:divBdr>
        <w:top w:val="none" w:sz="0" w:space="0" w:color="auto"/>
        <w:left w:val="none" w:sz="0" w:space="0" w:color="auto"/>
        <w:bottom w:val="none" w:sz="0" w:space="0" w:color="auto"/>
        <w:right w:val="none" w:sz="0" w:space="0" w:color="auto"/>
      </w:divBdr>
    </w:div>
    <w:div w:id="1528300036">
      <w:bodyDiv w:val="1"/>
      <w:marLeft w:val="0"/>
      <w:marRight w:val="0"/>
      <w:marTop w:val="0"/>
      <w:marBottom w:val="0"/>
      <w:divBdr>
        <w:top w:val="none" w:sz="0" w:space="0" w:color="auto"/>
        <w:left w:val="none" w:sz="0" w:space="0" w:color="auto"/>
        <w:bottom w:val="none" w:sz="0" w:space="0" w:color="auto"/>
        <w:right w:val="none" w:sz="0" w:space="0" w:color="auto"/>
      </w:divBdr>
    </w:div>
    <w:div w:id="1744910750">
      <w:bodyDiv w:val="1"/>
      <w:marLeft w:val="0"/>
      <w:marRight w:val="0"/>
      <w:marTop w:val="0"/>
      <w:marBottom w:val="0"/>
      <w:divBdr>
        <w:top w:val="none" w:sz="0" w:space="0" w:color="auto"/>
        <w:left w:val="none" w:sz="0" w:space="0" w:color="auto"/>
        <w:bottom w:val="none" w:sz="0" w:space="0" w:color="auto"/>
        <w:right w:val="none" w:sz="0" w:space="0" w:color="auto"/>
      </w:divBdr>
    </w:div>
    <w:div w:id="212515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605/OSF.IO/YW5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2026-01-24T20:56:00Z</dcterms:created>
  <dcterms:modified xsi:type="dcterms:W3CDTF">2026-01-27T22:24:00Z</dcterms:modified>
</cp:coreProperties>
</file>