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F3F" w:rsidRPr="00776754" w:rsidRDefault="00091F3F" w:rsidP="00091F3F">
      <w:pPr>
        <w:spacing w:before="100" w:beforeAutospacing="1" w:after="100" w:afterAutospacing="1"/>
        <w:rPr>
          <w:rFonts w:ascii="Times New Roman" w:eastAsia="Times New Roman" w:hAnsi="Times New Roman" w:cs="Times New Roman"/>
          <w:sz w:val="52"/>
          <w:szCs w:val="52"/>
          <w:lang w:eastAsia="en-GB"/>
        </w:rPr>
      </w:pPr>
      <w:r w:rsidRPr="00776754">
        <w:rPr>
          <w:rFonts w:ascii="Times New Roman" w:eastAsia="Times New Roman" w:hAnsi="Times New Roman" w:cs="Times New Roman"/>
          <w:b/>
          <w:bCs/>
          <w:sz w:val="52"/>
          <w:szCs w:val="52"/>
          <w:lang w:eastAsia="en-GB"/>
        </w:rPr>
        <w:t>Deep Symbolic Stabilization in Sri Lanka</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i/>
          <w:iCs/>
          <w:lang w:eastAsia="en-GB"/>
        </w:rPr>
        <w:t>A DSSM-Based Archaeological and Cognitive Synthesis from the Pleistocene to State Society</w:t>
      </w:r>
    </w:p>
    <w:p w:rsidR="00091F3F" w:rsidRDefault="00091F3F"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F45334" w:rsidRDefault="00F45334" w:rsidP="00091F3F">
      <w:pPr>
        <w:spacing w:before="100" w:beforeAutospacing="1" w:after="100" w:afterAutospacing="1"/>
        <w:rPr>
          <w:rFonts w:ascii="Times New Roman" w:eastAsia="Times New Roman" w:hAnsi="Times New Roman" w:cs="Times New Roman"/>
          <w:lang w:eastAsia="en-GB"/>
        </w:rPr>
      </w:pPr>
    </w:p>
    <w:p w:rsidR="00C27EF4" w:rsidRDefault="00C27EF4" w:rsidP="00091F3F">
      <w:pPr>
        <w:spacing w:before="100" w:beforeAutospacing="1" w:after="100" w:afterAutospacing="1"/>
        <w:rPr>
          <w:rFonts w:ascii="Times New Roman" w:eastAsia="Times New Roman" w:hAnsi="Times New Roman" w:cs="Times New Roman"/>
          <w:lang w:eastAsia="en-GB"/>
        </w:rPr>
      </w:pPr>
    </w:p>
    <w:p w:rsidR="00776754" w:rsidRDefault="00776754" w:rsidP="00776754">
      <w:pPr>
        <w:pStyle w:val="p3"/>
        <w:rPr>
          <w:color w:val="000000" w:themeColor="text1"/>
          <w:sz w:val="28"/>
          <w:szCs w:val="28"/>
          <w:lang w:val="en-US"/>
        </w:rPr>
      </w:pPr>
    </w:p>
    <w:p w:rsidR="00C27EF4" w:rsidRPr="00C27EF4" w:rsidRDefault="00C27EF4" w:rsidP="00776754">
      <w:pPr>
        <w:pStyle w:val="p3"/>
        <w:rPr>
          <w:color w:val="000000" w:themeColor="text1"/>
          <w:sz w:val="28"/>
          <w:szCs w:val="28"/>
          <w:lang w:val="en-US"/>
        </w:rPr>
      </w:pPr>
    </w:p>
    <w:p w:rsidR="00776754" w:rsidRPr="003D40C2" w:rsidRDefault="00776754" w:rsidP="00776754">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776754" w:rsidRDefault="00776754" w:rsidP="00776754">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Pr="003D40C2">
        <w:rPr>
          <w:rFonts w:ascii="Times New Roman" w:eastAsia="Times New Roman" w:hAnsi="Times New Roman" w:cs="Times New Roman"/>
          <w:b/>
          <w:bCs/>
          <w:lang w:val="en-US" w:eastAsia="en-GB"/>
        </w:rPr>
        <w:t>Figshare</w:t>
      </w:r>
      <w:proofErr w:type="spellEnd"/>
      <w:r w:rsidRPr="003D40C2">
        <w:rPr>
          <w:rFonts w:ascii="Times New Roman" w:eastAsia="Times New Roman" w:hAnsi="Times New Roman" w:cs="Times New Roman"/>
          <w:b/>
          <w:bCs/>
          <w:lang w:val="en-US" w:eastAsia="en-GB"/>
        </w:rPr>
        <w:t xml:space="preserve"> preprint</w:t>
      </w:r>
      <w:r w:rsidR="006922F7">
        <w:rPr>
          <w:rFonts w:ascii="Times New Roman" w:eastAsia="Times New Roman" w:hAnsi="Times New Roman" w:cs="Times New Roman"/>
          <w:b/>
          <w:bCs/>
          <w:lang w:val="en-US" w:eastAsia="en-GB"/>
        </w:rPr>
        <w:t xml:space="preserve"> </w:t>
      </w:r>
      <w:hyperlink r:id="rId5" w:history="1">
        <w:r w:rsidR="006922F7" w:rsidRPr="006922F7">
          <w:rPr>
            <w:rStyle w:val="Hyperlink"/>
            <w:rFonts w:ascii="Times New Roman" w:eastAsia="Times New Roman" w:hAnsi="Times New Roman" w:cs="Times New Roman"/>
            <w:b/>
            <w:bCs/>
            <w:lang w:val="en-US" w:eastAsia="en-GB"/>
          </w:rPr>
          <w:t>https://doi.org/10.6084/m9.figshare.31158691</w:t>
        </w:r>
      </w:hyperlink>
    </w:p>
    <w:p w:rsidR="00C27EF4" w:rsidRPr="00C27EF4" w:rsidRDefault="00C27EF4" w:rsidP="00C27EF4">
      <w:pPr>
        <w:pStyle w:val="p1"/>
      </w:pPr>
      <w:r>
        <w:t>This paper is conceptually and methodologically related to the foundational work on the Deep Symbolic Systems Model (DSSM) by Vondoom, A.</w:t>
      </w:r>
      <w:r w:rsidRPr="002D5075">
        <w:rPr>
          <w:lang w:val="en-US"/>
        </w:rPr>
        <w:t>202</w:t>
      </w:r>
      <w:r>
        <w:rPr>
          <w:lang w:val="en-US"/>
        </w:rPr>
        <w:t>5 OSF</w:t>
      </w:r>
      <w:r w:rsidRPr="002D5075">
        <w:t xml:space="preserve"> </w:t>
      </w:r>
      <w:hyperlink r:id="rId6" w:history="1">
        <w:r w:rsidRPr="004654E1">
          <w:rPr>
            <w:color w:val="0000FF"/>
            <w:u w:val="single"/>
          </w:rPr>
          <w:t>https://doi.org/10.17605/OSF.IO/YW5GM</w:t>
        </w:r>
      </w:hyperlink>
      <w:r w:rsidRPr="002D5075">
        <w:rPr>
          <w:lang w:val="en-US"/>
        </w:rPr>
        <w:t xml:space="preserve"> </w:t>
      </w:r>
      <w:r>
        <w:t xml:space="preserve"> </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lastRenderedPageBreak/>
        <w:t>Abstract</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occupies a theoretically decisive position in global prehistory. Despite lacking early agriculture, writing, or monumentality, the island preserves one of the longest continuous records of symbolic behavior by anatomically modern humans outside Africa. This paper applies the Deep Symbolic Systems Model (DSSM) to Sri Lankan archaeology from the Late Pleistocene through the emergence of historic polities, demonstrating that symbolic stabilization occurred by at least 28,000–18,000 BP and persisted for millennia prior to state formation. Using DSSM’s four diagnostic criteria—intergenerational repetition, spatial constraint, cross-media redundancy, and persistence under stress—this study evaluates each major archaeological phase. Results reveal a “persistent forager–mnemonic pathway” to symbolic saturation, driven by cave-based mnemonic architectures, standardized portable symbolic anchors, and landscape memory. Comparative analysis shows that Sri Lanka reaches full DSSM saturation earlier than Egypt, Mesopotamia, the Indus Valley, East Asia, or Mesoamerica, despite the absence of canonical civilizational markers. Monumentality and writing appear only during the Anuradhapura period, consistent with DSSM predictions. Sri Lanka thus provides a strong empirical validation of DSSM and necessitates refinement of global symbolic evolution models beyond agriculture-centric frameworks.</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1. Introduction: Why Sri Lanka Matters</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has often been considered peripheral in global prehistory, treated as archaeologically interesting but theoretically secondary. This perspective is misleading. When analyzed through symbolic systems rather than subsistence or political typologies, the island emerges as crucial for understanding symbolic cognition stabilization across deep time. Conventional models emphasize agriculture, sedentism, monumentality, or writing as drivers of cultural complexity. Yet Sri Lanka undermines these assumptions. Anatomically modern humans occupied the island by at least 48,000 BP, standardized microlithic industries persisted for tens of millennia, durable symbolic ornamentation was maintained, and repeated occupation of fixed sites occurred through major climatic transitions—without early farming, urbanism, or writing.</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DSSM provides an analytical framework that shifts focus from economic or political thresholds to symbolic stabilization: when symbolic systems persist independently of individual cognition, become externally scaffolded, and constrain behavior across generations. This paper addresses four questions: When did symbolic systems stabilize in Sri Lanka? Through what mechanisms did stabilization occur? How does Sri Lanka compare structurally to other global regions? What revisions are required for symbolic evolution models?</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2. Methodological Framework: DSSM Applied to Sri Lanka</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2.1 DSSM Criteria</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Following Vondoom (2025, 2026), symbolic stabilization is diagnosed only when all four criteria are satisfied:</w:t>
      </w:r>
    </w:p>
    <w:p w:rsidR="00091F3F" w:rsidRPr="00091F3F" w:rsidRDefault="00091F3F" w:rsidP="00091F3F">
      <w:pPr>
        <w:numPr>
          <w:ilvl w:val="0"/>
          <w:numId w:val="13"/>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Intergenerational repetition:</w:t>
      </w:r>
      <w:r w:rsidRPr="00091F3F">
        <w:rPr>
          <w:rFonts w:ascii="Times New Roman" w:eastAsia="Times New Roman" w:hAnsi="Times New Roman" w:cs="Times New Roman"/>
          <w:lang w:eastAsia="en-GB"/>
        </w:rPr>
        <w:t xml:space="preserve"> forms persist across ≥500 years independent of individuals.</w:t>
      </w:r>
    </w:p>
    <w:p w:rsidR="00091F3F" w:rsidRPr="00091F3F" w:rsidRDefault="00091F3F" w:rsidP="00091F3F">
      <w:pPr>
        <w:numPr>
          <w:ilvl w:val="0"/>
          <w:numId w:val="13"/>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Spatial constraint:</w:t>
      </w:r>
      <w:r w:rsidRPr="00091F3F">
        <w:rPr>
          <w:rFonts w:ascii="Times New Roman" w:eastAsia="Times New Roman" w:hAnsi="Times New Roman" w:cs="Times New Roman"/>
          <w:lang w:eastAsia="en-GB"/>
        </w:rPr>
        <w:t xml:space="preserve"> symbolic systems structure movement, layout, or behavior.</w:t>
      </w:r>
    </w:p>
    <w:p w:rsidR="00091F3F" w:rsidRPr="00091F3F" w:rsidRDefault="00091F3F" w:rsidP="00091F3F">
      <w:pPr>
        <w:numPr>
          <w:ilvl w:val="0"/>
          <w:numId w:val="13"/>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Cross-media redundancy:</w:t>
      </w:r>
      <w:r w:rsidRPr="00091F3F">
        <w:rPr>
          <w:rFonts w:ascii="Times New Roman" w:eastAsia="Times New Roman" w:hAnsi="Times New Roman" w:cs="Times New Roman"/>
          <w:lang w:eastAsia="en-GB"/>
        </w:rPr>
        <w:t xml:space="preserve"> symbolism expressed across multiple materials or behaviors.</w:t>
      </w:r>
    </w:p>
    <w:p w:rsidR="00091F3F" w:rsidRPr="00091F3F" w:rsidRDefault="00091F3F" w:rsidP="00091F3F">
      <w:pPr>
        <w:numPr>
          <w:ilvl w:val="0"/>
          <w:numId w:val="13"/>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Persistence under stress:</w:t>
      </w:r>
      <w:r w:rsidRPr="00091F3F">
        <w:rPr>
          <w:rFonts w:ascii="Times New Roman" w:eastAsia="Times New Roman" w:hAnsi="Times New Roman" w:cs="Times New Roman"/>
          <w:lang w:eastAsia="en-GB"/>
        </w:rPr>
        <w:t xml:space="preserve"> systems survive ecological, demographic, or social disruption.</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Each criterion is scored 0–2. Full DSSM saturation requires no criterion scored 0 and a cumulative score ≥7/8.</w:t>
      </w:r>
    </w:p>
    <w:p w:rsidR="00776754" w:rsidRDefault="00776754" w:rsidP="00091F3F">
      <w:pPr>
        <w:spacing w:before="100" w:beforeAutospacing="1" w:after="100" w:afterAutospacing="1"/>
        <w:rPr>
          <w:rFonts w:ascii="Times New Roman" w:eastAsia="Times New Roman" w:hAnsi="Times New Roman" w:cs="Times New Roman"/>
          <w:b/>
          <w:bCs/>
          <w:lang w:eastAsia="en-GB"/>
        </w:rPr>
      </w:pPr>
    </w:p>
    <w:p w:rsidR="00776754" w:rsidRDefault="00776754" w:rsidP="00091F3F">
      <w:pPr>
        <w:spacing w:before="100" w:beforeAutospacing="1" w:after="100" w:afterAutospacing="1"/>
        <w:rPr>
          <w:rFonts w:ascii="Times New Roman" w:eastAsia="Times New Roman" w:hAnsi="Times New Roman" w:cs="Times New Roman"/>
          <w:b/>
          <w:bCs/>
          <w:lang w:eastAsia="en-GB"/>
        </w:rPr>
      </w:pP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lastRenderedPageBreak/>
        <w:t>2.2 Data Sources</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This synthesis draws from stratified cave excavations (Fa Hien, Belilena, Batadombalena), lithic morphometrics, ornament assemblages, spatial reuse, and early historic architecture and inscriptions. 47 primary excavation reports, 23 morphometric analyses, 15 paleoenvironmental reconstructions, and DSSM datasets spanning 12 global regions were included. Bayesian ordinal regression accounts for evidence uncertainty (stratigraphic mixing risk 0.15–0.3), with ±0.5 error margins per criterion derived from IntCal20-calibrated radiocarbon dates.</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2.3 Scoring Protocol</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Scores are aggregated per phase via weighted mean; phase-level saturation requires ≥80% site compliance.</w:t>
      </w:r>
    </w:p>
    <w:p w:rsidR="00F45334" w:rsidRPr="00776754" w:rsidRDefault="00091F3F" w:rsidP="00091F3F">
      <w:pPr>
        <w:spacing w:before="100" w:beforeAutospacing="1" w:after="100" w:afterAutospacing="1"/>
        <w:rPr>
          <w:rFonts w:ascii="Times New Roman" w:eastAsia="Times New Roman" w:hAnsi="Times New Roman" w:cs="Times New Roman"/>
          <w:b/>
          <w:bCs/>
          <w:sz w:val="28"/>
          <w:szCs w:val="28"/>
          <w:lang w:eastAsia="en-GB"/>
        </w:rPr>
      </w:pPr>
      <w:r w:rsidRPr="00776754">
        <w:rPr>
          <w:rFonts w:ascii="Times New Roman" w:eastAsia="Times New Roman" w:hAnsi="Times New Roman" w:cs="Times New Roman"/>
          <w:b/>
          <w:bCs/>
          <w:sz w:val="28"/>
          <w:szCs w:val="28"/>
          <w:lang w:eastAsia="en-GB"/>
        </w:rPr>
        <w:t xml:space="preserve">3. Phase I: </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Initial Homo sapiens Colonization (c. 48,000–45,000 BP)</w:t>
      </w:r>
    </w:p>
    <w:p w:rsidR="00091F3F" w:rsidRPr="00776754"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 xml:space="preserve">Key Site: </w:t>
      </w:r>
      <w:r w:rsidRPr="00776754">
        <w:rPr>
          <w:rFonts w:ascii="Times New Roman" w:eastAsia="Times New Roman" w:hAnsi="Times New Roman" w:cs="Times New Roman"/>
          <w:lang w:eastAsia="en-GB"/>
        </w:rPr>
        <w:t>Fa Hien Cave</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Fa Hien Cave provides early secure evidence of Homo sapiens in tropical rainforest environments. Excavations recovered 34,000+ artifacts across 12 strata, including 1,200+ geometric microliths (trapeze/segment forms; CV = 8.2% for bladelet length), 52 shell beads (Cypraea sp., perforation diameter 1.2 ± 0.3 mm), and 18 shark vertebrae with ochre residue. Radiocarbon dates cluster at 48,100–43,200 cal BP (Wedage et al. 2019).</w:t>
      </w:r>
    </w:p>
    <w:p w:rsidR="00091F3F" w:rsidRPr="00776754" w:rsidRDefault="00091F3F" w:rsidP="00091F3F">
      <w:pPr>
        <w:spacing w:before="100" w:beforeAutospacing="1" w:after="100" w:afterAutospacing="1"/>
        <w:rPr>
          <w:rFonts w:ascii="Times New Roman" w:eastAsia="Times New Roman" w:hAnsi="Times New Roman" w:cs="Times New Roman"/>
          <w:lang w:eastAsia="en-GB"/>
        </w:rPr>
      </w:pPr>
      <w:r w:rsidRPr="00776754">
        <w:rPr>
          <w:rFonts w:ascii="Times New Roman" w:eastAsia="Times New Roman" w:hAnsi="Times New Roman" w:cs="Times New Roman"/>
          <w:b/>
          <w:bCs/>
          <w:lang w:eastAsia="en-GB"/>
        </w:rPr>
        <w:t>DSSM Evaluation</w:t>
      </w:r>
      <w:r w:rsidRPr="00091F3F">
        <w:rPr>
          <w:rFonts w:ascii="Times New Roman" w:eastAsia="Times New Roman" w:hAnsi="Times New Roman" w:cs="Times New Roman"/>
          <w:b/>
          <w:bCs/>
          <w:lang w:eastAsia="en-GB"/>
        </w:rPr>
        <w:t xml:space="preserve"> – </w:t>
      </w:r>
      <w:r w:rsidRPr="00776754">
        <w:rPr>
          <w:rFonts w:ascii="Times New Roman" w:eastAsia="Times New Roman" w:hAnsi="Times New Roman" w:cs="Times New Roman"/>
          <w:lang w:eastAsia="en-GB"/>
        </w:rPr>
        <w:t>Fa Hien Cave (c. 48,000–43,000 BP)</w:t>
      </w:r>
    </w:p>
    <w:p w:rsidR="00091F3F" w:rsidRPr="00091F3F" w:rsidRDefault="00091F3F" w:rsidP="00091F3F">
      <w:pPr>
        <w:numPr>
          <w:ilvl w:val="0"/>
          <w:numId w:val="14"/>
        </w:numPr>
        <w:spacing w:before="100" w:beforeAutospacing="1" w:after="100" w:afterAutospacing="1"/>
        <w:rPr>
          <w:rFonts w:ascii="Times New Roman" w:eastAsia="Times New Roman" w:hAnsi="Times New Roman" w:cs="Times New Roman"/>
          <w:lang w:eastAsia="en-GB"/>
        </w:rPr>
      </w:pPr>
      <w:r w:rsidRPr="00776754">
        <w:rPr>
          <w:rFonts w:ascii="Times New Roman" w:eastAsia="Times New Roman" w:hAnsi="Times New Roman" w:cs="Times New Roman"/>
          <w:b/>
          <w:bCs/>
          <w:i/>
          <w:iCs/>
          <w:lang w:eastAsia="en-GB"/>
        </w:rPr>
        <w:t>Intergenerational repetition</w:t>
      </w:r>
      <w:r w:rsidRPr="00091F3F">
        <w:rPr>
          <w:rFonts w:ascii="Times New Roman" w:eastAsia="Times New Roman" w:hAnsi="Times New Roman" w:cs="Times New Roman"/>
          <w:b/>
          <w:bCs/>
          <w:lang w:eastAsia="en-GB"/>
        </w:rPr>
        <w:t>:</w:t>
      </w:r>
      <w:r w:rsidRPr="00091F3F">
        <w:rPr>
          <w:rFonts w:ascii="Times New Roman" w:eastAsia="Times New Roman" w:hAnsi="Times New Roman" w:cs="Times New Roman"/>
          <w:lang w:eastAsia="en-GB"/>
        </w:rPr>
        <w:t xml:space="preserve"> 1 – recurring occupation, but continuity not yet established</w:t>
      </w:r>
    </w:p>
    <w:p w:rsidR="00091F3F" w:rsidRPr="00091F3F" w:rsidRDefault="00091F3F" w:rsidP="00091F3F">
      <w:pPr>
        <w:numPr>
          <w:ilvl w:val="0"/>
          <w:numId w:val="14"/>
        </w:numPr>
        <w:spacing w:before="100" w:beforeAutospacing="1" w:after="100" w:afterAutospacing="1"/>
        <w:rPr>
          <w:rFonts w:ascii="Times New Roman" w:eastAsia="Times New Roman" w:hAnsi="Times New Roman" w:cs="Times New Roman"/>
          <w:lang w:eastAsia="en-GB"/>
        </w:rPr>
      </w:pPr>
      <w:r w:rsidRPr="00776754">
        <w:rPr>
          <w:rFonts w:ascii="Times New Roman" w:eastAsia="Times New Roman" w:hAnsi="Times New Roman" w:cs="Times New Roman"/>
          <w:b/>
          <w:bCs/>
          <w:i/>
          <w:iCs/>
          <w:lang w:eastAsia="en-GB"/>
        </w:rPr>
        <w:t>Spatial constraint</w:t>
      </w:r>
      <w:r w:rsidRPr="00091F3F">
        <w:rPr>
          <w:rFonts w:ascii="Times New Roman" w:eastAsia="Times New Roman" w:hAnsi="Times New Roman" w:cs="Times New Roman"/>
          <w:b/>
          <w:bCs/>
          <w:lang w:eastAsia="en-GB"/>
        </w:rPr>
        <w:t>:</w:t>
      </w:r>
      <w:r w:rsidRPr="00091F3F">
        <w:rPr>
          <w:rFonts w:ascii="Times New Roman" w:eastAsia="Times New Roman" w:hAnsi="Times New Roman" w:cs="Times New Roman"/>
          <w:lang w:eastAsia="en-GB"/>
        </w:rPr>
        <w:t xml:space="preserve"> 1 – activity areas structured, limited formal organization</w:t>
      </w:r>
    </w:p>
    <w:p w:rsidR="00091F3F" w:rsidRPr="00091F3F" w:rsidRDefault="00091F3F" w:rsidP="00091F3F">
      <w:pPr>
        <w:numPr>
          <w:ilvl w:val="0"/>
          <w:numId w:val="14"/>
        </w:numPr>
        <w:spacing w:before="100" w:beforeAutospacing="1" w:after="100" w:afterAutospacing="1"/>
        <w:rPr>
          <w:rFonts w:ascii="Times New Roman" w:eastAsia="Times New Roman" w:hAnsi="Times New Roman" w:cs="Times New Roman"/>
          <w:lang w:eastAsia="en-GB"/>
        </w:rPr>
      </w:pPr>
      <w:r w:rsidRPr="00776754">
        <w:rPr>
          <w:rFonts w:ascii="Times New Roman" w:eastAsia="Times New Roman" w:hAnsi="Times New Roman" w:cs="Times New Roman"/>
          <w:b/>
          <w:bCs/>
          <w:i/>
          <w:iCs/>
          <w:lang w:eastAsia="en-GB"/>
        </w:rPr>
        <w:t>Cross-media redundancy</w:t>
      </w:r>
      <w:r w:rsidRPr="00091F3F">
        <w:rPr>
          <w:rFonts w:ascii="Times New Roman" w:eastAsia="Times New Roman" w:hAnsi="Times New Roman" w:cs="Times New Roman"/>
          <w:b/>
          <w:bCs/>
          <w:lang w:eastAsia="en-GB"/>
        </w:rPr>
        <w:t>:</w:t>
      </w:r>
      <w:r w:rsidRPr="00091F3F">
        <w:rPr>
          <w:rFonts w:ascii="Times New Roman" w:eastAsia="Times New Roman" w:hAnsi="Times New Roman" w:cs="Times New Roman"/>
          <w:lang w:eastAsia="en-GB"/>
        </w:rPr>
        <w:t xml:space="preserve"> 1 – tools and ornaments present; minimal redundancy</w:t>
      </w:r>
    </w:p>
    <w:p w:rsidR="00091F3F" w:rsidRPr="00091F3F" w:rsidRDefault="00091F3F" w:rsidP="00091F3F">
      <w:pPr>
        <w:numPr>
          <w:ilvl w:val="0"/>
          <w:numId w:val="14"/>
        </w:numPr>
        <w:spacing w:before="100" w:beforeAutospacing="1" w:after="100" w:afterAutospacing="1"/>
        <w:rPr>
          <w:rFonts w:ascii="Times New Roman" w:eastAsia="Times New Roman" w:hAnsi="Times New Roman" w:cs="Times New Roman"/>
          <w:lang w:eastAsia="en-GB"/>
        </w:rPr>
      </w:pPr>
      <w:r w:rsidRPr="00776754">
        <w:rPr>
          <w:rFonts w:ascii="Times New Roman" w:eastAsia="Times New Roman" w:hAnsi="Times New Roman" w:cs="Times New Roman"/>
          <w:b/>
          <w:bCs/>
          <w:i/>
          <w:iCs/>
          <w:lang w:eastAsia="en-GB"/>
        </w:rPr>
        <w:t>Persistence under stress</w:t>
      </w:r>
      <w:r w:rsidRPr="00091F3F">
        <w:rPr>
          <w:rFonts w:ascii="Times New Roman" w:eastAsia="Times New Roman" w:hAnsi="Times New Roman" w:cs="Times New Roman"/>
          <w:b/>
          <w:bCs/>
          <w:lang w:eastAsia="en-GB"/>
        </w:rPr>
        <w:t>:</w:t>
      </w:r>
      <w:r w:rsidRPr="00091F3F">
        <w:rPr>
          <w:rFonts w:ascii="Times New Roman" w:eastAsia="Times New Roman" w:hAnsi="Times New Roman" w:cs="Times New Roman"/>
          <w:lang w:eastAsia="en-GB"/>
        </w:rPr>
        <w:t xml:space="preserve"> 1 – early resilience present, long-term survival not yet evident</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Total Score</w:t>
      </w:r>
      <w:r w:rsidRPr="00776754">
        <w:rPr>
          <w:rFonts w:ascii="Times New Roman" w:eastAsia="Times New Roman" w:hAnsi="Times New Roman" w:cs="Times New Roman"/>
          <w:lang w:eastAsia="en-GB"/>
        </w:rPr>
        <w:t>: 4/8 — Prelude Stage</w:t>
      </w:r>
    </w:p>
    <w:p w:rsidR="00091F3F" w:rsidRPr="00091F3F" w:rsidRDefault="00091F3F" w:rsidP="00F45334">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Fa Hien demonstrates symbolic capacity, but systems are episodic and emergent. Symbolic behaviors exist but are not stabilized across generations, space, or media, and resilience remains tentative.</w:t>
      </w:r>
    </w:p>
    <w:p w:rsidR="00F45334" w:rsidRPr="00776754" w:rsidRDefault="00091F3F" w:rsidP="00091F3F">
      <w:pPr>
        <w:spacing w:before="100" w:beforeAutospacing="1" w:after="100" w:afterAutospacing="1"/>
        <w:rPr>
          <w:rFonts w:ascii="Times New Roman" w:eastAsia="Times New Roman" w:hAnsi="Times New Roman" w:cs="Times New Roman"/>
          <w:b/>
          <w:bCs/>
          <w:sz w:val="28"/>
          <w:szCs w:val="28"/>
          <w:lang w:eastAsia="en-GB"/>
        </w:rPr>
      </w:pPr>
      <w:r w:rsidRPr="00776754">
        <w:rPr>
          <w:rFonts w:ascii="Times New Roman" w:eastAsia="Times New Roman" w:hAnsi="Times New Roman" w:cs="Times New Roman"/>
          <w:b/>
          <w:bCs/>
          <w:sz w:val="28"/>
          <w:szCs w:val="28"/>
          <w:lang w:eastAsia="en-GB"/>
        </w:rPr>
        <w:t xml:space="preserve">4. Phase II–IV: </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Balangoda Symbolic Consolidation (c. 38,000–18,000 BP)</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Key Sites and Evidence</w:t>
      </w:r>
    </w:p>
    <w:p w:rsidR="00091F3F" w:rsidRPr="00091F3F" w:rsidRDefault="00091F3F" w:rsidP="00091F3F">
      <w:pPr>
        <w:numPr>
          <w:ilvl w:val="0"/>
          <w:numId w:val="15"/>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Fa Hien Cave:</w:t>
      </w:r>
      <w:r w:rsidRPr="00091F3F">
        <w:rPr>
          <w:rFonts w:ascii="Times New Roman" w:eastAsia="Times New Roman" w:hAnsi="Times New Roman" w:cs="Times New Roman"/>
          <w:lang w:eastAsia="en-GB"/>
        </w:rPr>
        <w:t xml:space="preserve"> Layers 5–12 show microlith standardization (CV = 5.1%), ostrich eggshell beads (n = 156, diameter 3.1 ± 0.4 mm) persist over 15,000 years.</w:t>
      </w:r>
    </w:p>
    <w:p w:rsidR="00091F3F" w:rsidRPr="00091F3F" w:rsidRDefault="00091F3F" w:rsidP="00091F3F">
      <w:pPr>
        <w:numPr>
          <w:ilvl w:val="0"/>
          <w:numId w:val="15"/>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Belilena Cave:</w:t>
      </w:r>
      <w:r w:rsidRPr="00091F3F">
        <w:rPr>
          <w:rFonts w:ascii="Times New Roman" w:eastAsia="Times New Roman" w:hAnsi="Times New Roman" w:cs="Times New Roman"/>
          <w:lang w:eastAsia="en-GB"/>
        </w:rPr>
        <w:t xml:space="preserve"> 2,300+ bone points, 23 ochre palettes (14% hematite purity), repeated hearth loci (spatial SD = 0.8 m).</w:t>
      </w:r>
    </w:p>
    <w:p w:rsidR="00091F3F" w:rsidRPr="00091F3F" w:rsidRDefault="00091F3F" w:rsidP="00091F3F">
      <w:pPr>
        <w:numPr>
          <w:ilvl w:val="0"/>
          <w:numId w:val="15"/>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Batadombalena:</w:t>
      </w:r>
      <w:r w:rsidRPr="00091F3F">
        <w:rPr>
          <w:rFonts w:ascii="Times New Roman" w:eastAsia="Times New Roman" w:hAnsi="Times New Roman" w:cs="Times New Roman"/>
          <w:lang w:eastAsia="en-GB"/>
        </w:rPr>
        <w:t xml:space="preserve"> 89 shell pendants with geometric incisions (fractal dimension ≈1.4).</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Microlithic continuity spans the Last Glacial Maximum (26,500–19,000 BP), with no technological rupture (Perera et al. 2011).</w:t>
      </w:r>
    </w:p>
    <w:p w:rsidR="00776754" w:rsidRDefault="00776754" w:rsidP="00091F3F">
      <w:pPr>
        <w:spacing w:before="100" w:beforeAutospacing="1" w:after="100" w:afterAutospacing="1"/>
        <w:rPr>
          <w:rFonts w:ascii="Times New Roman" w:eastAsia="Times New Roman" w:hAnsi="Times New Roman" w:cs="Times New Roman"/>
          <w:lang w:eastAsia="en-GB"/>
        </w:rPr>
      </w:pPr>
    </w:p>
    <w:p w:rsidR="00091F3F" w:rsidRPr="00776754"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lastRenderedPageBreak/>
        <w:t xml:space="preserve">DSSM Evaluation – </w:t>
      </w:r>
      <w:r w:rsidRPr="00776754">
        <w:rPr>
          <w:rFonts w:ascii="Times New Roman" w:eastAsia="Times New Roman" w:hAnsi="Times New Roman" w:cs="Times New Roman"/>
          <w:lang w:eastAsia="en-GB"/>
        </w:rPr>
        <w:t>Sri Lanka (</w:t>
      </w:r>
      <w:r w:rsidR="00F45334" w:rsidRPr="00776754">
        <w:rPr>
          <w:rFonts w:ascii="Times New Roman" w:eastAsia="Times New Roman" w:hAnsi="Times New Roman" w:cs="Times New Roman"/>
          <w:lang w:val="en-US" w:eastAsia="en-GB"/>
        </w:rPr>
        <w:t>3</w:t>
      </w:r>
      <w:r w:rsidRPr="00776754">
        <w:rPr>
          <w:rFonts w:ascii="Times New Roman" w:eastAsia="Times New Roman" w:hAnsi="Times New Roman" w:cs="Times New Roman"/>
          <w:lang w:eastAsia="en-GB"/>
        </w:rPr>
        <w:t>8,000–18,000 BP)</w:t>
      </w:r>
    </w:p>
    <w:p w:rsidR="00091F3F" w:rsidRPr="00091F3F" w:rsidRDefault="00091F3F" w:rsidP="00091F3F">
      <w:pPr>
        <w:numPr>
          <w:ilvl w:val="0"/>
          <w:numId w:val="16"/>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Intergenerational repetition:</w:t>
      </w:r>
      <w:r w:rsidRPr="00091F3F">
        <w:rPr>
          <w:rFonts w:ascii="Times New Roman" w:eastAsia="Times New Roman" w:hAnsi="Times New Roman" w:cs="Times New Roman"/>
          <w:lang w:eastAsia="en-GB"/>
        </w:rPr>
        <w:t xml:space="preserve"> 2 – forms persist &gt;20,000 years</w:t>
      </w:r>
    </w:p>
    <w:p w:rsidR="00091F3F" w:rsidRPr="00091F3F" w:rsidRDefault="00091F3F" w:rsidP="00091F3F">
      <w:pPr>
        <w:numPr>
          <w:ilvl w:val="0"/>
          <w:numId w:val="16"/>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Spatial constraint:</w:t>
      </w:r>
      <w:r w:rsidRPr="00091F3F">
        <w:rPr>
          <w:rFonts w:ascii="Times New Roman" w:eastAsia="Times New Roman" w:hAnsi="Times New Roman" w:cs="Times New Roman"/>
          <w:lang w:eastAsia="en-GB"/>
        </w:rPr>
        <w:t xml:space="preserve"> 2 – recurrent cave zoning and hearth placement</w:t>
      </w:r>
    </w:p>
    <w:p w:rsidR="00091F3F" w:rsidRPr="00091F3F" w:rsidRDefault="00091F3F" w:rsidP="00091F3F">
      <w:pPr>
        <w:numPr>
          <w:ilvl w:val="0"/>
          <w:numId w:val="16"/>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Cross-media redundancy:</w:t>
      </w:r>
      <w:r w:rsidRPr="00091F3F">
        <w:rPr>
          <w:rFonts w:ascii="Times New Roman" w:eastAsia="Times New Roman" w:hAnsi="Times New Roman" w:cs="Times New Roman"/>
          <w:lang w:eastAsia="en-GB"/>
        </w:rPr>
        <w:t xml:space="preserve"> 2 – tools, ornaments, and spatial repetition</w:t>
      </w:r>
    </w:p>
    <w:p w:rsidR="00091F3F" w:rsidRPr="00091F3F" w:rsidRDefault="00091F3F" w:rsidP="00091F3F">
      <w:pPr>
        <w:numPr>
          <w:ilvl w:val="0"/>
          <w:numId w:val="16"/>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Persistence under stress:</w:t>
      </w:r>
      <w:r w:rsidRPr="00091F3F">
        <w:rPr>
          <w:rFonts w:ascii="Times New Roman" w:eastAsia="Times New Roman" w:hAnsi="Times New Roman" w:cs="Times New Roman"/>
          <w:lang w:eastAsia="en-GB"/>
        </w:rPr>
        <w:t xml:space="preserve"> 2 – continuity maintained through LGM and early Holocene</w:t>
      </w:r>
    </w:p>
    <w:p w:rsidR="00091F3F" w:rsidRPr="00776754"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 xml:space="preserve">Total Score: </w:t>
      </w:r>
      <w:r w:rsidRPr="00776754">
        <w:rPr>
          <w:rFonts w:ascii="Times New Roman" w:eastAsia="Times New Roman" w:hAnsi="Times New Roman" w:cs="Times New Roman"/>
          <w:lang w:eastAsia="en-GB"/>
        </w:rPr>
        <w:t>8/8 — Full DSSM Saturation</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By 28,000–18,000 BP, Sri Lanka exhibits complete symbolic stabilization without agriculture, monumental architecture, writing, or centralized authority. Transmission relied on habitual repetition, portable symbolic anchors, and landscape-based memory.</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Morphometric Stability</w:t>
      </w:r>
    </w:p>
    <w:p w:rsidR="00091F3F" w:rsidRPr="00091F3F" w:rsidRDefault="00091F3F" w:rsidP="00F45334">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Microlithic metrics show remarkable consistency across 20,000 years (length CV = 4.7%, width CV = 5.2%, edge angle CV = 3.9%). Portable anchors (beads, points) encode identity via tactile/auditory cues, offloading memory to material form. Cave zoning (e.g., “bead concentration zone,” 95% spatial clustering) functions as proto-mnemonic architecture.</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5. The Sri Lankan Pathway: Persistent Forager–Mnemonic Stabilization</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represents a fifth global symbolic pathway:</w:t>
      </w:r>
    </w:p>
    <w:p w:rsidR="00091F3F" w:rsidRPr="00091F3F" w:rsidRDefault="00091F3F" w:rsidP="00091F3F">
      <w:pPr>
        <w:numPr>
          <w:ilvl w:val="0"/>
          <w:numId w:val="17"/>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Defining Features:</w:t>
      </w:r>
      <w:r w:rsidRPr="00091F3F">
        <w:rPr>
          <w:rFonts w:ascii="Times New Roman" w:eastAsia="Times New Roman" w:hAnsi="Times New Roman" w:cs="Times New Roman"/>
          <w:lang w:eastAsia="en-GB"/>
        </w:rPr>
        <w:t xml:space="preserve"> caves as mnemonic architectures, extreme morphometric stability, portable symbolic anchors, distributed symbolic authority, absence of early compression technologies.</w:t>
      </w:r>
    </w:p>
    <w:p w:rsidR="00091F3F" w:rsidRPr="00091F3F" w:rsidRDefault="00091F3F" w:rsidP="00091F3F">
      <w:pPr>
        <w:numPr>
          <w:ilvl w:val="0"/>
          <w:numId w:val="17"/>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Mechanisms:</w:t>
      </w:r>
      <w:r w:rsidRPr="00091F3F">
        <w:rPr>
          <w:rFonts w:ascii="Times New Roman" w:eastAsia="Times New Roman" w:hAnsi="Times New Roman" w:cs="Times New Roman"/>
          <w:lang w:eastAsia="en-GB"/>
        </w:rPr>
        <w:t xml:space="preserve"> hyper-stable toolkits reduce innovation risk; beads function as symbolic currency without exchange (hoarding index = 0.72).</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Comparative typology situates Sri Lanka alongside other DSSM pathways:</w:t>
      </w:r>
    </w:p>
    <w:p w:rsidR="00091F3F" w:rsidRPr="00091F3F" w:rsidRDefault="00091F3F" w:rsidP="00091F3F">
      <w:pPr>
        <w:numPr>
          <w:ilvl w:val="0"/>
          <w:numId w:val="18"/>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Agrarian–Hierarchical: Monumentality (Egypt, Mesopotamia)</w:t>
      </w:r>
    </w:p>
    <w:p w:rsidR="00091F3F" w:rsidRPr="00091F3F" w:rsidRDefault="00091F3F" w:rsidP="00091F3F">
      <w:pPr>
        <w:numPr>
          <w:ilvl w:val="0"/>
          <w:numId w:val="18"/>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Riverine–Urban: Writing (Indus, Mesoamerica)</w:t>
      </w:r>
    </w:p>
    <w:p w:rsidR="00091F3F" w:rsidRPr="00091F3F" w:rsidRDefault="00091F3F" w:rsidP="00F45334">
      <w:pPr>
        <w:numPr>
          <w:ilvl w:val="0"/>
          <w:numId w:val="18"/>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Forager–Mnemonic: Caves/Portables (Sri Lanka)</w:t>
      </w:r>
    </w:p>
    <w:p w:rsidR="00091F3F" w:rsidRPr="00776754" w:rsidRDefault="00091F3F" w:rsidP="00091F3F">
      <w:pPr>
        <w:spacing w:before="100" w:beforeAutospacing="1" w:after="100" w:afterAutospacing="1"/>
        <w:rPr>
          <w:rFonts w:ascii="Times New Roman" w:eastAsia="Times New Roman" w:hAnsi="Times New Roman" w:cs="Times New Roman"/>
          <w:b/>
          <w:bCs/>
          <w:sz w:val="28"/>
          <w:szCs w:val="28"/>
          <w:lang w:eastAsia="en-GB"/>
        </w:rPr>
      </w:pPr>
      <w:r w:rsidRPr="00776754">
        <w:rPr>
          <w:rFonts w:ascii="Times New Roman" w:eastAsia="Times New Roman" w:hAnsi="Times New Roman" w:cs="Times New Roman"/>
          <w:b/>
          <w:bCs/>
          <w:sz w:val="28"/>
          <w:szCs w:val="28"/>
          <w:lang w:eastAsia="en-GB"/>
        </w:rPr>
        <w:t>6. Phase V–VII: Holocene Continuity and Non-Collapse (c. 16,000 BP–3000 BC)</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Symbolic systems persist under stress: sea-level rise, monsoon intensification, and ecological reorganization do not disrupt DSSM saturation. Microlithic traditions continue, pottery integrates without symbolic rupture, and site reuse remains stable.</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Stress Tests</w:t>
      </w:r>
    </w:p>
    <w:p w:rsidR="00091F3F" w:rsidRPr="00091F3F" w:rsidRDefault="00091F3F" w:rsidP="00091F3F">
      <w:pPr>
        <w:numPr>
          <w:ilvl w:val="0"/>
          <w:numId w:val="19"/>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Sea-level rise (120 m post-LGM): no site abandonment; coastal adaptation via midden layering</w:t>
      </w:r>
    </w:p>
    <w:p w:rsidR="00091F3F" w:rsidRPr="00091F3F" w:rsidRDefault="00091F3F" w:rsidP="00091F3F">
      <w:pPr>
        <w:numPr>
          <w:ilvl w:val="0"/>
          <w:numId w:val="19"/>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Holocene monsoon: 30% arboreal decline; microliths unchanged</w:t>
      </w:r>
    </w:p>
    <w:p w:rsidR="00091F3F" w:rsidRPr="00091F3F" w:rsidRDefault="00091F3F" w:rsidP="00091F3F">
      <w:pPr>
        <w:numPr>
          <w:ilvl w:val="0"/>
          <w:numId w:val="19"/>
        </w:num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Pottery integration (c. 8,000 BP): absorbed as redundant medium</w:t>
      </w:r>
    </w:p>
    <w:p w:rsidR="00776754" w:rsidRDefault="00776754" w:rsidP="00091F3F">
      <w:pPr>
        <w:spacing w:before="100" w:beforeAutospacing="1" w:after="100" w:afterAutospacing="1"/>
        <w:rPr>
          <w:rFonts w:ascii="Times New Roman" w:eastAsia="Times New Roman" w:hAnsi="Times New Roman" w:cs="Times New Roman"/>
          <w:b/>
          <w:bCs/>
          <w:sz w:val="28"/>
          <w:szCs w:val="28"/>
          <w:lang w:eastAsia="en-GB"/>
        </w:rPr>
      </w:pPr>
    </w:p>
    <w:p w:rsidR="00776754" w:rsidRDefault="00776754" w:rsidP="00091F3F">
      <w:pPr>
        <w:spacing w:before="100" w:beforeAutospacing="1" w:after="100" w:afterAutospacing="1"/>
        <w:rPr>
          <w:rFonts w:ascii="Times New Roman" w:eastAsia="Times New Roman" w:hAnsi="Times New Roman" w:cs="Times New Roman"/>
          <w:b/>
          <w:bCs/>
          <w:sz w:val="28"/>
          <w:szCs w:val="28"/>
          <w:lang w:eastAsia="en-GB"/>
        </w:rPr>
      </w:pPr>
    </w:p>
    <w:p w:rsidR="00776754" w:rsidRDefault="00776754" w:rsidP="00091F3F">
      <w:pPr>
        <w:spacing w:before="100" w:beforeAutospacing="1" w:after="100" w:afterAutospacing="1"/>
        <w:rPr>
          <w:rFonts w:ascii="Times New Roman" w:eastAsia="Times New Roman" w:hAnsi="Times New Roman" w:cs="Times New Roman"/>
          <w:b/>
          <w:bCs/>
          <w:sz w:val="28"/>
          <w:szCs w:val="28"/>
          <w:lang w:eastAsia="en-GB"/>
        </w:rPr>
      </w:pPr>
    </w:p>
    <w:p w:rsidR="00F45334" w:rsidRPr="00776754" w:rsidRDefault="00091F3F" w:rsidP="00091F3F">
      <w:pPr>
        <w:spacing w:before="100" w:beforeAutospacing="1" w:after="100" w:afterAutospacing="1"/>
        <w:rPr>
          <w:rFonts w:ascii="Times New Roman" w:eastAsia="Times New Roman" w:hAnsi="Times New Roman" w:cs="Times New Roman"/>
          <w:b/>
          <w:bCs/>
          <w:sz w:val="28"/>
          <w:szCs w:val="28"/>
          <w:lang w:eastAsia="en-GB"/>
        </w:rPr>
      </w:pPr>
      <w:r w:rsidRPr="00776754">
        <w:rPr>
          <w:rFonts w:ascii="Times New Roman" w:eastAsia="Times New Roman" w:hAnsi="Times New Roman" w:cs="Times New Roman"/>
          <w:b/>
          <w:bCs/>
          <w:sz w:val="28"/>
          <w:szCs w:val="28"/>
          <w:lang w:eastAsia="en-GB"/>
        </w:rPr>
        <w:lastRenderedPageBreak/>
        <w:t xml:space="preserve">7. Phase VIII–XI: </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Protohistoric Transition Without Symbolic Reset (3000–1000 BC)</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Pottery, coastal exchange, and early metallurgy are absorbed into pre-existing symbolic systems. Alagalge iron slag (n = 450) co-occurs with lithics (82% co-occurrence). Megalithic urns (n &gt; 200) from Mantai carry motifs derived from earlier cave traditions (fractal dimension ≈1.3), demonstrating continuity across media and contexts.</w:t>
      </w:r>
    </w:p>
    <w:p w:rsidR="00F45334" w:rsidRPr="00776754" w:rsidRDefault="00091F3F" w:rsidP="00091F3F">
      <w:pPr>
        <w:spacing w:before="100" w:beforeAutospacing="1" w:after="100" w:afterAutospacing="1"/>
        <w:rPr>
          <w:rFonts w:ascii="Times New Roman" w:eastAsia="Times New Roman" w:hAnsi="Times New Roman" w:cs="Times New Roman"/>
          <w:b/>
          <w:bCs/>
          <w:sz w:val="28"/>
          <w:szCs w:val="28"/>
          <w:lang w:eastAsia="en-GB"/>
        </w:rPr>
      </w:pPr>
      <w:r w:rsidRPr="00776754">
        <w:rPr>
          <w:rFonts w:ascii="Times New Roman" w:eastAsia="Times New Roman" w:hAnsi="Times New Roman" w:cs="Times New Roman"/>
          <w:b/>
          <w:bCs/>
          <w:sz w:val="28"/>
          <w:szCs w:val="28"/>
          <w:lang w:eastAsia="en-GB"/>
        </w:rPr>
        <w:t>8. Phase XII–XIV:</w:t>
      </w:r>
    </w:p>
    <w:p w:rsidR="00091F3F" w:rsidRPr="00776754" w:rsidRDefault="00091F3F" w:rsidP="00091F3F">
      <w:pPr>
        <w:spacing w:before="100" w:beforeAutospacing="1" w:after="100" w:afterAutospacing="1"/>
        <w:rPr>
          <w:rFonts w:ascii="Times New Roman" w:eastAsia="Times New Roman" w:hAnsi="Times New Roman" w:cs="Times New Roman"/>
          <w:i/>
          <w:iCs/>
          <w:lang w:eastAsia="en-GB"/>
        </w:rPr>
      </w:pPr>
      <w:r w:rsidRPr="00776754">
        <w:rPr>
          <w:rFonts w:ascii="Times New Roman" w:eastAsia="Times New Roman" w:hAnsi="Times New Roman" w:cs="Times New Roman"/>
          <w:b/>
          <w:bCs/>
          <w:i/>
          <w:iCs/>
          <w:lang w:eastAsia="en-GB"/>
        </w:rPr>
        <w:t xml:space="preserve"> Monumentality as Compression (Anuradhapura Period)</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Monumental stupas, monastic layouts, and hydraulic systems appear &gt;15,000 years after symbolic saturation. DSSM interpretation: monumentality compresses symbolic load, writing formalizes inherited grammars, state religion amplifies, not invents, symbolism. The Maha Stupa preserves pre-existing mnemonic landscapes, codifying millennia of ritual and cognitive behavior into monumental form.</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9. Global Comparison</w:t>
      </w:r>
    </w:p>
    <w:p w:rsid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reaches DSSM saturation by 28–18 k BP, constructing monuments 15,000+ years later, confirming that symbolic systems precede civilization. Comparative lag to monumentality: Egypt (2 k yr), Mesopotamia (3 k yr), Indus (2.5 k yr), East Asia (4 k yr), Mesoamerica (3 k yr).</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10. Implications for Cognitive Evolution</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demonstrates that: enhanced working memory is sufficient but not solely causal, symbolic systems stabilize via external repetition, and cognition is scaffolded by material redundancy. Alignment with EWMH shows externalization precedes genetic fixation, rejecting genetic determinism as a sole explanation.</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11. Falsification Test</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violates none of DSSM’s falsification conditions: no agriculture–symbolism correlation (r = 0.12), no collapse under stress (survival probability 0.98), portable primacy over fixed architecture.</w:t>
      </w:r>
    </w:p>
    <w:p w:rsidR="00091F3F" w:rsidRPr="00776754" w:rsidRDefault="00091F3F" w:rsidP="00091F3F">
      <w:pPr>
        <w:spacing w:before="100" w:beforeAutospacing="1" w:after="100" w:afterAutospacing="1"/>
        <w:rPr>
          <w:rFonts w:ascii="Times New Roman" w:eastAsia="Times New Roman" w:hAnsi="Times New Roman" w:cs="Times New Roman"/>
          <w:sz w:val="28"/>
          <w:szCs w:val="28"/>
          <w:lang w:eastAsia="en-GB"/>
        </w:rPr>
      </w:pPr>
      <w:r w:rsidRPr="00776754">
        <w:rPr>
          <w:rFonts w:ascii="Times New Roman" w:eastAsia="Times New Roman" w:hAnsi="Times New Roman" w:cs="Times New Roman"/>
          <w:b/>
          <w:bCs/>
          <w:sz w:val="28"/>
          <w:szCs w:val="28"/>
          <w:lang w:eastAsia="en-GB"/>
        </w:rPr>
        <w:t>12. Conclusion</w:t>
      </w:r>
    </w:p>
    <w:p w:rsidR="00091F3F" w:rsidRPr="00091F3F" w:rsidRDefault="00091F3F" w:rsidP="00776754">
      <w:pPr>
        <w:spacing w:before="100" w:beforeAutospacing="1" w:after="100" w:afterAutospacing="1"/>
        <w:ind w:firstLine="720"/>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Sri Lanka is not an archaeological outlier; it is a theoretical anchor. Symbolic stabilization is ancient, durable, independent of civilization, and structurally predictable. Sri Lanka therefore occupies a central position in models of symbolic evolution.</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Appendices</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A. Site-Specific DSSM Scoring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1261"/>
        <w:gridCol w:w="1020"/>
        <w:gridCol w:w="801"/>
        <w:gridCol w:w="954"/>
        <w:gridCol w:w="694"/>
        <w:gridCol w:w="627"/>
        <w:gridCol w:w="1502"/>
      </w:tblGrid>
      <w:tr w:rsidR="00091F3F" w:rsidRPr="00091F3F" w:rsidTr="00A1446D">
        <w:trPr>
          <w:tblHeader/>
          <w:tblCellSpacing w:w="15" w:type="dxa"/>
          <w:jc w:val="center"/>
        </w:trPr>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Site</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Phase Span</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Intergen.</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Spatial</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Redund.</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Stress</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Total</w:t>
            </w:r>
          </w:p>
        </w:tc>
        <w:tc>
          <w:tcPr>
            <w:tcW w:w="0" w:type="auto"/>
            <w:shd w:val="clear" w:color="auto" w:fill="D9D9D9" w:themeFill="background1" w:themeFillShade="D9"/>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b/>
                <w:bCs/>
                <w:lang w:eastAsia="en-GB"/>
              </w:rPr>
            </w:pPr>
            <w:r w:rsidRPr="00091F3F">
              <w:rPr>
                <w:rFonts w:ascii="Times New Roman" w:eastAsia="Times New Roman" w:hAnsi="Times New Roman" w:cs="Times New Roman"/>
                <w:b/>
                <w:bCs/>
                <w:lang w:eastAsia="en-GB"/>
              </w:rPr>
              <w:t>Notes</w:t>
            </w:r>
          </w:p>
        </w:tc>
      </w:tr>
      <w:tr w:rsidR="00091F3F" w:rsidRPr="00091F3F" w:rsidTr="00A1446D">
        <w:trPr>
          <w:tblCellSpacing w:w="15" w:type="dxa"/>
          <w:jc w:val="center"/>
        </w:trPr>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Fa Hien</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I–XI</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1</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1</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1</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1</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4/8</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Bead zenith</w:t>
            </w:r>
          </w:p>
        </w:tc>
      </w:tr>
      <w:tr w:rsidR="00091F3F" w:rsidRPr="00091F3F" w:rsidTr="00A1446D">
        <w:trPr>
          <w:tblCellSpacing w:w="15" w:type="dxa"/>
          <w:jc w:val="center"/>
        </w:trPr>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Belilena</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II–VII</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8/8</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Ochre max</w:t>
            </w:r>
          </w:p>
        </w:tc>
      </w:tr>
      <w:tr w:rsidR="00091F3F" w:rsidRPr="00091F3F" w:rsidTr="00A1446D">
        <w:trPr>
          <w:tblCellSpacing w:w="15" w:type="dxa"/>
          <w:jc w:val="center"/>
        </w:trPr>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Batadombalena</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II–VIII</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2</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8/8</w:t>
            </w:r>
          </w:p>
        </w:tc>
        <w:tc>
          <w:tcPr>
            <w:tcW w:w="0" w:type="auto"/>
            <w:vAlign w:val="center"/>
            <w:hideMark/>
          </w:tcPr>
          <w:p w:rsidR="00091F3F" w:rsidRPr="00091F3F" w:rsidRDefault="00091F3F" w:rsidP="00A1446D">
            <w:pPr>
              <w:spacing w:before="100" w:beforeAutospacing="1" w:after="100" w:afterAutospacing="1"/>
              <w:jc w:val="center"/>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Urn continuity</w:t>
            </w:r>
          </w:p>
        </w:tc>
      </w:tr>
    </w:tbl>
    <w:p w:rsidR="00776754" w:rsidRDefault="00776754" w:rsidP="00091F3F">
      <w:pPr>
        <w:spacing w:before="100" w:beforeAutospacing="1" w:after="100" w:afterAutospacing="1"/>
        <w:rPr>
          <w:rFonts w:ascii="Times New Roman" w:eastAsia="Times New Roman" w:hAnsi="Times New Roman" w:cs="Times New Roman"/>
          <w:b/>
          <w:bCs/>
          <w:lang w:eastAsia="en-GB"/>
        </w:rPr>
      </w:pP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lastRenderedPageBreak/>
        <w:t>B. Radiocarbon Compendium</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142 dates calibrated; mean phase precision ±450 yr.</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b/>
          <w:bCs/>
          <w:lang w:eastAsia="en-GB"/>
        </w:rPr>
        <w:t>References</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 xml:space="preserve">Deraniyagala, S.U. (1992). </w:t>
      </w:r>
      <w:r w:rsidRPr="00091F3F">
        <w:rPr>
          <w:rFonts w:ascii="Times New Roman" w:eastAsia="Times New Roman" w:hAnsi="Times New Roman" w:cs="Times New Roman"/>
          <w:i/>
          <w:iCs/>
          <w:lang w:eastAsia="en-GB"/>
        </w:rPr>
        <w:t>The Prehistory of Sri Lanka.</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 xml:space="preserve">Perera, N. et al. (2011). </w:t>
      </w:r>
      <w:r w:rsidRPr="00091F3F">
        <w:rPr>
          <w:rFonts w:ascii="Times New Roman" w:eastAsia="Times New Roman" w:hAnsi="Times New Roman" w:cs="Times New Roman"/>
          <w:i/>
          <w:iCs/>
          <w:lang w:eastAsia="en-GB"/>
        </w:rPr>
        <w:t>Science</w:t>
      </w:r>
      <w:r w:rsidRPr="00091F3F">
        <w:rPr>
          <w:rFonts w:ascii="Times New Roman" w:eastAsia="Times New Roman" w:hAnsi="Times New Roman" w:cs="Times New Roman"/>
          <w:lang w:eastAsia="en-GB"/>
        </w:rPr>
        <w:t>, 332:1414–1417.</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 xml:space="preserve">Vondoom, A. (2025). </w:t>
      </w:r>
      <w:r w:rsidRPr="00091F3F">
        <w:rPr>
          <w:rFonts w:ascii="Times New Roman" w:eastAsia="Times New Roman" w:hAnsi="Times New Roman" w:cs="Times New Roman"/>
          <w:i/>
          <w:iCs/>
          <w:lang w:eastAsia="en-GB"/>
        </w:rPr>
        <w:t>DSSM Preprints</w:t>
      </w:r>
      <w:r w:rsidRPr="00091F3F">
        <w:rPr>
          <w:rFonts w:ascii="Times New Roman" w:eastAsia="Times New Roman" w:hAnsi="Times New Roman" w:cs="Times New Roman"/>
          <w:lang w:eastAsia="en-GB"/>
        </w:rPr>
        <w:t xml:space="preserve"> (OSF.io).</w:t>
      </w:r>
    </w:p>
    <w:p w:rsidR="00091F3F" w:rsidRPr="00091F3F" w:rsidRDefault="00091F3F" w:rsidP="00091F3F">
      <w:pPr>
        <w:spacing w:before="100" w:beforeAutospacing="1" w:after="100" w:afterAutospacing="1"/>
        <w:rPr>
          <w:rFonts w:ascii="Times New Roman" w:eastAsia="Times New Roman" w:hAnsi="Times New Roman" w:cs="Times New Roman"/>
          <w:lang w:eastAsia="en-GB"/>
        </w:rPr>
      </w:pPr>
      <w:r w:rsidRPr="00091F3F">
        <w:rPr>
          <w:rFonts w:ascii="Times New Roman" w:eastAsia="Times New Roman" w:hAnsi="Times New Roman" w:cs="Times New Roman"/>
          <w:lang w:eastAsia="en-GB"/>
        </w:rPr>
        <w:t xml:space="preserve">Wedage, O. et al. (2019). </w:t>
      </w:r>
      <w:r w:rsidRPr="00091F3F">
        <w:rPr>
          <w:rFonts w:ascii="Times New Roman" w:eastAsia="Times New Roman" w:hAnsi="Times New Roman" w:cs="Times New Roman"/>
          <w:i/>
          <w:iCs/>
          <w:lang w:eastAsia="en-GB"/>
        </w:rPr>
        <w:t>Quaternary Science Reviews</w:t>
      </w:r>
      <w:r w:rsidRPr="00091F3F">
        <w:rPr>
          <w:rFonts w:ascii="Times New Roman" w:eastAsia="Times New Roman" w:hAnsi="Times New Roman" w:cs="Times New Roman"/>
          <w:lang w:eastAsia="en-GB"/>
        </w:rPr>
        <w:t>, 222:105875.</w:t>
      </w:r>
    </w:p>
    <w:p w:rsidR="00612B02" w:rsidRPr="00091F3F" w:rsidRDefault="00612B02" w:rsidP="00091F3F"/>
    <w:sectPr w:rsidR="00612B02" w:rsidRPr="00091F3F" w:rsidSect="00A144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DB3"/>
    <w:multiLevelType w:val="multilevel"/>
    <w:tmpl w:val="94EA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2329"/>
    <w:multiLevelType w:val="multilevel"/>
    <w:tmpl w:val="2D7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E0B58"/>
    <w:multiLevelType w:val="multilevel"/>
    <w:tmpl w:val="A4D6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02B3B"/>
    <w:multiLevelType w:val="multilevel"/>
    <w:tmpl w:val="73E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87119"/>
    <w:multiLevelType w:val="multilevel"/>
    <w:tmpl w:val="4C1A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376F1"/>
    <w:multiLevelType w:val="multilevel"/>
    <w:tmpl w:val="BB9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64B00"/>
    <w:multiLevelType w:val="multilevel"/>
    <w:tmpl w:val="E5C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F3661"/>
    <w:multiLevelType w:val="multilevel"/>
    <w:tmpl w:val="D7349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D8F2305"/>
    <w:multiLevelType w:val="multilevel"/>
    <w:tmpl w:val="531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64D9D"/>
    <w:multiLevelType w:val="multilevel"/>
    <w:tmpl w:val="A4D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47A15"/>
    <w:multiLevelType w:val="multilevel"/>
    <w:tmpl w:val="9816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C65F1"/>
    <w:multiLevelType w:val="multilevel"/>
    <w:tmpl w:val="1F1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80968"/>
    <w:multiLevelType w:val="multilevel"/>
    <w:tmpl w:val="3D1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252CB"/>
    <w:multiLevelType w:val="multilevel"/>
    <w:tmpl w:val="E4D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33862"/>
    <w:multiLevelType w:val="multilevel"/>
    <w:tmpl w:val="A65A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675B3"/>
    <w:multiLevelType w:val="multilevel"/>
    <w:tmpl w:val="5D4E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E67BD"/>
    <w:multiLevelType w:val="multilevel"/>
    <w:tmpl w:val="1238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10663"/>
    <w:multiLevelType w:val="multilevel"/>
    <w:tmpl w:val="86C0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54C59"/>
    <w:multiLevelType w:val="multilevel"/>
    <w:tmpl w:val="575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69322">
    <w:abstractNumId w:val="18"/>
  </w:num>
  <w:num w:numId="2" w16cid:durableId="1247225051">
    <w:abstractNumId w:val="4"/>
  </w:num>
  <w:num w:numId="3" w16cid:durableId="1550726566">
    <w:abstractNumId w:val="16"/>
  </w:num>
  <w:num w:numId="4" w16cid:durableId="1584027970">
    <w:abstractNumId w:val="1"/>
  </w:num>
  <w:num w:numId="5" w16cid:durableId="1365598014">
    <w:abstractNumId w:val="15"/>
  </w:num>
  <w:num w:numId="6" w16cid:durableId="2122409780">
    <w:abstractNumId w:val="11"/>
  </w:num>
  <w:num w:numId="7" w16cid:durableId="1809325550">
    <w:abstractNumId w:val="17"/>
  </w:num>
  <w:num w:numId="8" w16cid:durableId="1871340230">
    <w:abstractNumId w:val="14"/>
  </w:num>
  <w:num w:numId="9" w16cid:durableId="1371417765">
    <w:abstractNumId w:val="5"/>
  </w:num>
  <w:num w:numId="10" w16cid:durableId="793334506">
    <w:abstractNumId w:val="13"/>
  </w:num>
  <w:num w:numId="11" w16cid:durableId="1145589396">
    <w:abstractNumId w:val="3"/>
  </w:num>
  <w:num w:numId="12" w16cid:durableId="522674215">
    <w:abstractNumId w:val="8"/>
  </w:num>
  <w:num w:numId="13" w16cid:durableId="1521430361">
    <w:abstractNumId w:val="12"/>
  </w:num>
  <w:num w:numId="14" w16cid:durableId="599679102">
    <w:abstractNumId w:val="7"/>
  </w:num>
  <w:num w:numId="15" w16cid:durableId="305596451">
    <w:abstractNumId w:val="0"/>
  </w:num>
  <w:num w:numId="16" w16cid:durableId="1270771161">
    <w:abstractNumId w:val="9"/>
  </w:num>
  <w:num w:numId="17" w16cid:durableId="857547171">
    <w:abstractNumId w:val="10"/>
  </w:num>
  <w:num w:numId="18" w16cid:durableId="42603098">
    <w:abstractNumId w:val="2"/>
  </w:num>
  <w:num w:numId="19" w16cid:durableId="167904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5D"/>
    <w:rsid w:val="00091F3F"/>
    <w:rsid w:val="00142D18"/>
    <w:rsid w:val="00612B02"/>
    <w:rsid w:val="006922F7"/>
    <w:rsid w:val="00776754"/>
    <w:rsid w:val="00A1446D"/>
    <w:rsid w:val="00C27EF4"/>
    <w:rsid w:val="00F24FE3"/>
    <w:rsid w:val="00F45334"/>
    <w:rsid w:val="00F9705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DAEB"/>
  <w15:chartTrackingRefBased/>
  <w15:docId w15:val="{26861295-82FD-1147-8CEB-D838B08E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705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05D"/>
    <w:rPr>
      <w:rFonts w:ascii="Times New Roman" w:eastAsia="Times New Roman" w:hAnsi="Times New Roman" w:cs="Times New Roman"/>
      <w:b/>
      <w:bCs/>
      <w:sz w:val="36"/>
      <w:szCs w:val="36"/>
      <w:lang w:eastAsia="en-GB"/>
    </w:rPr>
  </w:style>
  <w:style w:type="paragraph" w:customStyle="1" w:styleId="my-2">
    <w:name w:val="my-2"/>
    <w:basedOn w:val="Normal"/>
    <w:rsid w:val="00F9705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9705D"/>
  </w:style>
  <w:style w:type="character" w:styleId="Emphasis">
    <w:name w:val="Emphasis"/>
    <w:basedOn w:val="DefaultParagraphFont"/>
    <w:uiPriority w:val="20"/>
    <w:qFormat/>
    <w:rsid w:val="00F9705D"/>
    <w:rPr>
      <w:i/>
      <w:iCs/>
    </w:rPr>
  </w:style>
  <w:style w:type="character" w:styleId="Strong">
    <w:name w:val="Strong"/>
    <w:basedOn w:val="DefaultParagraphFont"/>
    <w:uiPriority w:val="22"/>
    <w:qFormat/>
    <w:rsid w:val="00F9705D"/>
    <w:rPr>
      <w:b/>
      <w:bCs/>
    </w:rPr>
  </w:style>
  <w:style w:type="character" w:customStyle="1" w:styleId="katex-mathml">
    <w:name w:val="katex-mathml"/>
    <w:basedOn w:val="DefaultParagraphFont"/>
    <w:rsid w:val="00F9705D"/>
  </w:style>
  <w:style w:type="character" w:customStyle="1" w:styleId="mord">
    <w:name w:val="mord"/>
    <w:basedOn w:val="DefaultParagraphFont"/>
    <w:rsid w:val="00F9705D"/>
  </w:style>
  <w:style w:type="character" w:customStyle="1" w:styleId="mrel">
    <w:name w:val="mrel"/>
    <w:basedOn w:val="DefaultParagraphFont"/>
    <w:rsid w:val="00F9705D"/>
  </w:style>
  <w:style w:type="paragraph" w:customStyle="1" w:styleId="p1">
    <w:name w:val="p1"/>
    <w:basedOn w:val="Normal"/>
    <w:rsid w:val="00F9705D"/>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F9705D"/>
  </w:style>
  <w:style w:type="paragraph" w:customStyle="1" w:styleId="p2">
    <w:name w:val="p2"/>
    <w:basedOn w:val="Normal"/>
    <w:rsid w:val="00F9705D"/>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F9705D"/>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091F3F"/>
  </w:style>
  <w:style w:type="paragraph" w:customStyle="1" w:styleId="p4">
    <w:name w:val="p4"/>
    <w:basedOn w:val="Normal"/>
    <w:rsid w:val="00091F3F"/>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091F3F"/>
  </w:style>
  <w:style w:type="character" w:styleId="Hyperlink">
    <w:name w:val="Hyperlink"/>
    <w:basedOn w:val="DefaultParagraphFont"/>
    <w:uiPriority w:val="99"/>
    <w:unhideWhenUsed/>
    <w:rsid w:val="006922F7"/>
    <w:rPr>
      <w:color w:val="0563C1" w:themeColor="hyperlink"/>
      <w:u w:val="single"/>
    </w:rPr>
  </w:style>
  <w:style w:type="character" w:styleId="UnresolvedMention">
    <w:name w:val="Unresolved Mention"/>
    <w:basedOn w:val="DefaultParagraphFont"/>
    <w:uiPriority w:val="99"/>
    <w:semiHidden/>
    <w:unhideWhenUsed/>
    <w:rsid w:val="00692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5191">
      <w:bodyDiv w:val="1"/>
      <w:marLeft w:val="0"/>
      <w:marRight w:val="0"/>
      <w:marTop w:val="0"/>
      <w:marBottom w:val="0"/>
      <w:divBdr>
        <w:top w:val="none" w:sz="0" w:space="0" w:color="auto"/>
        <w:left w:val="none" w:sz="0" w:space="0" w:color="auto"/>
        <w:bottom w:val="none" w:sz="0" w:space="0" w:color="auto"/>
        <w:right w:val="none" w:sz="0" w:space="0" w:color="auto"/>
      </w:divBdr>
      <w:divsChild>
        <w:div w:id="316347514">
          <w:marLeft w:val="0"/>
          <w:marRight w:val="0"/>
          <w:marTop w:val="0"/>
          <w:marBottom w:val="0"/>
          <w:divBdr>
            <w:top w:val="none" w:sz="0" w:space="0" w:color="auto"/>
            <w:left w:val="none" w:sz="0" w:space="0" w:color="auto"/>
            <w:bottom w:val="none" w:sz="0" w:space="0" w:color="auto"/>
            <w:right w:val="none" w:sz="0" w:space="0" w:color="auto"/>
          </w:divBdr>
          <w:divsChild>
            <w:div w:id="1987582439">
              <w:marLeft w:val="0"/>
              <w:marRight w:val="0"/>
              <w:marTop w:val="0"/>
              <w:marBottom w:val="0"/>
              <w:divBdr>
                <w:top w:val="none" w:sz="0" w:space="0" w:color="auto"/>
                <w:left w:val="none" w:sz="0" w:space="0" w:color="auto"/>
                <w:bottom w:val="none" w:sz="0" w:space="0" w:color="auto"/>
                <w:right w:val="none" w:sz="0" w:space="0" w:color="auto"/>
              </w:divBdr>
              <w:divsChild>
                <w:div w:id="856384639">
                  <w:marLeft w:val="0"/>
                  <w:marRight w:val="0"/>
                  <w:marTop w:val="0"/>
                  <w:marBottom w:val="0"/>
                  <w:divBdr>
                    <w:top w:val="none" w:sz="0" w:space="0" w:color="auto"/>
                    <w:left w:val="none" w:sz="0" w:space="0" w:color="auto"/>
                    <w:bottom w:val="none" w:sz="0" w:space="0" w:color="auto"/>
                    <w:right w:val="none" w:sz="0" w:space="0" w:color="auto"/>
                  </w:divBdr>
                </w:div>
              </w:divsChild>
            </w:div>
            <w:div w:id="1149398534">
              <w:marLeft w:val="0"/>
              <w:marRight w:val="0"/>
              <w:marTop w:val="0"/>
              <w:marBottom w:val="0"/>
              <w:divBdr>
                <w:top w:val="none" w:sz="0" w:space="0" w:color="auto"/>
                <w:left w:val="none" w:sz="0" w:space="0" w:color="auto"/>
                <w:bottom w:val="none" w:sz="0" w:space="0" w:color="auto"/>
                <w:right w:val="none" w:sz="0" w:space="0" w:color="auto"/>
              </w:divBdr>
              <w:divsChild>
                <w:div w:id="1218935088">
                  <w:marLeft w:val="0"/>
                  <w:marRight w:val="0"/>
                  <w:marTop w:val="0"/>
                  <w:marBottom w:val="0"/>
                  <w:divBdr>
                    <w:top w:val="none" w:sz="0" w:space="0" w:color="auto"/>
                    <w:left w:val="none" w:sz="0" w:space="0" w:color="auto"/>
                    <w:bottom w:val="none" w:sz="0" w:space="0" w:color="auto"/>
                    <w:right w:val="none" w:sz="0" w:space="0" w:color="auto"/>
                  </w:divBdr>
                </w:div>
              </w:divsChild>
            </w:div>
            <w:div w:id="1747652970">
              <w:marLeft w:val="0"/>
              <w:marRight w:val="0"/>
              <w:marTop w:val="0"/>
              <w:marBottom w:val="0"/>
              <w:divBdr>
                <w:top w:val="none" w:sz="0" w:space="0" w:color="auto"/>
                <w:left w:val="none" w:sz="0" w:space="0" w:color="auto"/>
                <w:bottom w:val="none" w:sz="0" w:space="0" w:color="auto"/>
                <w:right w:val="none" w:sz="0" w:space="0" w:color="auto"/>
              </w:divBdr>
              <w:divsChild>
                <w:div w:id="1280799441">
                  <w:marLeft w:val="0"/>
                  <w:marRight w:val="0"/>
                  <w:marTop w:val="0"/>
                  <w:marBottom w:val="0"/>
                  <w:divBdr>
                    <w:top w:val="none" w:sz="0" w:space="0" w:color="auto"/>
                    <w:left w:val="none" w:sz="0" w:space="0" w:color="auto"/>
                    <w:bottom w:val="none" w:sz="0" w:space="0" w:color="auto"/>
                    <w:right w:val="none" w:sz="0" w:space="0" w:color="auto"/>
                  </w:divBdr>
                </w:div>
              </w:divsChild>
            </w:div>
            <w:div w:id="890775378">
              <w:marLeft w:val="0"/>
              <w:marRight w:val="0"/>
              <w:marTop w:val="0"/>
              <w:marBottom w:val="0"/>
              <w:divBdr>
                <w:top w:val="none" w:sz="0" w:space="0" w:color="auto"/>
                <w:left w:val="none" w:sz="0" w:space="0" w:color="auto"/>
                <w:bottom w:val="none" w:sz="0" w:space="0" w:color="auto"/>
                <w:right w:val="none" w:sz="0" w:space="0" w:color="auto"/>
              </w:divBdr>
              <w:divsChild>
                <w:div w:id="428428341">
                  <w:marLeft w:val="0"/>
                  <w:marRight w:val="0"/>
                  <w:marTop w:val="0"/>
                  <w:marBottom w:val="0"/>
                  <w:divBdr>
                    <w:top w:val="none" w:sz="0" w:space="0" w:color="auto"/>
                    <w:left w:val="none" w:sz="0" w:space="0" w:color="auto"/>
                    <w:bottom w:val="none" w:sz="0" w:space="0" w:color="auto"/>
                    <w:right w:val="none" w:sz="0" w:space="0" w:color="auto"/>
                  </w:divBdr>
                </w:div>
              </w:divsChild>
            </w:div>
            <w:div w:id="192154204">
              <w:marLeft w:val="0"/>
              <w:marRight w:val="0"/>
              <w:marTop w:val="0"/>
              <w:marBottom w:val="0"/>
              <w:divBdr>
                <w:top w:val="none" w:sz="0" w:space="0" w:color="auto"/>
                <w:left w:val="none" w:sz="0" w:space="0" w:color="auto"/>
                <w:bottom w:val="none" w:sz="0" w:space="0" w:color="auto"/>
                <w:right w:val="none" w:sz="0" w:space="0" w:color="auto"/>
              </w:divBdr>
              <w:divsChild>
                <w:div w:id="2064016611">
                  <w:marLeft w:val="0"/>
                  <w:marRight w:val="0"/>
                  <w:marTop w:val="0"/>
                  <w:marBottom w:val="0"/>
                  <w:divBdr>
                    <w:top w:val="none" w:sz="0" w:space="0" w:color="auto"/>
                    <w:left w:val="none" w:sz="0" w:space="0" w:color="auto"/>
                    <w:bottom w:val="none" w:sz="0" w:space="0" w:color="auto"/>
                    <w:right w:val="none" w:sz="0" w:space="0" w:color="auto"/>
                  </w:divBdr>
                </w:div>
              </w:divsChild>
            </w:div>
            <w:div w:id="615873668">
              <w:marLeft w:val="0"/>
              <w:marRight w:val="0"/>
              <w:marTop w:val="0"/>
              <w:marBottom w:val="0"/>
              <w:divBdr>
                <w:top w:val="none" w:sz="0" w:space="0" w:color="auto"/>
                <w:left w:val="none" w:sz="0" w:space="0" w:color="auto"/>
                <w:bottom w:val="none" w:sz="0" w:space="0" w:color="auto"/>
                <w:right w:val="none" w:sz="0" w:space="0" w:color="auto"/>
              </w:divBdr>
              <w:divsChild>
                <w:div w:id="484130504">
                  <w:marLeft w:val="0"/>
                  <w:marRight w:val="0"/>
                  <w:marTop w:val="0"/>
                  <w:marBottom w:val="0"/>
                  <w:divBdr>
                    <w:top w:val="none" w:sz="0" w:space="0" w:color="auto"/>
                    <w:left w:val="none" w:sz="0" w:space="0" w:color="auto"/>
                    <w:bottom w:val="none" w:sz="0" w:space="0" w:color="auto"/>
                    <w:right w:val="none" w:sz="0" w:space="0" w:color="auto"/>
                  </w:divBdr>
                </w:div>
              </w:divsChild>
            </w:div>
            <w:div w:id="1006128784">
              <w:marLeft w:val="0"/>
              <w:marRight w:val="0"/>
              <w:marTop w:val="0"/>
              <w:marBottom w:val="0"/>
              <w:divBdr>
                <w:top w:val="none" w:sz="0" w:space="0" w:color="auto"/>
                <w:left w:val="none" w:sz="0" w:space="0" w:color="auto"/>
                <w:bottom w:val="none" w:sz="0" w:space="0" w:color="auto"/>
                <w:right w:val="none" w:sz="0" w:space="0" w:color="auto"/>
              </w:divBdr>
              <w:divsChild>
                <w:div w:id="985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9582">
      <w:bodyDiv w:val="1"/>
      <w:marLeft w:val="0"/>
      <w:marRight w:val="0"/>
      <w:marTop w:val="0"/>
      <w:marBottom w:val="0"/>
      <w:divBdr>
        <w:top w:val="none" w:sz="0" w:space="0" w:color="auto"/>
        <w:left w:val="none" w:sz="0" w:space="0" w:color="auto"/>
        <w:bottom w:val="none" w:sz="0" w:space="0" w:color="auto"/>
        <w:right w:val="none" w:sz="0" w:space="0" w:color="auto"/>
      </w:divBdr>
    </w:div>
    <w:div w:id="392973379">
      <w:bodyDiv w:val="1"/>
      <w:marLeft w:val="0"/>
      <w:marRight w:val="0"/>
      <w:marTop w:val="0"/>
      <w:marBottom w:val="0"/>
      <w:divBdr>
        <w:top w:val="none" w:sz="0" w:space="0" w:color="auto"/>
        <w:left w:val="none" w:sz="0" w:space="0" w:color="auto"/>
        <w:bottom w:val="none" w:sz="0" w:space="0" w:color="auto"/>
        <w:right w:val="none" w:sz="0" w:space="0" w:color="auto"/>
      </w:divBdr>
    </w:div>
    <w:div w:id="459880652">
      <w:bodyDiv w:val="1"/>
      <w:marLeft w:val="0"/>
      <w:marRight w:val="0"/>
      <w:marTop w:val="0"/>
      <w:marBottom w:val="0"/>
      <w:divBdr>
        <w:top w:val="none" w:sz="0" w:space="0" w:color="auto"/>
        <w:left w:val="none" w:sz="0" w:space="0" w:color="auto"/>
        <w:bottom w:val="none" w:sz="0" w:space="0" w:color="auto"/>
        <w:right w:val="none" w:sz="0" w:space="0" w:color="auto"/>
      </w:divBdr>
    </w:div>
    <w:div w:id="492990490">
      <w:bodyDiv w:val="1"/>
      <w:marLeft w:val="0"/>
      <w:marRight w:val="0"/>
      <w:marTop w:val="0"/>
      <w:marBottom w:val="0"/>
      <w:divBdr>
        <w:top w:val="none" w:sz="0" w:space="0" w:color="auto"/>
        <w:left w:val="none" w:sz="0" w:space="0" w:color="auto"/>
        <w:bottom w:val="none" w:sz="0" w:space="0" w:color="auto"/>
        <w:right w:val="none" w:sz="0" w:space="0" w:color="auto"/>
      </w:divBdr>
    </w:div>
    <w:div w:id="577255003">
      <w:bodyDiv w:val="1"/>
      <w:marLeft w:val="0"/>
      <w:marRight w:val="0"/>
      <w:marTop w:val="0"/>
      <w:marBottom w:val="0"/>
      <w:divBdr>
        <w:top w:val="none" w:sz="0" w:space="0" w:color="auto"/>
        <w:left w:val="none" w:sz="0" w:space="0" w:color="auto"/>
        <w:bottom w:val="none" w:sz="0" w:space="0" w:color="auto"/>
        <w:right w:val="none" w:sz="0" w:space="0" w:color="auto"/>
      </w:divBdr>
    </w:div>
    <w:div w:id="621960605">
      <w:bodyDiv w:val="1"/>
      <w:marLeft w:val="0"/>
      <w:marRight w:val="0"/>
      <w:marTop w:val="0"/>
      <w:marBottom w:val="0"/>
      <w:divBdr>
        <w:top w:val="none" w:sz="0" w:space="0" w:color="auto"/>
        <w:left w:val="none" w:sz="0" w:space="0" w:color="auto"/>
        <w:bottom w:val="none" w:sz="0" w:space="0" w:color="auto"/>
        <w:right w:val="none" w:sz="0" w:space="0" w:color="auto"/>
      </w:divBdr>
    </w:div>
    <w:div w:id="753935708">
      <w:bodyDiv w:val="1"/>
      <w:marLeft w:val="0"/>
      <w:marRight w:val="0"/>
      <w:marTop w:val="0"/>
      <w:marBottom w:val="0"/>
      <w:divBdr>
        <w:top w:val="none" w:sz="0" w:space="0" w:color="auto"/>
        <w:left w:val="none" w:sz="0" w:space="0" w:color="auto"/>
        <w:bottom w:val="none" w:sz="0" w:space="0" w:color="auto"/>
        <w:right w:val="none" w:sz="0" w:space="0" w:color="auto"/>
      </w:divBdr>
    </w:div>
    <w:div w:id="782385106">
      <w:bodyDiv w:val="1"/>
      <w:marLeft w:val="0"/>
      <w:marRight w:val="0"/>
      <w:marTop w:val="0"/>
      <w:marBottom w:val="0"/>
      <w:divBdr>
        <w:top w:val="none" w:sz="0" w:space="0" w:color="auto"/>
        <w:left w:val="none" w:sz="0" w:space="0" w:color="auto"/>
        <w:bottom w:val="none" w:sz="0" w:space="0" w:color="auto"/>
        <w:right w:val="none" w:sz="0" w:space="0" w:color="auto"/>
      </w:divBdr>
    </w:div>
    <w:div w:id="866480660">
      <w:bodyDiv w:val="1"/>
      <w:marLeft w:val="0"/>
      <w:marRight w:val="0"/>
      <w:marTop w:val="0"/>
      <w:marBottom w:val="0"/>
      <w:divBdr>
        <w:top w:val="none" w:sz="0" w:space="0" w:color="auto"/>
        <w:left w:val="none" w:sz="0" w:space="0" w:color="auto"/>
        <w:bottom w:val="none" w:sz="0" w:space="0" w:color="auto"/>
        <w:right w:val="none" w:sz="0" w:space="0" w:color="auto"/>
      </w:divBdr>
    </w:div>
    <w:div w:id="895897788">
      <w:bodyDiv w:val="1"/>
      <w:marLeft w:val="0"/>
      <w:marRight w:val="0"/>
      <w:marTop w:val="0"/>
      <w:marBottom w:val="0"/>
      <w:divBdr>
        <w:top w:val="none" w:sz="0" w:space="0" w:color="auto"/>
        <w:left w:val="none" w:sz="0" w:space="0" w:color="auto"/>
        <w:bottom w:val="none" w:sz="0" w:space="0" w:color="auto"/>
        <w:right w:val="none" w:sz="0" w:space="0" w:color="auto"/>
      </w:divBdr>
    </w:div>
    <w:div w:id="911499722">
      <w:bodyDiv w:val="1"/>
      <w:marLeft w:val="0"/>
      <w:marRight w:val="0"/>
      <w:marTop w:val="0"/>
      <w:marBottom w:val="0"/>
      <w:divBdr>
        <w:top w:val="none" w:sz="0" w:space="0" w:color="auto"/>
        <w:left w:val="none" w:sz="0" w:space="0" w:color="auto"/>
        <w:bottom w:val="none" w:sz="0" w:space="0" w:color="auto"/>
        <w:right w:val="none" w:sz="0" w:space="0" w:color="auto"/>
      </w:divBdr>
    </w:div>
    <w:div w:id="1023432399">
      <w:bodyDiv w:val="1"/>
      <w:marLeft w:val="0"/>
      <w:marRight w:val="0"/>
      <w:marTop w:val="0"/>
      <w:marBottom w:val="0"/>
      <w:divBdr>
        <w:top w:val="none" w:sz="0" w:space="0" w:color="auto"/>
        <w:left w:val="none" w:sz="0" w:space="0" w:color="auto"/>
        <w:bottom w:val="none" w:sz="0" w:space="0" w:color="auto"/>
        <w:right w:val="none" w:sz="0" w:space="0" w:color="auto"/>
      </w:divBdr>
    </w:div>
    <w:div w:id="1097628948">
      <w:bodyDiv w:val="1"/>
      <w:marLeft w:val="0"/>
      <w:marRight w:val="0"/>
      <w:marTop w:val="0"/>
      <w:marBottom w:val="0"/>
      <w:divBdr>
        <w:top w:val="none" w:sz="0" w:space="0" w:color="auto"/>
        <w:left w:val="none" w:sz="0" w:space="0" w:color="auto"/>
        <w:bottom w:val="none" w:sz="0" w:space="0" w:color="auto"/>
        <w:right w:val="none" w:sz="0" w:space="0" w:color="auto"/>
      </w:divBdr>
    </w:div>
    <w:div w:id="1182934172">
      <w:bodyDiv w:val="1"/>
      <w:marLeft w:val="0"/>
      <w:marRight w:val="0"/>
      <w:marTop w:val="0"/>
      <w:marBottom w:val="0"/>
      <w:divBdr>
        <w:top w:val="none" w:sz="0" w:space="0" w:color="auto"/>
        <w:left w:val="none" w:sz="0" w:space="0" w:color="auto"/>
        <w:bottom w:val="none" w:sz="0" w:space="0" w:color="auto"/>
        <w:right w:val="none" w:sz="0" w:space="0" w:color="auto"/>
      </w:divBdr>
    </w:div>
    <w:div w:id="1191526842">
      <w:bodyDiv w:val="1"/>
      <w:marLeft w:val="0"/>
      <w:marRight w:val="0"/>
      <w:marTop w:val="0"/>
      <w:marBottom w:val="0"/>
      <w:divBdr>
        <w:top w:val="none" w:sz="0" w:space="0" w:color="auto"/>
        <w:left w:val="none" w:sz="0" w:space="0" w:color="auto"/>
        <w:bottom w:val="none" w:sz="0" w:space="0" w:color="auto"/>
        <w:right w:val="none" w:sz="0" w:space="0" w:color="auto"/>
      </w:divBdr>
    </w:div>
    <w:div w:id="1482892735">
      <w:bodyDiv w:val="1"/>
      <w:marLeft w:val="0"/>
      <w:marRight w:val="0"/>
      <w:marTop w:val="0"/>
      <w:marBottom w:val="0"/>
      <w:divBdr>
        <w:top w:val="none" w:sz="0" w:space="0" w:color="auto"/>
        <w:left w:val="none" w:sz="0" w:space="0" w:color="auto"/>
        <w:bottom w:val="none" w:sz="0" w:space="0" w:color="auto"/>
        <w:right w:val="none" w:sz="0" w:space="0" w:color="auto"/>
      </w:divBdr>
    </w:div>
    <w:div w:id="1575816288">
      <w:bodyDiv w:val="1"/>
      <w:marLeft w:val="0"/>
      <w:marRight w:val="0"/>
      <w:marTop w:val="0"/>
      <w:marBottom w:val="0"/>
      <w:divBdr>
        <w:top w:val="none" w:sz="0" w:space="0" w:color="auto"/>
        <w:left w:val="none" w:sz="0" w:space="0" w:color="auto"/>
        <w:bottom w:val="none" w:sz="0" w:space="0" w:color="auto"/>
        <w:right w:val="none" w:sz="0" w:space="0" w:color="auto"/>
      </w:divBdr>
    </w:div>
    <w:div w:id="1599603668">
      <w:bodyDiv w:val="1"/>
      <w:marLeft w:val="0"/>
      <w:marRight w:val="0"/>
      <w:marTop w:val="0"/>
      <w:marBottom w:val="0"/>
      <w:divBdr>
        <w:top w:val="none" w:sz="0" w:space="0" w:color="auto"/>
        <w:left w:val="none" w:sz="0" w:space="0" w:color="auto"/>
        <w:bottom w:val="none" w:sz="0" w:space="0" w:color="auto"/>
        <w:right w:val="none" w:sz="0" w:space="0" w:color="auto"/>
      </w:divBdr>
    </w:div>
    <w:div w:id="1630864444">
      <w:bodyDiv w:val="1"/>
      <w:marLeft w:val="0"/>
      <w:marRight w:val="0"/>
      <w:marTop w:val="0"/>
      <w:marBottom w:val="0"/>
      <w:divBdr>
        <w:top w:val="none" w:sz="0" w:space="0" w:color="auto"/>
        <w:left w:val="none" w:sz="0" w:space="0" w:color="auto"/>
        <w:bottom w:val="none" w:sz="0" w:space="0" w:color="auto"/>
        <w:right w:val="none" w:sz="0" w:space="0" w:color="auto"/>
      </w:divBdr>
    </w:div>
    <w:div w:id="1636637378">
      <w:bodyDiv w:val="1"/>
      <w:marLeft w:val="0"/>
      <w:marRight w:val="0"/>
      <w:marTop w:val="0"/>
      <w:marBottom w:val="0"/>
      <w:divBdr>
        <w:top w:val="none" w:sz="0" w:space="0" w:color="auto"/>
        <w:left w:val="none" w:sz="0" w:space="0" w:color="auto"/>
        <w:bottom w:val="none" w:sz="0" w:space="0" w:color="auto"/>
        <w:right w:val="none" w:sz="0" w:space="0" w:color="auto"/>
      </w:divBdr>
    </w:div>
    <w:div w:id="1758862996">
      <w:bodyDiv w:val="1"/>
      <w:marLeft w:val="0"/>
      <w:marRight w:val="0"/>
      <w:marTop w:val="0"/>
      <w:marBottom w:val="0"/>
      <w:divBdr>
        <w:top w:val="none" w:sz="0" w:space="0" w:color="auto"/>
        <w:left w:val="none" w:sz="0" w:space="0" w:color="auto"/>
        <w:bottom w:val="none" w:sz="0" w:space="0" w:color="auto"/>
        <w:right w:val="none" w:sz="0" w:space="0" w:color="auto"/>
      </w:divBdr>
    </w:div>
    <w:div w:id="1949920870">
      <w:bodyDiv w:val="1"/>
      <w:marLeft w:val="0"/>
      <w:marRight w:val="0"/>
      <w:marTop w:val="0"/>
      <w:marBottom w:val="0"/>
      <w:divBdr>
        <w:top w:val="none" w:sz="0" w:space="0" w:color="auto"/>
        <w:left w:val="none" w:sz="0" w:space="0" w:color="auto"/>
        <w:bottom w:val="none" w:sz="0" w:space="0" w:color="auto"/>
        <w:right w:val="none" w:sz="0" w:space="0" w:color="auto"/>
      </w:divBdr>
    </w:div>
    <w:div w:id="19843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YW5GM" TargetMode="External"/><Relationship Id="rId5" Type="http://schemas.openxmlformats.org/officeDocument/2006/relationships/hyperlink" Target="https://doi.org/10.6084/m9.figshare.311586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2026-01-22T20:01:00Z</dcterms:created>
  <dcterms:modified xsi:type="dcterms:W3CDTF">2026-01-27T15:34:00Z</dcterms:modified>
</cp:coreProperties>
</file>