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FED" w:rsidRPr="00221FED" w:rsidRDefault="00221FED" w:rsidP="00221FED">
      <w:pPr>
        <w:pStyle w:val="p1"/>
        <w:rPr>
          <w:sz w:val="48"/>
          <w:szCs w:val="48"/>
        </w:rPr>
      </w:pPr>
      <w:r w:rsidRPr="00221FED">
        <w:rPr>
          <w:b/>
          <w:bCs/>
          <w:sz w:val="40"/>
          <w:szCs w:val="40"/>
        </w:rPr>
        <w:t>Symbolic Saturation and the Architecture of Pre-Script Civilizations</w:t>
      </w:r>
      <w:r w:rsidRPr="00221FED">
        <w:rPr>
          <w:b/>
          <w:bCs/>
          <w:sz w:val="40"/>
          <w:szCs w:val="40"/>
          <w:lang w:val="en-US"/>
        </w:rPr>
        <w:t xml:space="preserve"> ;</w:t>
      </w:r>
      <w:r>
        <w:rPr>
          <w:b/>
          <w:bCs/>
          <w:sz w:val="48"/>
          <w:szCs w:val="48"/>
          <w:lang w:val="en-US"/>
        </w:rPr>
        <w:t xml:space="preserve"> </w:t>
      </w:r>
      <w:r>
        <w:rPr>
          <w:i/>
          <w:iCs/>
        </w:rPr>
        <w:t>DSSM, Trade, and the Structural Limits of Non-Linguistic Systems</w:t>
      </w: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Default="00221FED" w:rsidP="00221FED">
      <w:pPr>
        <w:spacing w:before="100" w:beforeAutospacing="1" w:after="100" w:afterAutospacing="1"/>
        <w:rPr>
          <w:rFonts w:ascii="Times New Roman" w:eastAsia="Times New Roman" w:hAnsi="Times New Roman" w:cs="Times New Roman"/>
          <w:lang w:eastAsia="en-GB"/>
        </w:rPr>
      </w:pP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Anthony Vondoom</w:t>
      </w:r>
    </w:p>
    <w:p w:rsidR="00221FED" w:rsidRPr="006D517E" w:rsidRDefault="00221FED" w:rsidP="00221FED">
      <w:pPr>
        <w:spacing w:before="100" w:beforeAutospacing="1" w:after="100" w:afterAutospacing="1"/>
        <w:rPr>
          <w:rFonts w:ascii="Times New Roman" w:eastAsia="Times New Roman" w:hAnsi="Times New Roman" w:cs="Times New Roman"/>
          <w:lang w:val="en-US" w:eastAsia="en-GB"/>
        </w:rPr>
      </w:pPr>
      <w:r w:rsidRPr="00221FED">
        <w:rPr>
          <w:rFonts w:ascii="Times New Roman" w:eastAsia="Times New Roman" w:hAnsi="Times New Roman" w:cs="Times New Roman"/>
          <w:lang w:eastAsia="en-GB"/>
        </w:rPr>
        <w:t>January 2026 | Figshare preprint</w:t>
      </w:r>
      <w:r w:rsidR="006D517E" w:rsidRPr="006D517E">
        <w:rPr>
          <w:rFonts w:ascii="Times New Roman" w:eastAsia="Times New Roman" w:hAnsi="Times New Roman" w:cs="Times New Roman"/>
          <w:lang w:val="en-US" w:eastAsia="en-GB"/>
        </w:rPr>
        <w:t xml:space="preserve"> </w:t>
      </w:r>
      <w:hyperlink r:id="rId5" w:history="1">
        <w:r w:rsidR="006D517E" w:rsidRPr="006D517E">
          <w:rPr>
            <w:rStyle w:val="Hyperlink"/>
            <w:rFonts w:ascii="Times New Roman" w:eastAsia="Times New Roman" w:hAnsi="Times New Roman" w:cs="Times New Roman"/>
            <w:lang w:val="en-US" w:eastAsia="en-GB"/>
          </w:rPr>
          <w:t>https://doi.org/10.6084/m9.figshare.31158664</w:t>
        </w:r>
      </w:hyperlink>
    </w:p>
    <w:p w:rsidR="00221FED" w:rsidRDefault="00221FED" w:rsidP="00221FED">
      <w:pPr>
        <w:pStyle w:val="p1"/>
      </w:pPr>
      <w:r>
        <w:t>This paper is conceptually and methodologically related to the foundational work on the Deep Symbolic Systems Model (DSSM) by Vondoom, A.</w:t>
      </w:r>
      <w:r w:rsidR="002D5075" w:rsidRPr="002D5075">
        <w:rPr>
          <w:lang w:val="en-US"/>
        </w:rPr>
        <w:t>202</w:t>
      </w:r>
      <w:r w:rsidR="002D5075">
        <w:rPr>
          <w:lang w:val="en-US"/>
        </w:rPr>
        <w:t>5 OSF</w:t>
      </w:r>
      <w:r w:rsidR="002D5075" w:rsidRPr="002D5075">
        <w:t xml:space="preserve"> </w:t>
      </w:r>
      <w:hyperlink r:id="rId6" w:history="1">
        <w:r w:rsidR="002D5075" w:rsidRPr="004654E1">
          <w:rPr>
            <w:color w:val="0000FF"/>
            <w:u w:val="single"/>
          </w:rPr>
          <w:t>https://doi.org/10.17605/OSF.IO/YW5GM</w:t>
        </w:r>
      </w:hyperlink>
      <w:r w:rsidR="002D5075" w:rsidRPr="002D5075">
        <w:rPr>
          <w:lang w:val="en-US"/>
        </w:rPr>
        <w:t xml:space="preserve"> </w:t>
      </w:r>
      <w:r w:rsidR="002D5075">
        <w:t xml:space="preserve"> </w:t>
      </w:r>
    </w:p>
    <w:p w:rsidR="00221FED" w:rsidRPr="00221FED" w:rsidRDefault="00221FED" w:rsidP="00221FED">
      <w:pPr>
        <w:pStyle w:val="p1"/>
      </w:pPr>
      <w:r w:rsidRPr="00221FED">
        <w:rPr>
          <w:b/>
          <w:bCs/>
          <w:sz w:val="36"/>
          <w:szCs w:val="36"/>
        </w:rPr>
        <w:lastRenderedPageBreak/>
        <w:t>Abstract</w:t>
      </w:r>
    </w:p>
    <w:p w:rsidR="00221FED" w:rsidRPr="00221FED" w:rsidRDefault="00221FED" w:rsidP="00221FED">
      <w:pPr>
        <w:spacing w:before="100" w:beforeAutospacing="1" w:after="100" w:afterAutospacing="1"/>
        <w:ind w:firstLine="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Writing is commonly framed as a linguistic invention emerging independently within a small number of early civilizations. This paper advances a different model: writing is a </w:t>
      </w:r>
      <w:r w:rsidRPr="00221FED">
        <w:rPr>
          <w:rFonts w:ascii="Times New Roman" w:eastAsia="Times New Roman" w:hAnsi="Times New Roman" w:cs="Times New Roman"/>
          <w:i/>
          <w:iCs/>
          <w:lang w:eastAsia="en-GB"/>
        </w:rPr>
        <w:t>contingent structural response</w:t>
      </w:r>
      <w:r w:rsidRPr="00221FED">
        <w:rPr>
          <w:rFonts w:ascii="Times New Roman" w:eastAsia="Times New Roman" w:hAnsi="Times New Roman" w:cs="Times New Roman"/>
          <w:lang w:eastAsia="en-GB"/>
        </w:rPr>
        <w:t xml:space="preserve"> to symbolic saturation within deeply stabilized systems. Using the </w:t>
      </w:r>
      <w:r w:rsidRPr="00221FED">
        <w:rPr>
          <w:rFonts w:ascii="Times New Roman" w:eastAsia="Times New Roman" w:hAnsi="Times New Roman" w:cs="Times New Roman"/>
          <w:b/>
          <w:bCs/>
          <w:lang w:eastAsia="en-GB"/>
        </w:rPr>
        <w:t>Deep Symbolic Systems Model (DSSM)</w:t>
      </w:r>
      <w:r w:rsidRPr="00221FED">
        <w:rPr>
          <w:rFonts w:ascii="Times New Roman" w:eastAsia="Times New Roman" w:hAnsi="Times New Roman" w:cs="Times New Roman"/>
          <w:lang w:eastAsia="en-GB"/>
        </w:rPr>
        <w:t xml:space="preserve">, the paper demonstrates that symbolic infrastructures were transmitted, adapted, and crystallized across Eurasia through </w:t>
      </w:r>
      <w:r w:rsidRPr="00221FED">
        <w:rPr>
          <w:rFonts w:ascii="Times New Roman" w:eastAsia="Times New Roman" w:hAnsi="Times New Roman" w:cs="Times New Roman"/>
          <w:b/>
          <w:bCs/>
          <w:lang w:eastAsia="en-GB"/>
        </w:rPr>
        <w:t>trade, replication, and administrative standardization</w:t>
      </w:r>
      <w:r w:rsidRPr="00221FED">
        <w:rPr>
          <w:rFonts w:ascii="Times New Roman" w:eastAsia="Times New Roman" w:hAnsi="Times New Roman" w:cs="Times New Roman"/>
          <w:lang w:eastAsia="en-GB"/>
        </w:rPr>
        <w:t>, without requiring mass migration or phonetic encoding.</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Comparative analysis of the </w:t>
      </w:r>
      <w:r w:rsidRPr="00221FED">
        <w:rPr>
          <w:rFonts w:ascii="Times New Roman" w:eastAsia="Times New Roman" w:hAnsi="Times New Roman" w:cs="Times New Roman"/>
          <w:b/>
          <w:bCs/>
          <w:lang w:eastAsia="en-GB"/>
        </w:rPr>
        <w:t>Vinca culture</w:t>
      </w:r>
      <w:r w:rsidRPr="00221FED">
        <w:rPr>
          <w:rFonts w:ascii="Times New Roman" w:eastAsia="Times New Roman" w:hAnsi="Times New Roman" w:cs="Times New Roman"/>
          <w:lang w:eastAsia="en-GB"/>
        </w:rPr>
        <w:t xml:space="preserve">, </w:t>
      </w:r>
      <w:r w:rsidRPr="00221FED">
        <w:rPr>
          <w:rFonts w:ascii="Times New Roman" w:eastAsia="Times New Roman" w:hAnsi="Times New Roman" w:cs="Times New Roman"/>
          <w:b/>
          <w:bCs/>
          <w:lang w:eastAsia="en-GB"/>
        </w:rPr>
        <w:t>Mesopotamia</w:t>
      </w:r>
      <w:r w:rsidRPr="00221FED">
        <w:rPr>
          <w:rFonts w:ascii="Times New Roman" w:eastAsia="Times New Roman" w:hAnsi="Times New Roman" w:cs="Times New Roman"/>
          <w:lang w:eastAsia="en-GB"/>
        </w:rPr>
        <w:t xml:space="preserve">, the </w:t>
      </w:r>
      <w:r w:rsidRPr="00221FED">
        <w:rPr>
          <w:rFonts w:ascii="Times New Roman" w:eastAsia="Times New Roman" w:hAnsi="Times New Roman" w:cs="Times New Roman"/>
          <w:b/>
          <w:bCs/>
          <w:lang w:eastAsia="en-GB"/>
        </w:rPr>
        <w:t>Indus Civilization</w:t>
      </w:r>
      <w:r w:rsidRPr="00221FED">
        <w:rPr>
          <w:rFonts w:ascii="Times New Roman" w:eastAsia="Times New Roman" w:hAnsi="Times New Roman" w:cs="Times New Roman"/>
          <w:lang w:eastAsia="en-GB"/>
        </w:rPr>
        <w:t xml:space="preserve">, and </w:t>
      </w:r>
      <w:r w:rsidRPr="00221FED">
        <w:rPr>
          <w:rFonts w:ascii="Times New Roman" w:eastAsia="Times New Roman" w:hAnsi="Times New Roman" w:cs="Times New Roman"/>
          <w:b/>
          <w:bCs/>
          <w:lang w:eastAsia="en-GB"/>
        </w:rPr>
        <w:t>Sri Lanka</w:t>
      </w:r>
      <w:r w:rsidRPr="00221FED">
        <w:rPr>
          <w:rFonts w:ascii="Times New Roman" w:eastAsia="Times New Roman" w:hAnsi="Times New Roman" w:cs="Times New Roman"/>
          <w:lang w:eastAsia="en-GB"/>
        </w:rPr>
        <w:t xml:space="preserve"> shows that societies repeatedly achieved deep symbolic stabilization prior to writing. In many cases, symbolic load was resolved through infrastructural embedding, procedural repetition, and material redundancy rather than scripts. Writing emerges only when symbolic pressure exceeds non-linguistic resolution capacities. DSSM thus reframes writing as one possible outcome of symbolic overload, not a universal cognitive or cultural milestone.</w:t>
      </w: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t>1. Introduction: Writing as Structural Resolution, Not Cognitive Invention</w:t>
      </w:r>
    </w:p>
    <w:p w:rsidR="00221FED" w:rsidRPr="00221FED" w:rsidRDefault="00221FED" w:rsidP="00221FED">
      <w:pPr>
        <w:spacing w:before="100" w:beforeAutospacing="1" w:after="100" w:afterAutospacing="1"/>
        <w:ind w:firstLine="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Traditional narratives portray writing as a sudden innovation tied to intelligence, urbanism, or linguistic necessity. DSSM rejects this inevitability model. Across Eurasia, societies constructed </w:t>
      </w:r>
      <w:r w:rsidRPr="00221FED">
        <w:rPr>
          <w:rFonts w:ascii="Times New Roman" w:eastAsia="Times New Roman" w:hAnsi="Times New Roman" w:cs="Times New Roman"/>
          <w:b/>
          <w:bCs/>
          <w:lang w:eastAsia="en-GB"/>
        </w:rPr>
        <w:t>robust symbolic infrastructures</w:t>
      </w:r>
      <w:r w:rsidRPr="00221FED">
        <w:rPr>
          <w:rFonts w:ascii="Times New Roman" w:eastAsia="Times New Roman" w:hAnsi="Times New Roman" w:cs="Times New Roman"/>
          <w:lang w:eastAsia="en-GB"/>
        </w:rPr>
        <w:t xml:space="preserve"> long before scripts—systems capable of regulating value, authority, memory, and obligation without phonetic transcription.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Writing emerges only when symbolic systems—through </w:t>
      </w:r>
      <w:r w:rsidRPr="00221FED">
        <w:rPr>
          <w:rFonts w:ascii="Times New Roman" w:eastAsia="Times New Roman" w:hAnsi="Times New Roman" w:cs="Times New Roman"/>
          <w:b/>
          <w:bCs/>
          <w:lang w:eastAsia="en-GB"/>
        </w:rPr>
        <w:t>intergenerational repetition</w:t>
      </w:r>
      <w:r w:rsidRPr="00221FED">
        <w:rPr>
          <w:rFonts w:ascii="Times New Roman" w:eastAsia="Times New Roman" w:hAnsi="Times New Roman" w:cs="Times New Roman"/>
          <w:lang w:eastAsia="en-GB"/>
        </w:rPr>
        <w:t xml:space="preserve">, </w:t>
      </w:r>
      <w:r w:rsidRPr="00221FED">
        <w:rPr>
          <w:rFonts w:ascii="Times New Roman" w:eastAsia="Times New Roman" w:hAnsi="Times New Roman" w:cs="Times New Roman"/>
          <w:b/>
          <w:bCs/>
          <w:lang w:eastAsia="en-GB"/>
        </w:rPr>
        <w:t>cross-media redundancy</w:t>
      </w:r>
      <w:r w:rsidRPr="00221FED">
        <w:rPr>
          <w:rFonts w:ascii="Times New Roman" w:eastAsia="Times New Roman" w:hAnsi="Times New Roman" w:cs="Times New Roman"/>
          <w:lang w:eastAsia="en-GB"/>
        </w:rPr>
        <w:t xml:space="preserve">, </w:t>
      </w:r>
      <w:r w:rsidRPr="00221FED">
        <w:rPr>
          <w:rFonts w:ascii="Times New Roman" w:eastAsia="Times New Roman" w:hAnsi="Times New Roman" w:cs="Times New Roman"/>
          <w:b/>
          <w:bCs/>
          <w:lang w:eastAsia="en-GB"/>
        </w:rPr>
        <w:t>spatial constraint</w:t>
      </w:r>
      <w:r w:rsidRPr="00221FED">
        <w:rPr>
          <w:rFonts w:ascii="Times New Roman" w:eastAsia="Times New Roman" w:hAnsi="Times New Roman" w:cs="Times New Roman"/>
          <w:lang w:eastAsia="en-GB"/>
        </w:rPr>
        <w:t xml:space="preserve">, and </w:t>
      </w:r>
      <w:r w:rsidRPr="00221FED">
        <w:rPr>
          <w:rFonts w:ascii="Times New Roman" w:eastAsia="Times New Roman" w:hAnsi="Times New Roman" w:cs="Times New Roman"/>
          <w:b/>
          <w:bCs/>
          <w:lang w:eastAsia="en-GB"/>
        </w:rPr>
        <w:t>persistence under stress</w:t>
      </w:r>
      <w:r w:rsidRPr="00221FED">
        <w:rPr>
          <w:rFonts w:ascii="Times New Roman" w:eastAsia="Times New Roman" w:hAnsi="Times New Roman" w:cs="Times New Roman"/>
          <w:lang w:eastAsia="en-GB"/>
        </w:rPr>
        <w:t>—exceed the carrying capacity of embodied, procedural, or spatial memory. Prior to that threshold, societies resolve symbolic complexity structurally.</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This paper extends DSSM by identifying </w:t>
      </w:r>
      <w:r w:rsidRPr="00221FED">
        <w:rPr>
          <w:rFonts w:ascii="Times New Roman" w:eastAsia="Times New Roman" w:hAnsi="Times New Roman" w:cs="Times New Roman"/>
          <w:b/>
          <w:bCs/>
          <w:lang w:eastAsia="en-GB"/>
        </w:rPr>
        <w:t>trade and conceptual transmission</w:t>
      </w:r>
      <w:r w:rsidRPr="00221FED">
        <w:rPr>
          <w:rFonts w:ascii="Times New Roman" w:eastAsia="Times New Roman" w:hAnsi="Times New Roman" w:cs="Times New Roman"/>
          <w:lang w:eastAsia="en-GB"/>
        </w:rPr>
        <w:t xml:space="preserve"> as primary vectors for symbolic stabilization. What travels are not populations or languages, but </w:t>
      </w:r>
      <w:r w:rsidRPr="00221FED">
        <w:rPr>
          <w:rFonts w:ascii="Times New Roman" w:eastAsia="Times New Roman" w:hAnsi="Times New Roman" w:cs="Times New Roman"/>
          <w:b/>
          <w:bCs/>
          <w:lang w:eastAsia="en-GB"/>
        </w:rPr>
        <w:t>portable symbolic frameworks</w:t>
      </w:r>
      <w:r w:rsidRPr="00221FED">
        <w:rPr>
          <w:rFonts w:ascii="Times New Roman" w:eastAsia="Times New Roman" w:hAnsi="Times New Roman" w:cs="Times New Roman"/>
          <w:lang w:eastAsia="en-GB"/>
        </w:rPr>
        <w:t>: logics of standardization, replication, and administrative control that are locally instantiated.</w:t>
      </w: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t>2. The Deep Symbolic Systems Model (DSSM)</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DSSM evaluates symbolic systems </w:t>
      </w:r>
      <w:r w:rsidRPr="00221FED">
        <w:rPr>
          <w:rFonts w:ascii="Times New Roman" w:eastAsia="Times New Roman" w:hAnsi="Times New Roman" w:cs="Times New Roman"/>
          <w:b/>
          <w:bCs/>
          <w:lang w:eastAsia="en-GB"/>
        </w:rPr>
        <w:t>functionally rather than linguistically</w:t>
      </w:r>
      <w:r w:rsidRPr="00221FED">
        <w:rPr>
          <w:rFonts w:ascii="Times New Roman" w:eastAsia="Times New Roman" w:hAnsi="Times New Roman" w:cs="Times New Roman"/>
          <w:lang w:eastAsia="en-GB"/>
        </w:rPr>
        <w:t>. A system is deeply stabilized when it satisfies four conditions:</w:t>
      </w:r>
    </w:p>
    <w:p w:rsidR="00221FED" w:rsidRPr="00221FED" w:rsidRDefault="00221FED" w:rsidP="00221FED">
      <w:pPr>
        <w:numPr>
          <w:ilvl w:val="0"/>
          <w:numId w:val="53"/>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Intergenerational Repetition</w:t>
      </w:r>
      <w:r w:rsidRPr="00221FED">
        <w:rPr>
          <w:rFonts w:ascii="Times New Roman" w:eastAsia="Times New Roman" w:hAnsi="Times New Roman" w:cs="Times New Roman"/>
          <w:lang w:eastAsia="en-GB"/>
        </w:rPr>
        <w:t xml:space="preserve"> – Symbolic forms persist beyond individual lifespans.</w:t>
      </w:r>
    </w:p>
    <w:p w:rsidR="00221FED" w:rsidRPr="00221FED" w:rsidRDefault="00221FED" w:rsidP="00221FED">
      <w:pPr>
        <w:numPr>
          <w:ilvl w:val="0"/>
          <w:numId w:val="53"/>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Cross-Media Redundancy</w:t>
      </w:r>
      <w:r w:rsidRPr="00221FED">
        <w:rPr>
          <w:rFonts w:ascii="Times New Roman" w:eastAsia="Times New Roman" w:hAnsi="Times New Roman" w:cs="Times New Roman"/>
          <w:lang w:eastAsia="en-GB"/>
        </w:rPr>
        <w:t xml:space="preserve"> – The same symbolic logic appears across multiple material domains.</w:t>
      </w:r>
    </w:p>
    <w:p w:rsidR="00221FED" w:rsidRPr="00221FED" w:rsidRDefault="00221FED" w:rsidP="00221FED">
      <w:pPr>
        <w:numPr>
          <w:ilvl w:val="0"/>
          <w:numId w:val="53"/>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Spatial Constraint</w:t>
      </w:r>
      <w:r w:rsidRPr="00221FED">
        <w:rPr>
          <w:rFonts w:ascii="Times New Roman" w:eastAsia="Times New Roman" w:hAnsi="Times New Roman" w:cs="Times New Roman"/>
          <w:lang w:eastAsia="en-GB"/>
        </w:rPr>
        <w:t xml:space="preserve"> – Symbols regulate access, movement, authority, or exchange within bounded environments.</w:t>
      </w:r>
    </w:p>
    <w:p w:rsidR="00221FED" w:rsidRPr="00221FED" w:rsidRDefault="00221FED" w:rsidP="00221FED">
      <w:pPr>
        <w:numPr>
          <w:ilvl w:val="0"/>
          <w:numId w:val="53"/>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Persistence Under Stress</w:t>
      </w:r>
      <w:r w:rsidRPr="00221FED">
        <w:rPr>
          <w:rFonts w:ascii="Times New Roman" w:eastAsia="Times New Roman" w:hAnsi="Times New Roman" w:cs="Times New Roman"/>
          <w:lang w:eastAsia="en-GB"/>
        </w:rPr>
        <w:t xml:space="preserve"> – Symbolic coherence survives demographic, environmental, or institutional disruption.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Only when all four conditions are satisfied does symbolic load accumulate to the point where writing </w:t>
      </w:r>
      <w:r w:rsidRPr="00221FED">
        <w:rPr>
          <w:rFonts w:ascii="Times New Roman" w:eastAsia="Times New Roman" w:hAnsi="Times New Roman" w:cs="Times New Roman"/>
          <w:i/>
          <w:iCs/>
          <w:lang w:eastAsia="en-GB"/>
        </w:rPr>
        <w:t>may</w:t>
      </w:r>
      <w:r w:rsidRPr="00221FED">
        <w:rPr>
          <w:rFonts w:ascii="Times New Roman" w:eastAsia="Times New Roman" w:hAnsi="Times New Roman" w:cs="Times New Roman"/>
          <w:lang w:eastAsia="en-GB"/>
        </w:rPr>
        <w:t xml:space="preserve"> become a viable solution.</w:t>
      </w:r>
    </w:p>
    <w:p w:rsid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lastRenderedPageBreak/>
        <w:t>3. Trade as a Vector for Symbolic Transmission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Trade networks functioned as </w:t>
      </w:r>
      <w:r w:rsidRPr="00221FED">
        <w:rPr>
          <w:rFonts w:ascii="Times New Roman" w:eastAsia="Times New Roman" w:hAnsi="Times New Roman" w:cs="Times New Roman"/>
          <w:b/>
          <w:bCs/>
          <w:lang w:eastAsia="en-GB"/>
        </w:rPr>
        <w:t>conduits for symbolic frameworks</w:t>
      </w:r>
      <w:r w:rsidRPr="00221FED">
        <w:rPr>
          <w:rFonts w:ascii="Times New Roman" w:eastAsia="Times New Roman" w:hAnsi="Times New Roman" w:cs="Times New Roman"/>
          <w:lang w:eastAsia="en-GB"/>
        </w:rPr>
        <w:t>, not merely commodities.</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3.1 Conceptual Transmission Without Migration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Across Eurasia, DSSM predicts a recurring sequence:</w:t>
      </w:r>
    </w:p>
    <w:p w:rsidR="00221FED" w:rsidRPr="00221FED" w:rsidRDefault="00221FED" w:rsidP="00221FED">
      <w:pPr>
        <w:rPr>
          <w:rFonts w:ascii="Helvetica Neue" w:eastAsia="Times New Roman" w:hAnsi="Helvetica Neue" w:cs="Times New Roman"/>
          <w:i/>
          <w:iCs/>
          <w:color w:val="0E0E0E"/>
          <w:sz w:val="22"/>
          <w:szCs w:val="22"/>
          <w:lang w:eastAsia="en-GB"/>
        </w:rPr>
      </w:pPr>
      <w:r w:rsidRPr="00221FED">
        <w:rPr>
          <w:rFonts w:ascii="Helvetica Neue" w:eastAsia="Times New Roman" w:hAnsi="Helvetica Neue" w:cs="Times New Roman"/>
          <w:i/>
          <w:iCs/>
          <w:color w:val="0E0E0E"/>
          <w:sz w:val="22"/>
          <w:szCs w:val="22"/>
          <w:lang w:eastAsia="en-GB"/>
        </w:rPr>
        <w:t xml:space="preserve">External symbolic logic </w:t>
      </w:r>
      <w:r w:rsidRPr="00221FED">
        <w:rPr>
          <w:rFonts w:ascii="Times New Roman" w:eastAsia="Times New Roman" w:hAnsi="Times New Roman" w:cs="Times New Roman"/>
          <w:i/>
          <w:iCs/>
          <w:color w:val="0E0E0E"/>
          <w:sz w:val="22"/>
          <w:szCs w:val="22"/>
          <w:lang w:eastAsia="en-GB"/>
        </w:rPr>
        <w:t>→</w:t>
      </w:r>
      <w:r w:rsidRPr="00221FED">
        <w:rPr>
          <w:rFonts w:ascii="Helvetica Neue" w:eastAsia="Times New Roman" w:hAnsi="Helvetica Neue" w:cs="Times New Roman"/>
          <w:i/>
          <w:iCs/>
          <w:color w:val="0E0E0E"/>
          <w:sz w:val="22"/>
          <w:szCs w:val="22"/>
          <w:lang w:eastAsia="en-GB"/>
        </w:rPr>
        <w:t xml:space="preserve"> Local DSSM saturation </w:t>
      </w:r>
      <w:r w:rsidRPr="00221FED">
        <w:rPr>
          <w:rFonts w:ascii="Times New Roman" w:eastAsia="Times New Roman" w:hAnsi="Times New Roman" w:cs="Times New Roman"/>
          <w:i/>
          <w:iCs/>
          <w:color w:val="0E0E0E"/>
          <w:sz w:val="22"/>
          <w:szCs w:val="22"/>
          <w:lang w:eastAsia="en-GB"/>
        </w:rPr>
        <w:t>→</w:t>
      </w:r>
      <w:r w:rsidRPr="00221FED">
        <w:rPr>
          <w:rFonts w:ascii="Helvetica Neue" w:eastAsia="Times New Roman" w:hAnsi="Helvetica Neue" w:cs="Times New Roman"/>
          <w:i/>
          <w:iCs/>
          <w:color w:val="0E0E0E"/>
          <w:sz w:val="22"/>
          <w:szCs w:val="22"/>
          <w:lang w:eastAsia="en-GB"/>
        </w:rPr>
        <w:t xml:space="preserve"> Functional crystallization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This process requires neither population replacement nor linguistic inheritance.</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3.2 Eurasian Transmission Pathways</w:t>
      </w:r>
    </w:p>
    <w:p w:rsidR="00221FED" w:rsidRPr="00221FED" w:rsidRDefault="00221FED" w:rsidP="00221FED">
      <w:pPr>
        <w:numPr>
          <w:ilvl w:val="0"/>
          <w:numId w:val="54"/>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Vinca → Near Eastern Networks</w:t>
      </w:r>
    </w:p>
    <w:p w:rsidR="00221FED" w:rsidRPr="00221FED" w:rsidRDefault="00221FED" w:rsidP="00221FED">
      <w:pPr>
        <w:spacing w:before="100" w:beforeAutospacing="1" w:after="100" w:afterAutospacing="1"/>
        <w:ind w:left="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Vinca groups developed early portable symbolic toolkits—standardized motifs, repetition regimes, and cross-media encoding—capable of organizing ritual, production, and exchange.</w:t>
      </w:r>
    </w:p>
    <w:p w:rsidR="00221FED" w:rsidRPr="00221FED" w:rsidRDefault="00221FED" w:rsidP="00221FED">
      <w:pPr>
        <w:numPr>
          <w:ilvl w:val="0"/>
          <w:numId w:val="54"/>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Near East → Indus Sphere</w:t>
      </w:r>
    </w:p>
    <w:p w:rsidR="00221FED" w:rsidRPr="00221FED" w:rsidRDefault="00221FED" w:rsidP="00221FED">
      <w:pPr>
        <w:spacing w:before="100" w:beforeAutospacing="1" w:after="100" w:afterAutospacing="1"/>
        <w:ind w:left="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Mesopotamian administrative semiotics did not export scripts wholesale. Instead, </w:t>
      </w:r>
      <w:r w:rsidRPr="00221FED">
        <w:rPr>
          <w:rFonts w:ascii="Times New Roman" w:eastAsia="Times New Roman" w:hAnsi="Times New Roman" w:cs="Times New Roman"/>
          <w:i/>
          <w:iCs/>
          <w:lang w:eastAsia="en-GB"/>
        </w:rPr>
        <w:t>symbolic logics</w:t>
      </w:r>
      <w:r w:rsidRPr="00221FED">
        <w:rPr>
          <w:rFonts w:ascii="Times New Roman" w:eastAsia="Times New Roman" w:hAnsi="Times New Roman" w:cs="Times New Roman"/>
          <w:lang w:eastAsia="en-GB"/>
        </w:rPr>
        <w:t xml:space="preserve"> of accounting, sealing, and standardization diffused through trade.</w:t>
      </w:r>
    </w:p>
    <w:p w:rsidR="00221FED" w:rsidRPr="00221FED" w:rsidRDefault="00221FED" w:rsidP="00221FED">
      <w:pPr>
        <w:numPr>
          <w:ilvl w:val="0"/>
          <w:numId w:val="54"/>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Indus → South India / Sri Lanka</w:t>
      </w:r>
    </w:p>
    <w:p w:rsidR="00221FED" w:rsidRPr="00221FED" w:rsidRDefault="00221FED" w:rsidP="00221FED">
      <w:pPr>
        <w:spacing w:before="100" w:beforeAutospacing="1" w:after="100" w:afterAutospacing="1"/>
        <w:ind w:left="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Southern diffusion reflects local adoption of symbolic frameworks seen on traded goods, re-materialized through regional craft traditions without demographic displacement.</w:t>
      </w: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t>4. Local Production Under External Instruction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A core DSSM insight is that </w:t>
      </w:r>
      <w:r w:rsidRPr="00221FED">
        <w:rPr>
          <w:rFonts w:ascii="Times New Roman" w:eastAsia="Times New Roman" w:hAnsi="Times New Roman" w:cs="Times New Roman"/>
          <w:b/>
          <w:bCs/>
          <w:lang w:eastAsia="en-GB"/>
        </w:rPr>
        <w:t>symbolic systems localize</w:t>
      </w:r>
      <w:r w:rsidRPr="00221FED">
        <w:rPr>
          <w:rFonts w:ascii="Times New Roman" w:eastAsia="Times New Roman" w:hAnsi="Times New Roman" w:cs="Times New Roman"/>
          <w:lang w:eastAsia="en-GB"/>
        </w:rPr>
        <w:t>.</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In the Indus Civilization:</w:t>
      </w:r>
    </w:p>
    <w:p w:rsidR="00221FED" w:rsidRPr="00221FED" w:rsidRDefault="00221FED" w:rsidP="00221FED">
      <w:pPr>
        <w:numPr>
          <w:ilvl w:val="0"/>
          <w:numId w:val="55"/>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Objects were locally manufactured.</w:t>
      </w:r>
    </w:p>
    <w:p w:rsidR="00221FED" w:rsidRPr="00221FED" w:rsidRDefault="00221FED" w:rsidP="00221FED">
      <w:pPr>
        <w:numPr>
          <w:ilvl w:val="0"/>
          <w:numId w:val="55"/>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Symbolic grammar remained consistent.</w:t>
      </w:r>
    </w:p>
    <w:p w:rsidR="00221FED" w:rsidRPr="00221FED" w:rsidRDefault="00221FED" w:rsidP="00221FED">
      <w:pPr>
        <w:numPr>
          <w:ilvl w:val="0"/>
          <w:numId w:val="55"/>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Cross-media redundancy ensured inter-city coherence.</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This explains why seals, weights, and urban layouts remain standardized across Harappa, Mohenjo-Daro, and Dholavira without evidence of centralized script administration or migration.</w:t>
      </w: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Default="00221FED" w:rsidP="00221FED">
      <w:pPr>
        <w:rPr>
          <w:rFonts w:ascii="Times New Roman" w:eastAsia="Times New Roman" w:hAnsi="Times New Roman" w:cs="Times New Roman"/>
          <w:lang w:eastAsia="en-GB"/>
        </w:rPr>
      </w:pPr>
    </w:p>
    <w:p w:rsidR="00221FED" w:rsidRPr="00221FED" w:rsidRDefault="00221FED" w:rsidP="00221FED">
      <w:pPr>
        <w:rPr>
          <w:rFonts w:ascii="Times New Roman" w:eastAsia="Times New Roman" w:hAnsi="Times New Roman" w:cs="Times New Roman"/>
          <w:lang w:eastAsia="en-GB"/>
        </w:rPr>
      </w:pP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lastRenderedPageBreak/>
        <w:t>5. DSSM Case Studies</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5.1 Mehrgarh (7000–3300 BCE)</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Mehrgarh exhibits early DSSM compliance through repeated architectural forms, standardized bead production, and ritual continuity. Symbolic stabilization precedes urbanism and writing by millennia.</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5.2 Vinca Culture (5700–4500 BCE)</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Vinca represents </w:t>
      </w:r>
      <w:r w:rsidRPr="00221FED">
        <w:rPr>
          <w:rFonts w:ascii="Times New Roman" w:eastAsia="Times New Roman" w:hAnsi="Times New Roman" w:cs="Times New Roman"/>
          <w:b/>
          <w:bCs/>
          <w:lang w:eastAsia="en-GB"/>
        </w:rPr>
        <w:t>Europe’s earliest fully DSSM-saturated system</w:t>
      </w:r>
      <w:r w:rsidRPr="00221FED">
        <w:rPr>
          <w:rFonts w:ascii="Times New Roman" w:eastAsia="Times New Roman" w:hAnsi="Times New Roman" w:cs="Times New Roman"/>
          <w:lang w:eastAsia="en-GB"/>
        </w:rPr>
        <w:t>:</w:t>
      </w:r>
    </w:p>
    <w:p w:rsidR="00221FED" w:rsidRPr="00221FED" w:rsidRDefault="00221FED" w:rsidP="00221FED">
      <w:pPr>
        <w:numPr>
          <w:ilvl w:val="0"/>
          <w:numId w:val="56"/>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Persistent motifs over ~1200 years</w:t>
      </w:r>
    </w:p>
    <w:p w:rsidR="00221FED" w:rsidRPr="00221FED" w:rsidRDefault="00221FED" w:rsidP="00221FED">
      <w:pPr>
        <w:numPr>
          <w:ilvl w:val="0"/>
          <w:numId w:val="56"/>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Cross-media repetition (pottery, figurines, tablets)</w:t>
      </w:r>
    </w:p>
    <w:p w:rsidR="00221FED" w:rsidRPr="00221FED" w:rsidRDefault="00221FED" w:rsidP="00221FED">
      <w:pPr>
        <w:numPr>
          <w:ilvl w:val="0"/>
          <w:numId w:val="56"/>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Spatial embedding in domestic and ritual contexts</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Vinca symbols functioned as </w:t>
      </w:r>
      <w:r w:rsidRPr="00221FED">
        <w:rPr>
          <w:rFonts w:ascii="Times New Roman" w:eastAsia="Times New Roman" w:hAnsi="Times New Roman" w:cs="Times New Roman"/>
          <w:b/>
          <w:bCs/>
          <w:lang w:eastAsia="en-GB"/>
        </w:rPr>
        <w:t>portable administrative–ritual modules</w:t>
      </w:r>
      <w:r w:rsidRPr="00221FED">
        <w:rPr>
          <w:rFonts w:ascii="Times New Roman" w:eastAsia="Times New Roman" w:hAnsi="Times New Roman" w:cs="Times New Roman"/>
          <w:lang w:eastAsia="en-GB"/>
        </w:rPr>
        <w:t xml:space="preserve">, not proto-writing. Their disappearance reflects </w:t>
      </w:r>
      <w:r w:rsidRPr="00221FED">
        <w:rPr>
          <w:rFonts w:ascii="Times New Roman" w:eastAsia="Times New Roman" w:hAnsi="Times New Roman" w:cs="Times New Roman"/>
          <w:b/>
          <w:bCs/>
          <w:lang w:eastAsia="en-GB"/>
        </w:rPr>
        <w:t>network collapse</w:t>
      </w:r>
      <w:r w:rsidRPr="00221FED">
        <w:rPr>
          <w:rFonts w:ascii="Times New Roman" w:eastAsia="Times New Roman" w:hAnsi="Times New Roman" w:cs="Times New Roman"/>
          <w:lang w:eastAsia="en-GB"/>
        </w:rPr>
        <w:t>, not cognitive limitation.</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5.3 Mesopotamia: Proto-Cuneiform</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Symbolic overload generated by expanding urban administration exceeded non-linguistic resolution capacity. Writing emerged as a </w:t>
      </w:r>
      <w:r w:rsidRPr="00221FED">
        <w:rPr>
          <w:rFonts w:ascii="Times New Roman" w:eastAsia="Times New Roman" w:hAnsi="Times New Roman" w:cs="Times New Roman"/>
          <w:b/>
          <w:bCs/>
          <w:lang w:eastAsia="en-GB"/>
        </w:rPr>
        <w:t>compression technology</w:t>
      </w:r>
      <w:r w:rsidRPr="00221FED">
        <w:rPr>
          <w:rFonts w:ascii="Times New Roman" w:eastAsia="Times New Roman" w:hAnsi="Times New Roman" w:cs="Times New Roman"/>
          <w:lang w:eastAsia="en-GB"/>
        </w:rPr>
        <w:t>, with phoneticization developing secondarily.</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5.4 Indus Civilization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The Indus Valley achieved near-terminal DSSM saturation:</w:t>
      </w:r>
    </w:p>
    <w:p w:rsidR="00221FED" w:rsidRPr="00221FED" w:rsidRDefault="00221FED" w:rsidP="00221FED">
      <w:pPr>
        <w:numPr>
          <w:ilvl w:val="0"/>
          <w:numId w:val="57"/>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Urban grids</w:t>
      </w:r>
    </w:p>
    <w:p w:rsidR="00221FED" w:rsidRPr="00221FED" w:rsidRDefault="00221FED" w:rsidP="00221FED">
      <w:pPr>
        <w:numPr>
          <w:ilvl w:val="0"/>
          <w:numId w:val="57"/>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Standardized weights</w:t>
      </w:r>
    </w:p>
    <w:p w:rsidR="00221FED" w:rsidRPr="00221FED" w:rsidRDefault="00221FED" w:rsidP="00221FED">
      <w:pPr>
        <w:numPr>
          <w:ilvl w:val="0"/>
          <w:numId w:val="57"/>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Short, repetitive seals</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Administrative needs were resolved structurally. Writing was unnecessary.</w:t>
      </w:r>
    </w:p>
    <w:p w:rsidR="00221FED" w:rsidRPr="00221FED" w:rsidRDefault="00221FED" w:rsidP="00221FED">
      <w:pPr>
        <w:spacing w:before="100" w:beforeAutospacing="1" w:after="100" w:afterAutospacing="1"/>
        <w:outlineLvl w:val="2"/>
        <w:rPr>
          <w:rFonts w:ascii="Times New Roman" w:eastAsia="Times New Roman" w:hAnsi="Times New Roman" w:cs="Times New Roman"/>
          <w:b/>
          <w:bCs/>
          <w:i/>
          <w:iCs/>
          <w:lang w:eastAsia="en-GB"/>
        </w:rPr>
      </w:pPr>
      <w:r w:rsidRPr="00221FED">
        <w:rPr>
          <w:rFonts w:ascii="Times New Roman" w:eastAsia="Times New Roman" w:hAnsi="Times New Roman" w:cs="Times New Roman"/>
          <w:b/>
          <w:bCs/>
          <w:i/>
          <w:iCs/>
          <w:lang w:eastAsia="en-GB"/>
        </w:rPr>
        <w:t>5.5 Sri Lanka (28,000–18,000 BP)</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Cave-based mnemonic architectures and portable symbolic anchors demonstrate full DSSM saturation without agriculture, hierarchy, or writing—decisively falsifying inevitability models.</w:t>
      </w: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r w:rsidRPr="00221FED">
        <w:rPr>
          <w:rFonts w:ascii="Times New Roman" w:eastAsia="Times New Roman" w:hAnsi="Times New Roman" w:cs="Times New Roman"/>
          <w:b/>
          <w:bCs/>
          <w:sz w:val="28"/>
          <w:szCs w:val="28"/>
          <w:lang w:eastAsia="en-GB"/>
        </w:rPr>
        <w:t>6. Convergence Without Diffusion</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DSSM predicts </w:t>
      </w:r>
      <w:r w:rsidRPr="00221FED">
        <w:rPr>
          <w:rFonts w:ascii="Times New Roman" w:eastAsia="Times New Roman" w:hAnsi="Times New Roman" w:cs="Times New Roman"/>
          <w:b/>
          <w:bCs/>
          <w:lang w:eastAsia="en-GB"/>
        </w:rPr>
        <w:t>independent convergence</w:t>
      </w:r>
      <w:r w:rsidRPr="00221FED">
        <w:rPr>
          <w:rFonts w:ascii="Times New Roman" w:eastAsia="Times New Roman" w:hAnsi="Times New Roman" w:cs="Times New Roman"/>
          <w:lang w:eastAsia="en-GB"/>
        </w:rPr>
        <w:t xml:space="preserve"> under comparable structural pressures. Similar symbolic architectures arise because the constraints are shared—not because cultures copied scripts.</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Migration and linguistic continuity are </w:t>
      </w:r>
      <w:r w:rsidRPr="00221FED">
        <w:rPr>
          <w:rFonts w:ascii="Times New Roman" w:eastAsia="Times New Roman" w:hAnsi="Times New Roman" w:cs="Times New Roman"/>
          <w:i/>
          <w:iCs/>
          <w:lang w:eastAsia="en-GB"/>
        </w:rPr>
        <w:t>neither necessary nor sufficient</w:t>
      </w:r>
      <w:r w:rsidRPr="00221FED">
        <w:rPr>
          <w:rFonts w:ascii="Times New Roman" w:eastAsia="Times New Roman" w:hAnsi="Times New Roman" w:cs="Times New Roman"/>
          <w:lang w:eastAsia="en-GB"/>
        </w:rPr>
        <w:t>.</w:t>
      </w:r>
    </w:p>
    <w:p w:rsid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p>
    <w:p w:rsid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p>
    <w:p w:rsid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p>
    <w:p w:rsid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28"/>
          <w:szCs w:val="28"/>
          <w:lang w:eastAsia="en-GB"/>
        </w:rPr>
      </w:pPr>
      <w:r w:rsidRPr="00221FED">
        <w:rPr>
          <w:rFonts w:ascii="Times New Roman" w:eastAsia="Times New Roman" w:hAnsi="Times New Roman" w:cs="Times New Roman"/>
          <w:b/>
          <w:bCs/>
          <w:sz w:val="28"/>
          <w:szCs w:val="28"/>
          <w:lang w:eastAsia="en-GB"/>
        </w:rPr>
        <w:lastRenderedPageBreak/>
        <w:t>7. Why Writing Is Contingent</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DSSM saturation yields three outcomes:</w:t>
      </w:r>
    </w:p>
    <w:p w:rsidR="00221FED" w:rsidRPr="00221FED" w:rsidRDefault="00221FED" w:rsidP="00221FED">
      <w:pPr>
        <w:numPr>
          <w:ilvl w:val="0"/>
          <w:numId w:val="58"/>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Symbolic overload → Writing emerges</w:t>
      </w:r>
      <w:r w:rsidRPr="00221FED">
        <w:rPr>
          <w:rFonts w:ascii="Times New Roman" w:eastAsia="Times New Roman" w:hAnsi="Times New Roman" w:cs="Times New Roman"/>
          <w:lang w:eastAsia="en-GB"/>
        </w:rPr>
        <w:t xml:space="preserve"> (Mesopotamia)</w:t>
      </w:r>
    </w:p>
    <w:p w:rsidR="00221FED" w:rsidRPr="00221FED" w:rsidRDefault="00221FED" w:rsidP="00221FED">
      <w:pPr>
        <w:numPr>
          <w:ilvl w:val="0"/>
          <w:numId w:val="58"/>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Structural resolution → Writing unnecessary</w:t>
      </w:r>
      <w:r w:rsidRPr="00221FED">
        <w:rPr>
          <w:rFonts w:ascii="Times New Roman" w:eastAsia="Times New Roman" w:hAnsi="Times New Roman" w:cs="Times New Roman"/>
          <w:lang w:eastAsia="en-GB"/>
        </w:rPr>
        <w:t xml:space="preserve"> (Indus, Sri Lanka, Vinca)</w:t>
      </w:r>
    </w:p>
    <w:p w:rsidR="00221FED" w:rsidRPr="00221FED" w:rsidRDefault="00221FED" w:rsidP="00221FED">
      <w:pPr>
        <w:numPr>
          <w:ilvl w:val="0"/>
          <w:numId w:val="58"/>
        </w:num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b/>
          <w:bCs/>
          <w:lang w:eastAsia="en-GB"/>
        </w:rPr>
        <w:t>Terminal stabilization → Writing preserves existing systems</w:t>
      </w:r>
      <w:r w:rsidRPr="00221FED">
        <w:rPr>
          <w:rFonts w:ascii="Times New Roman" w:eastAsia="Times New Roman" w:hAnsi="Times New Roman" w:cs="Times New Roman"/>
          <w:lang w:eastAsia="en-GB"/>
        </w:rPr>
        <w:t xml:space="preserve"> (Egypt)</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Writing is therefore </w:t>
      </w:r>
      <w:r w:rsidRPr="00221FED">
        <w:rPr>
          <w:rFonts w:ascii="Times New Roman" w:eastAsia="Times New Roman" w:hAnsi="Times New Roman" w:cs="Times New Roman"/>
          <w:i/>
          <w:iCs/>
          <w:lang w:eastAsia="en-GB"/>
        </w:rPr>
        <w:t>one</w:t>
      </w:r>
      <w:r w:rsidRPr="00221FED">
        <w:rPr>
          <w:rFonts w:ascii="Times New Roman" w:eastAsia="Times New Roman" w:hAnsi="Times New Roman" w:cs="Times New Roman"/>
          <w:lang w:eastAsia="en-GB"/>
        </w:rPr>
        <w:t xml:space="preserve"> resolution to symbolic pressure, not a universal endpoint.</w:t>
      </w:r>
    </w:p>
    <w:p w:rsidR="00221FED" w:rsidRPr="00221FED" w:rsidRDefault="00221FED" w:rsidP="00221FED">
      <w:pPr>
        <w:spacing w:before="100" w:beforeAutospacing="1" w:after="100" w:afterAutospacing="1"/>
        <w:outlineLvl w:val="1"/>
        <w:rPr>
          <w:rFonts w:ascii="Times New Roman" w:eastAsia="Times New Roman" w:hAnsi="Times New Roman" w:cs="Times New Roman"/>
          <w:b/>
          <w:bCs/>
          <w:sz w:val="36"/>
          <w:szCs w:val="36"/>
          <w:lang w:eastAsia="en-GB"/>
        </w:rPr>
      </w:pPr>
      <w:r w:rsidRPr="00221FED">
        <w:rPr>
          <w:rFonts w:ascii="Times New Roman" w:eastAsia="Times New Roman" w:hAnsi="Times New Roman" w:cs="Times New Roman"/>
          <w:b/>
          <w:bCs/>
          <w:sz w:val="36"/>
          <w:szCs w:val="36"/>
          <w:lang w:eastAsia="en-GB"/>
        </w:rPr>
        <w:t>8. Conclusion</w:t>
      </w:r>
    </w:p>
    <w:p w:rsidR="00221FED" w:rsidRPr="00221FED" w:rsidRDefault="00221FED" w:rsidP="00221FED">
      <w:pPr>
        <w:spacing w:before="100" w:beforeAutospacing="1" w:after="100" w:afterAutospacing="1"/>
        <w:ind w:firstLine="720"/>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 xml:space="preserve">Civilizations did not invent writing first. They engineered symbolic systems. Writing appears only when those systems exceed non-linguistic resolution limits. By integrating </w:t>
      </w:r>
      <w:r w:rsidRPr="00221FED">
        <w:rPr>
          <w:rFonts w:ascii="Times New Roman" w:eastAsia="Times New Roman" w:hAnsi="Times New Roman" w:cs="Times New Roman"/>
          <w:b/>
          <w:bCs/>
          <w:lang w:eastAsia="en-GB"/>
        </w:rPr>
        <w:t>Vinca</w:t>
      </w:r>
      <w:r w:rsidRPr="00221FED">
        <w:rPr>
          <w:rFonts w:ascii="Times New Roman" w:eastAsia="Times New Roman" w:hAnsi="Times New Roman" w:cs="Times New Roman"/>
          <w:lang w:eastAsia="en-GB"/>
        </w:rPr>
        <w:t xml:space="preserve">, </w:t>
      </w:r>
      <w:r w:rsidRPr="00221FED">
        <w:rPr>
          <w:rFonts w:ascii="Times New Roman" w:eastAsia="Times New Roman" w:hAnsi="Times New Roman" w:cs="Times New Roman"/>
          <w:b/>
          <w:bCs/>
          <w:lang w:eastAsia="en-GB"/>
        </w:rPr>
        <w:t>Indus</w:t>
      </w:r>
      <w:r w:rsidRPr="00221FED">
        <w:rPr>
          <w:rFonts w:ascii="Times New Roman" w:eastAsia="Times New Roman" w:hAnsi="Times New Roman" w:cs="Times New Roman"/>
          <w:lang w:eastAsia="en-GB"/>
        </w:rPr>
        <w:t xml:space="preserve">, and </w:t>
      </w:r>
      <w:r w:rsidRPr="00221FED">
        <w:rPr>
          <w:rFonts w:ascii="Times New Roman" w:eastAsia="Times New Roman" w:hAnsi="Times New Roman" w:cs="Times New Roman"/>
          <w:b/>
          <w:bCs/>
          <w:lang w:eastAsia="en-GB"/>
        </w:rPr>
        <w:t>South Asian</w:t>
      </w:r>
      <w:r w:rsidRPr="00221FED">
        <w:rPr>
          <w:rFonts w:ascii="Times New Roman" w:eastAsia="Times New Roman" w:hAnsi="Times New Roman" w:cs="Times New Roman"/>
          <w:lang w:eastAsia="en-GB"/>
        </w:rPr>
        <w:t xml:space="preserve"> cases into a single DSSM framework, this paper demonstrates that deep symbolic stabilization is older, broader, and more structurally diverse than writing itself.</w:t>
      </w:r>
    </w:p>
    <w:p w:rsidR="00221FED" w:rsidRPr="00221FED" w:rsidRDefault="00221FED" w:rsidP="00221FED">
      <w:pPr>
        <w:spacing w:before="100" w:beforeAutospacing="1" w:after="100" w:afterAutospacing="1"/>
        <w:rPr>
          <w:rFonts w:ascii="Times New Roman" w:eastAsia="Times New Roman" w:hAnsi="Times New Roman" w:cs="Times New Roman"/>
          <w:lang w:eastAsia="en-GB"/>
        </w:rPr>
      </w:pPr>
      <w:r w:rsidRPr="00221FED">
        <w:rPr>
          <w:rFonts w:ascii="Times New Roman" w:eastAsia="Times New Roman" w:hAnsi="Times New Roman" w:cs="Times New Roman"/>
          <w:lang w:eastAsia="en-GB"/>
        </w:rPr>
        <w:t>Writing is contingent. Symbolic engineering is primary.</w:t>
      </w:r>
    </w:p>
    <w:p w:rsidR="001018BA" w:rsidRPr="00221FED" w:rsidRDefault="001018BA" w:rsidP="001018BA">
      <w:pPr>
        <w:pStyle w:val="p4"/>
        <w:rPr>
          <w:b/>
          <w:bCs/>
          <w:color w:val="000000" w:themeColor="text1"/>
          <w:sz w:val="36"/>
          <w:szCs w:val="36"/>
        </w:rPr>
      </w:pPr>
      <w:r w:rsidRPr="00221FED">
        <w:rPr>
          <w:b/>
          <w:bCs/>
          <w:color w:val="000000" w:themeColor="text1"/>
          <w:sz w:val="36"/>
          <w:szCs w:val="36"/>
        </w:rPr>
        <w:t xml:space="preserve">References </w:t>
      </w:r>
    </w:p>
    <w:p w:rsidR="006136DF" w:rsidRPr="00EA424F" w:rsidRDefault="006136DF" w:rsidP="001018BA">
      <w:pPr>
        <w:pStyle w:val="p4"/>
        <w:rPr>
          <w:color w:val="000000" w:themeColor="text1"/>
        </w:rPr>
      </w:pPr>
    </w:p>
    <w:p w:rsidR="001018BA" w:rsidRPr="00EA424F" w:rsidRDefault="001018BA" w:rsidP="001018BA">
      <w:pPr>
        <w:pStyle w:val="p1"/>
        <w:numPr>
          <w:ilvl w:val="0"/>
          <w:numId w:val="52"/>
        </w:numPr>
        <w:rPr>
          <w:color w:val="000000" w:themeColor="text1"/>
        </w:rPr>
      </w:pPr>
      <w:r w:rsidRPr="00EA424F">
        <w:rPr>
          <w:color w:val="000000" w:themeColor="text1"/>
        </w:rPr>
        <w:t xml:space="preserve">Acharya, S. K., et al. (2018). Harappan urban planning and standardization. </w:t>
      </w:r>
      <w:r w:rsidRPr="00EA424F">
        <w:rPr>
          <w:i/>
          <w:iCs/>
          <w:color w:val="000000" w:themeColor="text1"/>
        </w:rPr>
        <w:t>Journal of Archaeological Science</w:t>
      </w:r>
      <w:r w:rsidRPr="00EA424F">
        <w:rPr>
          <w:color w:val="000000" w:themeColor="text1"/>
        </w:rPr>
        <w:t>, 95, 12–27.</w:t>
      </w:r>
    </w:p>
    <w:p w:rsidR="001018BA" w:rsidRPr="00EA424F" w:rsidRDefault="001018BA" w:rsidP="001018BA">
      <w:pPr>
        <w:pStyle w:val="p1"/>
        <w:numPr>
          <w:ilvl w:val="0"/>
          <w:numId w:val="52"/>
        </w:numPr>
        <w:rPr>
          <w:color w:val="000000" w:themeColor="text1"/>
        </w:rPr>
      </w:pPr>
      <w:r w:rsidRPr="00EA424F">
        <w:rPr>
          <w:color w:val="000000" w:themeColor="text1"/>
        </w:rPr>
        <w:t xml:space="preserve">Bellwood, P. (2019). Demography and symbolic infrastructure. </w:t>
      </w:r>
      <w:r w:rsidRPr="00EA424F">
        <w:rPr>
          <w:i/>
          <w:iCs/>
          <w:color w:val="000000" w:themeColor="text1"/>
        </w:rPr>
        <w:t>Antiquity</w:t>
      </w:r>
      <w:r w:rsidRPr="00EA424F">
        <w:rPr>
          <w:color w:val="000000" w:themeColor="text1"/>
        </w:rPr>
        <w:t>, 93, 765–783.</w:t>
      </w:r>
    </w:p>
    <w:p w:rsidR="001018BA" w:rsidRPr="00EA424F" w:rsidRDefault="001018BA" w:rsidP="001018BA">
      <w:pPr>
        <w:pStyle w:val="p1"/>
        <w:numPr>
          <w:ilvl w:val="0"/>
          <w:numId w:val="52"/>
        </w:numPr>
        <w:rPr>
          <w:color w:val="000000" w:themeColor="text1"/>
        </w:rPr>
      </w:pPr>
      <w:r w:rsidRPr="00EA424F">
        <w:rPr>
          <w:color w:val="000000" w:themeColor="text1"/>
        </w:rPr>
        <w:t xml:space="preserve">Coningham, R., et al. (2017). Anuradhapura and early urbanism in Sri Lanka. </w:t>
      </w:r>
      <w:r w:rsidRPr="00EA424F">
        <w:rPr>
          <w:i/>
          <w:iCs/>
          <w:color w:val="000000" w:themeColor="text1"/>
        </w:rPr>
        <w:t>Antiquity</w:t>
      </w:r>
      <w:r w:rsidRPr="00EA424F">
        <w:rPr>
          <w:color w:val="000000" w:themeColor="text1"/>
        </w:rPr>
        <w:t>, 91, 1234–1251.</w:t>
      </w:r>
    </w:p>
    <w:p w:rsidR="001018BA" w:rsidRPr="00EA424F" w:rsidRDefault="001018BA" w:rsidP="001018BA">
      <w:pPr>
        <w:pStyle w:val="p1"/>
        <w:numPr>
          <w:ilvl w:val="0"/>
          <w:numId w:val="52"/>
        </w:numPr>
        <w:rPr>
          <w:color w:val="000000" w:themeColor="text1"/>
        </w:rPr>
      </w:pPr>
      <w:r w:rsidRPr="00EA424F">
        <w:rPr>
          <w:color w:val="000000" w:themeColor="text1"/>
        </w:rPr>
        <w:t xml:space="preserve">D’Andrea, A., &amp; McCarthy, R. (2018). Mnemonic architectures in South Asia. </w:t>
      </w:r>
      <w:r w:rsidRPr="00EA424F">
        <w:rPr>
          <w:i/>
          <w:iCs/>
          <w:color w:val="000000" w:themeColor="text1"/>
        </w:rPr>
        <w:t>World Archaeology</w:t>
      </w:r>
      <w:r w:rsidRPr="00EA424F">
        <w:rPr>
          <w:color w:val="000000" w:themeColor="text1"/>
        </w:rPr>
        <w:t>, 50(6), 840–859.</w:t>
      </w:r>
    </w:p>
    <w:p w:rsidR="001018BA" w:rsidRPr="00EA424F" w:rsidRDefault="001018BA" w:rsidP="001018BA">
      <w:pPr>
        <w:pStyle w:val="p1"/>
        <w:numPr>
          <w:ilvl w:val="0"/>
          <w:numId w:val="52"/>
        </w:numPr>
        <w:rPr>
          <w:color w:val="000000" w:themeColor="text1"/>
        </w:rPr>
      </w:pPr>
      <w:r w:rsidRPr="00EA424F">
        <w:rPr>
          <w:color w:val="000000" w:themeColor="text1"/>
        </w:rPr>
        <w:t xml:space="preserve">Deraniyagala, S. U., &amp; Wijeyapala, W. (2020). New perspectives on Sri Lankan prehistory. </w:t>
      </w:r>
      <w:r w:rsidRPr="00EA424F">
        <w:rPr>
          <w:i/>
          <w:iCs/>
          <w:color w:val="000000" w:themeColor="text1"/>
        </w:rPr>
        <w:t>Journal of World Prehistory</w:t>
      </w:r>
      <w:r w:rsidRPr="00EA424F">
        <w:rPr>
          <w:color w:val="000000" w:themeColor="text1"/>
        </w:rPr>
        <w:t>, 33, 45–78.</w:t>
      </w:r>
    </w:p>
    <w:p w:rsidR="001018BA" w:rsidRPr="00EA424F" w:rsidRDefault="001018BA" w:rsidP="001018BA">
      <w:pPr>
        <w:pStyle w:val="p1"/>
        <w:numPr>
          <w:ilvl w:val="0"/>
          <w:numId w:val="52"/>
        </w:numPr>
        <w:rPr>
          <w:color w:val="000000" w:themeColor="text1"/>
        </w:rPr>
      </w:pPr>
      <w:r w:rsidRPr="00EA424F">
        <w:rPr>
          <w:color w:val="000000" w:themeColor="text1"/>
        </w:rPr>
        <w:t xml:space="preserve">Gibson, A., &amp; Smith, P. (2016). Cognitive archaeology of early scripts. </w:t>
      </w:r>
      <w:r w:rsidRPr="00EA424F">
        <w:rPr>
          <w:i/>
          <w:iCs/>
          <w:color w:val="000000" w:themeColor="text1"/>
        </w:rPr>
        <w:t>Cambridge Archaeological Journal</w:t>
      </w:r>
      <w:r w:rsidRPr="00EA424F">
        <w:rPr>
          <w:color w:val="000000" w:themeColor="text1"/>
        </w:rPr>
        <w:t>, 26(2), 211–235.</w:t>
      </w:r>
    </w:p>
    <w:p w:rsidR="001018BA" w:rsidRPr="00EA424F" w:rsidRDefault="001018BA" w:rsidP="001018BA">
      <w:pPr>
        <w:pStyle w:val="p1"/>
        <w:numPr>
          <w:ilvl w:val="0"/>
          <w:numId w:val="52"/>
        </w:numPr>
        <w:rPr>
          <w:color w:val="000000" w:themeColor="text1"/>
        </w:rPr>
      </w:pPr>
      <w:r w:rsidRPr="00EA424F">
        <w:rPr>
          <w:color w:val="000000" w:themeColor="text1"/>
        </w:rPr>
        <w:t xml:space="preserve">Johnson, L. (2017). Symbolic systems and urban stress. </w:t>
      </w:r>
      <w:r w:rsidRPr="00EA424F">
        <w:rPr>
          <w:i/>
          <w:iCs/>
          <w:color w:val="000000" w:themeColor="text1"/>
        </w:rPr>
        <w:t>Journal of Social Archaeology</w:t>
      </w:r>
      <w:r w:rsidRPr="00EA424F">
        <w:rPr>
          <w:color w:val="000000" w:themeColor="text1"/>
        </w:rPr>
        <w:t>, 17(3), 287–311.</w:t>
      </w:r>
    </w:p>
    <w:p w:rsidR="001018BA" w:rsidRPr="00EA424F" w:rsidRDefault="001018BA" w:rsidP="001018BA">
      <w:pPr>
        <w:pStyle w:val="p1"/>
        <w:numPr>
          <w:ilvl w:val="0"/>
          <w:numId w:val="52"/>
        </w:numPr>
        <w:rPr>
          <w:color w:val="000000" w:themeColor="text1"/>
        </w:rPr>
      </w:pPr>
      <w:r w:rsidRPr="00EA424F">
        <w:rPr>
          <w:color w:val="000000" w:themeColor="text1"/>
        </w:rPr>
        <w:t xml:space="preserve">Kenoyer, J. M. (2018). Craft specialization and symbolic systems in the Indus. </w:t>
      </w:r>
      <w:r w:rsidRPr="00EA424F">
        <w:rPr>
          <w:i/>
          <w:iCs/>
          <w:color w:val="000000" w:themeColor="text1"/>
        </w:rPr>
        <w:t>Journal of Anthropological Archaeology</w:t>
      </w:r>
      <w:r w:rsidRPr="00EA424F">
        <w:rPr>
          <w:color w:val="000000" w:themeColor="text1"/>
        </w:rPr>
        <w:t>, 52, 101–120.</w:t>
      </w:r>
    </w:p>
    <w:p w:rsidR="001018BA" w:rsidRPr="00EA424F" w:rsidRDefault="001018BA" w:rsidP="001018BA">
      <w:pPr>
        <w:pStyle w:val="p1"/>
        <w:numPr>
          <w:ilvl w:val="0"/>
          <w:numId w:val="52"/>
        </w:numPr>
        <w:rPr>
          <w:color w:val="000000" w:themeColor="text1"/>
        </w:rPr>
      </w:pPr>
      <w:r w:rsidRPr="00EA424F">
        <w:rPr>
          <w:color w:val="000000" w:themeColor="text1"/>
        </w:rPr>
        <w:t xml:space="preserve">Lee, C. (2017). Early Egyptian writing and terminal symbolic systems. </w:t>
      </w:r>
      <w:r w:rsidRPr="00EA424F">
        <w:rPr>
          <w:i/>
          <w:iCs/>
          <w:color w:val="000000" w:themeColor="text1"/>
        </w:rPr>
        <w:t>Egyptian Archaeology</w:t>
      </w:r>
      <w:r w:rsidRPr="00EA424F">
        <w:rPr>
          <w:color w:val="000000" w:themeColor="text1"/>
        </w:rPr>
        <w:t>, 50, 22–40.</w:t>
      </w:r>
    </w:p>
    <w:p w:rsidR="001018BA" w:rsidRPr="00EA424F" w:rsidRDefault="001018BA" w:rsidP="001018BA">
      <w:pPr>
        <w:pStyle w:val="p1"/>
        <w:numPr>
          <w:ilvl w:val="0"/>
          <w:numId w:val="52"/>
        </w:numPr>
        <w:rPr>
          <w:color w:val="000000" w:themeColor="text1"/>
        </w:rPr>
      </w:pPr>
      <w:r w:rsidRPr="00EA424F">
        <w:rPr>
          <w:color w:val="000000" w:themeColor="text1"/>
        </w:rPr>
        <w:t xml:space="preserve">Vondoom, A. (2026). </w:t>
      </w:r>
      <w:r w:rsidRPr="00EA424F">
        <w:rPr>
          <w:i/>
          <w:iCs/>
          <w:color w:val="000000" w:themeColor="text1"/>
        </w:rPr>
        <w:t>Deep Symbolic Stabilization in Sri Lanka</w:t>
      </w:r>
      <w:r w:rsidRPr="00EA424F">
        <w:rPr>
          <w:color w:val="000000" w:themeColor="text1"/>
        </w:rPr>
        <w:t>. OSF Preprints.</w:t>
      </w:r>
    </w:p>
    <w:p w:rsidR="00C52032" w:rsidRPr="00EA424F" w:rsidRDefault="00C52032" w:rsidP="001018BA">
      <w:pPr>
        <w:rPr>
          <w:rFonts w:ascii="Times New Roman" w:hAnsi="Times New Roman" w:cs="Times New Roman"/>
          <w:color w:val="000000" w:themeColor="text1"/>
        </w:rPr>
      </w:pPr>
    </w:p>
    <w:sectPr w:rsidR="00C52032" w:rsidRPr="00EA424F" w:rsidSect="00EA424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BE7"/>
    <w:multiLevelType w:val="multilevel"/>
    <w:tmpl w:val="4CEC6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80AD7"/>
    <w:multiLevelType w:val="multilevel"/>
    <w:tmpl w:val="0EE26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E04940"/>
    <w:multiLevelType w:val="multilevel"/>
    <w:tmpl w:val="9C04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415BF"/>
    <w:multiLevelType w:val="multilevel"/>
    <w:tmpl w:val="FE966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F6F20"/>
    <w:multiLevelType w:val="multilevel"/>
    <w:tmpl w:val="E046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A543F"/>
    <w:multiLevelType w:val="multilevel"/>
    <w:tmpl w:val="62B8A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30F48"/>
    <w:multiLevelType w:val="multilevel"/>
    <w:tmpl w:val="E5C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64C95"/>
    <w:multiLevelType w:val="multilevel"/>
    <w:tmpl w:val="4FE2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532FC"/>
    <w:multiLevelType w:val="multilevel"/>
    <w:tmpl w:val="360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F411F"/>
    <w:multiLevelType w:val="multilevel"/>
    <w:tmpl w:val="EDBC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C11DB"/>
    <w:multiLevelType w:val="multilevel"/>
    <w:tmpl w:val="7C369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C31A56"/>
    <w:multiLevelType w:val="multilevel"/>
    <w:tmpl w:val="04884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93CBC"/>
    <w:multiLevelType w:val="multilevel"/>
    <w:tmpl w:val="701E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6472D0"/>
    <w:multiLevelType w:val="multilevel"/>
    <w:tmpl w:val="D854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5B52FD"/>
    <w:multiLevelType w:val="multilevel"/>
    <w:tmpl w:val="FD7E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72711"/>
    <w:multiLevelType w:val="multilevel"/>
    <w:tmpl w:val="C78E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C7242"/>
    <w:multiLevelType w:val="multilevel"/>
    <w:tmpl w:val="184C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A0456"/>
    <w:multiLevelType w:val="multilevel"/>
    <w:tmpl w:val="2B7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70F3E"/>
    <w:multiLevelType w:val="multilevel"/>
    <w:tmpl w:val="D574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BA6F5C"/>
    <w:multiLevelType w:val="multilevel"/>
    <w:tmpl w:val="EA6E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72996"/>
    <w:multiLevelType w:val="multilevel"/>
    <w:tmpl w:val="5AB2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00F3A"/>
    <w:multiLevelType w:val="multilevel"/>
    <w:tmpl w:val="CBB8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5637E6"/>
    <w:multiLevelType w:val="multilevel"/>
    <w:tmpl w:val="3DC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578D0"/>
    <w:multiLevelType w:val="multilevel"/>
    <w:tmpl w:val="0974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B6DB7"/>
    <w:multiLevelType w:val="multilevel"/>
    <w:tmpl w:val="C35A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8737BF"/>
    <w:multiLevelType w:val="multilevel"/>
    <w:tmpl w:val="8EC0D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3D6BEF"/>
    <w:multiLevelType w:val="multilevel"/>
    <w:tmpl w:val="204A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82CF8"/>
    <w:multiLevelType w:val="multilevel"/>
    <w:tmpl w:val="D55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F512DB"/>
    <w:multiLevelType w:val="multilevel"/>
    <w:tmpl w:val="29C48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AE56BB"/>
    <w:multiLevelType w:val="multilevel"/>
    <w:tmpl w:val="2B5E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153643"/>
    <w:multiLevelType w:val="multilevel"/>
    <w:tmpl w:val="D33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43454"/>
    <w:multiLevelType w:val="multilevel"/>
    <w:tmpl w:val="75F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61AD5"/>
    <w:multiLevelType w:val="multilevel"/>
    <w:tmpl w:val="127A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6F0FAA"/>
    <w:multiLevelType w:val="multilevel"/>
    <w:tmpl w:val="31E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184DD7"/>
    <w:multiLevelType w:val="multilevel"/>
    <w:tmpl w:val="D4508D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0D65D2"/>
    <w:multiLevelType w:val="multilevel"/>
    <w:tmpl w:val="D8DE3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575393"/>
    <w:multiLevelType w:val="multilevel"/>
    <w:tmpl w:val="EBBC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123315"/>
    <w:multiLevelType w:val="multilevel"/>
    <w:tmpl w:val="AF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626433"/>
    <w:multiLevelType w:val="multilevel"/>
    <w:tmpl w:val="77C6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9B04DC"/>
    <w:multiLevelType w:val="multilevel"/>
    <w:tmpl w:val="5B8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1018B4"/>
    <w:multiLevelType w:val="multilevel"/>
    <w:tmpl w:val="E388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543040"/>
    <w:multiLevelType w:val="multilevel"/>
    <w:tmpl w:val="7660B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A611A7"/>
    <w:multiLevelType w:val="multilevel"/>
    <w:tmpl w:val="E1C6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070077"/>
    <w:multiLevelType w:val="multilevel"/>
    <w:tmpl w:val="E20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EA3B0E"/>
    <w:multiLevelType w:val="multilevel"/>
    <w:tmpl w:val="6B78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4C09F8"/>
    <w:multiLevelType w:val="multilevel"/>
    <w:tmpl w:val="453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AA144E"/>
    <w:multiLevelType w:val="multilevel"/>
    <w:tmpl w:val="6C9E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E61AAE"/>
    <w:multiLevelType w:val="multilevel"/>
    <w:tmpl w:val="550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872691"/>
    <w:multiLevelType w:val="multilevel"/>
    <w:tmpl w:val="9EA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B60C0B"/>
    <w:multiLevelType w:val="multilevel"/>
    <w:tmpl w:val="6EE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C545FB"/>
    <w:multiLevelType w:val="multilevel"/>
    <w:tmpl w:val="DAB8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E01668E"/>
    <w:multiLevelType w:val="multilevel"/>
    <w:tmpl w:val="2D9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DB0C64"/>
    <w:multiLevelType w:val="multilevel"/>
    <w:tmpl w:val="112E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C46808"/>
    <w:multiLevelType w:val="multilevel"/>
    <w:tmpl w:val="9FD0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B955F3"/>
    <w:multiLevelType w:val="multilevel"/>
    <w:tmpl w:val="01CE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78E4384"/>
    <w:multiLevelType w:val="multilevel"/>
    <w:tmpl w:val="E46C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425B0C"/>
    <w:multiLevelType w:val="multilevel"/>
    <w:tmpl w:val="42B69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3538D2"/>
    <w:multiLevelType w:val="multilevel"/>
    <w:tmpl w:val="285CD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B5078DA"/>
    <w:multiLevelType w:val="multilevel"/>
    <w:tmpl w:val="389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DED4211"/>
    <w:multiLevelType w:val="multilevel"/>
    <w:tmpl w:val="7CE8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796772">
    <w:abstractNumId w:val="42"/>
  </w:num>
  <w:num w:numId="2" w16cid:durableId="1836141384">
    <w:abstractNumId w:val="46"/>
  </w:num>
  <w:num w:numId="3" w16cid:durableId="766315765">
    <w:abstractNumId w:val="32"/>
  </w:num>
  <w:num w:numId="4" w16cid:durableId="229778847">
    <w:abstractNumId w:val="19"/>
  </w:num>
  <w:num w:numId="5" w16cid:durableId="1363093281">
    <w:abstractNumId w:val="58"/>
  </w:num>
  <w:num w:numId="6" w16cid:durableId="309795567">
    <w:abstractNumId w:val="13"/>
  </w:num>
  <w:num w:numId="7" w16cid:durableId="665087928">
    <w:abstractNumId w:val="55"/>
  </w:num>
  <w:num w:numId="8" w16cid:durableId="155653330">
    <w:abstractNumId w:val="15"/>
  </w:num>
  <w:num w:numId="9" w16cid:durableId="1682395629">
    <w:abstractNumId w:val="49"/>
  </w:num>
  <w:num w:numId="10" w16cid:durableId="406879119">
    <w:abstractNumId w:val="24"/>
  </w:num>
  <w:num w:numId="11" w16cid:durableId="848449807">
    <w:abstractNumId w:val="22"/>
  </w:num>
  <w:num w:numId="12" w16cid:durableId="1694266236">
    <w:abstractNumId w:val="48"/>
  </w:num>
  <w:num w:numId="13" w16cid:durableId="546992640">
    <w:abstractNumId w:val="17"/>
  </w:num>
  <w:num w:numId="14" w16cid:durableId="733310321">
    <w:abstractNumId w:val="23"/>
  </w:num>
  <w:num w:numId="15" w16cid:durableId="767114157">
    <w:abstractNumId w:val="44"/>
  </w:num>
  <w:num w:numId="16" w16cid:durableId="2039236699">
    <w:abstractNumId w:val="2"/>
  </w:num>
  <w:num w:numId="17" w16cid:durableId="1427725052">
    <w:abstractNumId w:val="0"/>
  </w:num>
  <w:num w:numId="18" w16cid:durableId="554894803">
    <w:abstractNumId w:val="21"/>
  </w:num>
  <w:num w:numId="19" w16cid:durableId="1620867940">
    <w:abstractNumId w:val="3"/>
  </w:num>
  <w:num w:numId="20" w16cid:durableId="286594498">
    <w:abstractNumId w:val="5"/>
  </w:num>
  <w:num w:numId="21" w16cid:durableId="130513640">
    <w:abstractNumId w:val="56"/>
  </w:num>
  <w:num w:numId="22" w16cid:durableId="1800763467">
    <w:abstractNumId w:val="39"/>
  </w:num>
  <w:num w:numId="23" w16cid:durableId="394933135">
    <w:abstractNumId w:val="43"/>
  </w:num>
  <w:num w:numId="24" w16cid:durableId="25302626">
    <w:abstractNumId w:val="18"/>
  </w:num>
  <w:num w:numId="25" w16cid:durableId="2077362507">
    <w:abstractNumId w:val="54"/>
  </w:num>
  <w:num w:numId="26" w16cid:durableId="137454370">
    <w:abstractNumId w:val="16"/>
  </w:num>
  <w:num w:numId="27" w16cid:durableId="515464352">
    <w:abstractNumId w:val="33"/>
  </w:num>
  <w:num w:numId="28" w16cid:durableId="2091465031">
    <w:abstractNumId w:val="14"/>
  </w:num>
  <w:num w:numId="29" w16cid:durableId="646589054">
    <w:abstractNumId w:val="7"/>
  </w:num>
  <w:num w:numId="30" w16cid:durableId="1266037191">
    <w:abstractNumId w:val="34"/>
  </w:num>
  <w:num w:numId="31" w16cid:durableId="145098133">
    <w:abstractNumId w:val="52"/>
  </w:num>
  <w:num w:numId="32" w16cid:durableId="574556356">
    <w:abstractNumId w:val="29"/>
  </w:num>
  <w:num w:numId="33" w16cid:durableId="1087847895">
    <w:abstractNumId w:val="53"/>
  </w:num>
  <w:num w:numId="34" w16cid:durableId="1771655018">
    <w:abstractNumId w:val="10"/>
  </w:num>
  <w:num w:numId="35" w16cid:durableId="390887653">
    <w:abstractNumId w:val="31"/>
  </w:num>
  <w:num w:numId="36" w16cid:durableId="37122640">
    <w:abstractNumId w:val="25"/>
  </w:num>
  <w:num w:numId="37" w16cid:durableId="1303731833">
    <w:abstractNumId w:val="20"/>
  </w:num>
  <w:num w:numId="38" w16cid:durableId="261839310">
    <w:abstractNumId w:val="11"/>
  </w:num>
  <w:num w:numId="39" w16cid:durableId="270165867">
    <w:abstractNumId w:val="26"/>
  </w:num>
  <w:num w:numId="40" w16cid:durableId="1571498919">
    <w:abstractNumId w:val="28"/>
  </w:num>
  <w:num w:numId="41" w16cid:durableId="539128056">
    <w:abstractNumId w:val="47"/>
  </w:num>
  <w:num w:numId="42" w16cid:durableId="2075346834">
    <w:abstractNumId w:val="8"/>
  </w:num>
  <w:num w:numId="43" w16cid:durableId="464079204">
    <w:abstractNumId w:val="36"/>
  </w:num>
  <w:num w:numId="44" w16cid:durableId="590552199">
    <w:abstractNumId w:val="12"/>
  </w:num>
  <w:num w:numId="45" w16cid:durableId="2097045360">
    <w:abstractNumId w:val="4"/>
  </w:num>
  <w:num w:numId="46" w16cid:durableId="1490369272">
    <w:abstractNumId w:val="1"/>
  </w:num>
  <w:num w:numId="47" w16cid:durableId="1427992125">
    <w:abstractNumId w:val="50"/>
  </w:num>
  <w:num w:numId="48" w16cid:durableId="1195072308">
    <w:abstractNumId w:val="40"/>
  </w:num>
  <w:num w:numId="49" w16cid:durableId="469710383">
    <w:abstractNumId w:val="51"/>
  </w:num>
  <w:num w:numId="50" w16cid:durableId="626158698">
    <w:abstractNumId w:val="57"/>
  </w:num>
  <w:num w:numId="51" w16cid:durableId="1853103917">
    <w:abstractNumId w:val="59"/>
  </w:num>
  <w:num w:numId="52" w16cid:durableId="1733698250">
    <w:abstractNumId w:val="30"/>
  </w:num>
  <w:num w:numId="53" w16cid:durableId="1986424053">
    <w:abstractNumId w:val="38"/>
  </w:num>
  <w:num w:numId="54" w16cid:durableId="1530030525">
    <w:abstractNumId w:val="45"/>
  </w:num>
  <w:num w:numId="55" w16cid:durableId="1054505572">
    <w:abstractNumId w:val="27"/>
  </w:num>
  <w:num w:numId="56" w16cid:durableId="1480732008">
    <w:abstractNumId w:val="9"/>
  </w:num>
  <w:num w:numId="57" w16cid:durableId="64693292">
    <w:abstractNumId w:val="6"/>
  </w:num>
  <w:num w:numId="58" w16cid:durableId="1185169988">
    <w:abstractNumId w:val="41"/>
  </w:num>
  <w:num w:numId="59" w16cid:durableId="379207753">
    <w:abstractNumId w:val="35"/>
  </w:num>
  <w:num w:numId="60" w16cid:durableId="12188624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32"/>
    <w:rsid w:val="001018BA"/>
    <w:rsid w:val="00211822"/>
    <w:rsid w:val="00221FED"/>
    <w:rsid w:val="0022257D"/>
    <w:rsid w:val="002D0550"/>
    <w:rsid w:val="002D5075"/>
    <w:rsid w:val="00443BFE"/>
    <w:rsid w:val="005118C8"/>
    <w:rsid w:val="00612B02"/>
    <w:rsid w:val="006136DF"/>
    <w:rsid w:val="006D517E"/>
    <w:rsid w:val="008C5F9E"/>
    <w:rsid w:val="00C52032"/>
    <w:rsid w:val="00C73E2D"/>
    <w:rsid w:val="00D25D97"/>
    <w:rsid w:val="00DF44CF"/>
    <w:rsid w:val="00E92652"/>
    <w:rsid w:val="00EA424F"/>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F8F4"/>
  <w15:chartTrackingRefBased/>
  <w15:docId w15:val="{1E5AA8A0-3717-AA4B-B11F-FCC6BD22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203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5203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52032"/>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018B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03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520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52032"/>
    <w:rPr>
      <w:rFonts w:ascii="Times New Roman" w:eastAsia="Times New Roman" w:hAnsi="Times New Roman" w:cs="Times New Roman"/>
      <w:b/>
      <w:bCs/>
      <w:sz w:val="27"/>
      <w:szCs w:val="27"/>
      <w:lang w:eastAsia="en-GB"/>
    </w:rPr>
  </w:style>
  <w:style w:type="paragraph" w:customStyle="1" w:styleId="p1">
    <w:name w:val="p1"/>
    <w:basedOn w:val="Normal"/>
    <w:rsid w:val="00C52032"/>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C52032"/>
  </w:style>
  <w:style w:type="paragraph" w:customStyle="1" w:styleId="p2">
    <w:name w:val="p2"/>
    <w:basedOn w:val="Normal"/>
    <w:rsid w:val="00C52032"/>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C52032"/>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C52032"/>
  </w:style>
  <w:style w:type="paragraph" w:customStyle="1" w:styleId="p4">
    <w:name w:val="p4"/>
    <w:basedOn w:val="Normal"/>
    <w:rsid w:val="00C52032"/>
    <w:pPr>
      <w:spacing w:before="100" w:beforeAutospacing="1" w:after="100" w:afterAutospacing="1"/>
    </w:pPr>
    <w:rPr>
      <w:rFonts w:ascii="Times New Roman" w:eastAsia="Times New Roman" w:hAnsi="Times New Roman" w:cs="Times New Roman"/>
      <w:lang w:eastAsia="en-GB"/>
    </w:rPr>
  </w:style>
  <w:style w:type="character" w:customStyle="1" w:styleId="s3">
    <w:name w:val="s3"/>
    <w:basedOn w:val="DefaultParagraphFont"/>
    <w:rsid w:val="00C52032"/>
  </w:style>
  <w:style w:type="character" w:customStyle="1" w:styleId="Heading4Char">
    <w:name w:val="Heading 4 Char"/>
    <w:basedOn w:val="DefaultParagraphFont"/>
    <w:link w:val="Heading4"/>
    <w:uiPriority w:val="9"/>
    <w:semiHidden/>
    <w:rsid w:val="001018BA"/>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21FED"/>
    <w:rPr>
      <w:color w:val="0563C1" w:themeColor="hyperlink"/>
      <w:u w:val="single"/>
    </w:rPr>
  </w:style>
  <w:style w:type="character" w:styleId="UnresolvedMention">
    <w:name w:val="Unresolved Mention"/>
    <w:basedOn w:val="DefaultParagraphFont"/>
    <w:uiPriority w:val="99"/>
    <w:semiHidden/>
    <w:unhideWhenUsed/>
    <w:rsid w:val="00221FED"/>
    <w:rPr>
      <w:color w:val="605E5C"/>
      <w:shd w:val="clear" w:color="auto" w:fill="E1DFDD"/>
    </w:rPr>
  </w:style>
  <w:style w:type="character" w:styleId="FollowedHyperlink">
    <w:name w:val="FollowedHyperlink"/>
    <w:basedOn w:val="DefaultParagraphFont"/>
    <w:uiPriority w:val="99"/>
    <w:semiHidden/>
    <w:unhideWhenUsed/>
    <w:rsid w:val="00221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1334">
      <w:bodyDiv w:val="1"/>
      <w:marLeft w:val="0"/>
      <w:marRight w:val="0"/>
      <w:marTop w:val="0"/>
      <w:marBottom w:val="0"/>
      <w:divBdr>
        <w:top w:val="none" w:sz="0" w:space="0" w:color="auto"/>
        <w:left w:val="none" w:sz="0" w:space="0" w:color="auto"/>
        <w:bottom w:val="none" w:sz="0" w:space="0" w:color="auto"/>
        <w:right w:val="none" w:sz="0" w:space="0" w:color="auto"/>
      </w:divBdr>
    </w:div>
    <w:div w:id="467669047">
      <w:bodyDiv w:val="1"/>
      <w:marLeft w:val="0"/>
      <w:marRight w:val="0"/>
      <w:marTop w:val="0"/>
      <w:marBottom w:val="0"/>
      <w:divBdr>
        <w:top w:val="none" w:sz="0" w:space="0" w:color="auto"/>
        <w:left w:val="none" w:sz="0" w:space="0" w:color="auto"/>
        <w:bottom w:val="none" w:sz="0" w:space="0" w:color="auto"/>
        <w:right w:val="none" w:sz="0" w:space="0" w:color="auto"/>
      </w:divBdr>
      <w:divsChild>
        <w:div w:id="29314374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595864061">
      <w:bodyDiv w:val="1"/>
      <w:marLeft w:val="0"/>
      <w:marRight w:val="0"/>
      <w:marTop w:val="0"/>
      <w:marBottom w:val="0"/>
      <w:divBdr>
        <w:top w:val="none" w:sz="0" w:space="0" w:color="auto"/>
        <w:left w:val="none" w:sz="0" w:space="0" w:color="auto"/>
        <w:bottom w:val="none" w:sz="0" w:space="0" w:color="auto"/>
        <w:right w:val="none" w:sz="0" w:space="0" w:color="auto"/>
      </w:divBdr>
      <w:divsChild>
        <w:div w:id="9738289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40839209">
      <w:bodyDiv w:val="1"/>
      <w:marLeft w:val="0"/>
      <w:marRight w:val="0"/>
      <w:marTop w:val="0"/>
      <w:marBottom w:val="0"/>
      <w:divBdr>
        <w:top w:val="none" w:sz="0" w:space="0" w:color="auto"/>
        <w:left w:val="none" w:sz="0" w:space="0" w:color="auto"/>
        <w:bottom w:val="none" w:sz="0" w:space="0" w:color="auto"/>
        <w:right w:val="none" w:sz="0" w:space="0" w:color="auto"/>
      </w:divBdr>
    </w:div>
    <w:div w:id="967705330">
      <w:bodyDiv w:val="1"/>
      <w:marLeft w:val="0"/>
      <w:marRight w:val="0"/>
      <w:marTop w:val="0"/>
      <w:marBottom w:val="0"/>
      <w:divBdr>
        <w:top w:val="none" w:sz="0" w:space="0" w:color="auto"/>
        <w:left w:val="none" w:sz="0" w:space="0" w:color="auto"/>
        <w:bottom w:val="none" w:sz="0" w:space="0" w:color="auto"/>
        <w:right w:val="none" w:sz="0" w:space="0" w:color="auto"/>
      </w:divBdr>
    </w:div>
    <w:div w:id="1751190960">
      <w:bodyDiv w:val="1"/>
      <w:marLeft w:val="0"/>
      <w:marRight w:val="0"/>
      <w:marTop w:val="0"/>
      <w:marBottom w:val="0"/>
      <w:divBdr>
        <w:top w:val="none" w:sz="0" w:space="0" w:color="auto"/>
        <w:left w:val="none" w:sz="0" w:space="0" w:color="auto"/>
        <w:bottom w:val="none" w:sz="0" w:space="0" w:color="auto"/>
        <w:right w:val="none" w:sz="0" w:space="0" w:color="auto"/>
      </w:divBdr>
    </w:div>
    <w:div w:id="1855992526">
      <w:bodyDiv w:val="1"/>
      <w:marLeft w:val="0"/>
      <w:marRight w:val="0"/>
      <w:marTop w:val="0"/>
      <w:marBottom w:val="0"/>
      <w:divBdr>
        <w:top w:val="none" w:sz="0" w:space="0" w:color="auto"/>
        <w:left w:val="none" w:sz="0" w:space="0" w:color="auto"/>
        <w:bottom w:val="none" w:sz="0" w:space="0" w:color="auto"/>
        <w:right w:val="none" w:sz="0" w:space="0" w:color="auto"/>
      </w:divBdr>
    </w:div>
    <w:div w:id="2078505252">
      <w:bodyDiv w:val="1"/>
      <w:marLeft w:val="0"/>
      <w:marRight w:val="0"/>
      <w:marTop w:val="0"/>
      <w:marBottom w:val="0"/>
      <w:divBdr>
        <w:top w:val="none" w:sz="0" w:space="0" w:color="auto"/>
        <w:left w:val="none" w:sz="0" w:space="0" w:color="auto"/>
        <w:bottom w:val="none" w:sz="0" w:space="0" w:color="auto"/>
        <w:right w:val="none" w:sz="0" w:space="0" w:color="auto"/>
      </w:divBdr>
    </w:div>
    <w:div w:id="211412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YW5GM" TargetMode="External"/><Relationship Id="rId5" Type="http://schemas.openxmlformats.org/officeDocument/2006/relationships/hyperlink" Target="https://doi.org/10.6084/m9.figshare.311586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2026-01-27T15:10:00Z</cp:lastPrinted>
  <dcterms:created xsi:type="dcterms:W3CDTF">2026-01-27T15:10:00Z</dcterms:created>
  <dcterms:modified xsi:type="dcterms:W3CDTF">2026-01-27T15:28:00Z</dcterms:modified>
</cp:coreProperties>
</file>