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49B5" w:rsidRPr="003D40C2" w:rsidRDefault="00A35BEF" w:rsidP="00A35BEF">
      <w:pPr>
        <w:pStyle w:val="Heading1"/>
        <w:rPr>
          <w:rFonts w:ascii="Times New Roman" w:hAnsi="Times New Roman" w:cs="Times New Roman"/>
          <w:b/>
          <w:bCs/>
          <w:color w:val="000000" w:themeColor="text1"/>
        </w:rPr>
      </w:pPr>
      <w:r w:rsidRPr="003D40C2">
        <w:rPr>
          <w:rFonts w:ascii="Times New Roman" w:hAnsi="Times New Roman" w:cs="Times New Roman"/>
          <w:b/>
          <w:bCs/>
          <w:color w:val="000000" w:themeColor="text1"/>
          <w:sz w:val="56"/>
          <w:szCs w:val="56"/>
        </w:rPr>
        <w:t>Symbolic Transmission Before Writing:</w:t>
      </w:r>
      <w:r w:rsidRPr="003D40C2">
        <w:rPr>
          <w:rFonts w:ascii="Times New Roman" w:hAnsi="Times New Roman" w:cs="Times New Roman"/>
          <w:b/>
          <w:bCs/>
          <w:color w:val="000000" w:themeColor="text1"/>
        </w:rPr>
        <w:t xml:space="preserve"> </w:t>
      </w:r>
    </w:p>
    <w:p w:rsidR="00A35BEF" w:rsidRPr="00C249B5" w:rsidRDefault="00A35BEF" w:rsidP="00A35BEF">
      <w:pPr>
        <w:pStyle w:val="Heading1"/>
        <w:rPr>
          <w:rFonts w:ascii="Times New Roman" w:hAnsi="Times New Roman" w:cs="Times New Roman"/>
          <w:i/>
          <w:iCs/>
          <w:color w:val="000000" w:themeColor="text1"/>
          <w:sz w:val="28"/>
          <w:szCs w:val="28"/>
        </w:rPr>
      </w:pPr>
      <w:r w:rsidRPr="00C249B5">
        <w:rPr>
          <w:rFonts w:ascii="Times New Roman" w:hAnsi="Times New Roman" w:cs="Times New Roman"/>
          <w:i/>
          <w:iCs/>
          <w:color w:val="000000" w:themeColor="text1"/>
          <w:sz w:val="28"/>
          <w:szCs w:val="28"/>
        </w:rPr>
        <w:t>DSSM, Trade, and Administrative Crystallization in Eurasia</w:t>
      </w:r>
    </w:p>
    <w:p w:rsidR="003D40C2" w:rsidRPr="009E4647" w:rsidRDefault="003D40C2" w:rsidP="00A35BEF">
      <w:pPr>
        <w:pStyle w:val="p3"/>
        <w:rPr>
          <w:color w:val="000000" w:themeColor="text1"/>
          <w:sz w:val="28"/>
          <w:szCs w:val="28"/>
          <w:lang w:val="en-US"/>
        </w:rPr>
      </w:pPr>
    </w:p>
    <w:p w:rsidR="003D40C2" w:rsidRPr="009E4647" w:rsidRDefault="003D40C2"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Default="009E4647" w:rsidP="00A35BEF">
      <w:pPr>
        <w:pStyle w:val="p3"/>
        <w:rPr>
          <w:color w:val="000000" w:themeColor="text1"/>
          <w:sz w:val="28"/>
          <w:szCs w:val="28"/>
          <w:lang w:val="en-US"/>
        </w:rPr>
      </w:pPr>
    </w:p>
    <w:p w:rsidR="009E4647" w:rsidRPr="009E4647" w:rsidRDefault="009E4647" w:rsidP="00A35BEF">
      <w:pPr>
        <w:pStyle w:val="p3"/>
        <w:rPr>
          <w:color w:val="000000" w:themeColor="text1"/>
          <w:sz w:val="28"/>
          <w:szCs w:val="28"/>
          <w:lang w:val="en-US"/>
        </w:rPr>
      </w:pPr>
    </w:p>
    <w:p w:rsidR="00A35BEF" w:rsidRPr="003D40C2" w:rsidRDefault="003D40C2" w:rsidP="00A35BEF">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3D40C2" w:rsidRPr="003D40C2" w:rsidRDefault="003D40C2" w:rsidP="003D40C2">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Pr="003D40C2">
        <w:rPr>
          <w:rFonts w:ascii="Times New Roman" w:eastAsia="Times New Roman" w:hAnsi="Times New Roman" w:cs="Times New Roman"/>
          <w:b/>
          <w:bCs/>
          <w:lang w:val="en-US" w:eastAsia="en-GB"/>
        </w:rPr>
        <w:t>Figshare</w:t>
      </w:r>
      <w:proofErr w:type="spellEnd"/>
      <w:r w:rsidRPr="003D40C2">
        <w:rPr>
          <w:rFonts w:ascii="Times New Roman" w:eastAsia="Times New Roman" w:hAnsi="Times New Roman" w:cs="Times New Roman"/>
          <w:b/>
          <w:bCs/>
          <w:lang w:val="en-US" w:eastAsia="en-GB"/>
        </w:rPr>
        <w:t xml:space="preserve"> preprint</w:t>
      </w:r>
      <w:r w:rsidR="00F911F7">
        <w:rPr>
          <w:rFonts w:ascii="Times New Roman" w:eastAsia="Times New Roman" w:hAnsi="Times New Roman" w:cs="Times New Roman"/>
          <w:b/>
          <w:bCs/>
          <w:lang w:val="en-US" w:eastAsia="en-GB"/>
        </w:rPr>
        <w:t xml:space="preserve"> </w:t>
      </w:r>
      <w:hyperlink r:id="rId5" w:history="1">
        <w:r w:rsidR="00F911F7" w:rsidRPr="00F911F7">
          <w:rPr>
            <w:rStyle w:val="Hyperlink"/>
            <w:rFonts w:ascii="Times New Roman" w:eastAsia="Times New Roman" w:hAnsi="Times New Roman" w:cs="Times New Roman"/>
            <w:b/>
            <w:bCs/>
            <w:lang w:val="en-US" w:eastAsia="en-GB"/>
          </w:rPr>
          <w:t>https://doi.org/10.6084/m9.figshare.31157386</w:t>
        </w:r>
      </w:hyperlink>
    </w:p>
    <w:p w:rsidR="00A35BEF" w:rsidRDefault="00A35BEF" w:rsidP="00A35BEF">
      <w:pPr>
        <w:rPr>
          <w:rStyle w:val="s1"/>
          <w:rFonts w:ascii="Times New Roman" w:hAnsi="Times New Roman" w:cs="Times New Roman"/>
          <w:color w:val="000000" w:themeColor="text1"/>
        </w:rPr>
      </w:pPr>
    </w:p>
    <w:p w:rsidR="00C249B5" w:rsidRPr="00C249B5" w:rsidRDefault="00C249B5" w:rsidP="00A35BEF">
      <w:pPr>
        <w:rPr>
          <w:rStyle w:val="s1"/>
          <w:rFonts w:ascii="Times New Roman" w:hAnsi="Times New Roman" w:cs="Times New Roman"/>
          <w:color w:val="000000" w:themeColor="text1"/>
        </w:rPr>
      </w:pPr>
    </w:p>
    <w:p w:rsidR="00A35BEF" w:rsidRPr="00C249B5" w:rsidRDefault="00A35BEF" w:rsidP="00C249B5">
      <w:pPr>
        <w:pStyle w:val="Heading2"/>
        <w:rPr>
          <w:color w:val="000000" w:themeColor="text1"/>
          <w:sz w:val="28"/>
          <w:szCs w:val="28"/>
        </w:rPr>
      </w:pPr>
      <w:r w:rsidRPr="00C249B5">
        <w:rPr>
          <w:color w:val="000000" w:themeColor="text1"/>
          <w:sz w:val="28"/>
          <w:szCs w:val="28"/>
        </w:rPr>
        <w:lastRenderedPageBreak/>
        <w:t>Abstract</w:t>
      </w:r>
    </w:p>
    <w:p w:rsidR="00A35BEF" w:rsidRPr="00C249B5" w:rsidRDefault="00A35BEF" w:rsidP="00C249B5">
      <w:pPr>
        <w:pStyle w:val="p1"/>
        <w:ind w:firstLine="720"/>
        <w:rPr>
          <w:color w:val="000000" w:themeColor="text1"/>
        </w:rPr>
      </w:pPr>
      <w:r w:rsidRPr="00C249B5">
        <w:rPr>
          <w:color w:val="000000" w:themeColor="text1"/>
        </w:rPr>
        <w:t>Writing is commonly framed as a linguistic invention emerging independently in a handful of early civilizations. This paper proposes an alternative perspective: writing is a contingent response to symbolic saturation within deeply stabilized systems, which can arise independently across regions through trade, replication, and administrative standardization. Using the Deep Symbolic Systems Model (DSSM), we analyze the mechanisms by which symbolic infrastructures—such as those of the Vinca culture, Mesopotamia, and the Indus Civilization—were transmitted, adapted, and crystallized without requiring mass migration or phonetic encoding. Local production, guided by portable symbolic frameworks, produced functional crystallizations like Indus seals, demonstrating that writing emerges not as a necessary cultural milestone, but as one possible resolution to symbolic overload.</w:t>
      </w:r>
    </w:p>
    <w:p w:rsidR="00A35BEF" w:rsidRPr="00C249B5" w:rsidRDefault="00A35BEF" w:rsidP="00A35BEF">
      <w:pPr>
        <w:pStyle w:val="Heading2"/>
        <w:rPr>
          <w:color w:val="000000" w:themeColor="text1"/>
          <w:sz w:val="28"/>
          <w:szCs w:val="28"/>
        </w:rPr>
      </w:pPr>
      <w:r w:rsidRPr="00C249B5">
        <w:rPr>
          <w:color w:val="000000" w:themeColor="text1"/>
          <w:sz w:val="28"/>
          <w:szCs w:val="28"/>
        </w:rPr>
        <w:t>1. Introduction: Writing as a Contingent Outcome</w:t>
      </w:r>
    </w:p>
    <w:p w:rsidR="00A35BEF" w:rsidRPr="00C249B5" w:rsidRDefault="00A35BEF" w:rsidP="00C249B5">
      <w:pPr>
        <w:pStyle w:val="p1"/>
        <w:ind w:firstLine="720"/>
        <w:rPr>
          <w:color w:val="000000" w:themeColor="text1"/>
        </w:rPr>
      </w:pPr>
      <w:r w:rsidRPr="00C249B5">
        <w:rPr>
          <w:color w:val="000000" w:themeColor="text1"/>
        </w:rPr>
        <w:t>Traditional narratives position writing as a sudden cognitive innovation. DSSM reframes this view: writing emerges only when symbolic systems—through intergenerational repetition, cross-media redundancy, spatial constraint, and persistence under stress—exceed the resolution capacity of embodied or spatial memory. Long before scripts, societies externalized control through standardized production, architecture, and procedural repetition.</w:t>
      </w:r>
    </w:p>
    <w:p w:rsidR="00A35BEF" w:rsidRPr="00C249B5" w:rsidRDefault="00A35BEF" w:rsidP="003D40C2">
      <w:pPr>
        <w:pStyle w:val="p1"/>
        <w:rPr>
          <w:rStyle w:val="s1"/>
          <w:color w:val="000000" w:themeColor="text1"/>
        </w:rPr>
      </w:pPr>
      <w:r w:rsidRPr="00C249B5">
        <w:rPr>
          <w:color w:val="000000" w:themeColor="text1"/>
        </w:rPr>
        <w:t>This paper extends DSSM by integrating trade and conceptual transmission as vectors for symbolic stabilization. We argue that portable symbolic frameworks—concepts of standardization, repetition, and administrative logic—could travel across regions and be locally adapted, producing deep stabilization without mass migration or linguistic continuity.</w:t>
      </w:r>
    </w:p>
    <w:p w:rsidR="00A35BEF" w:rsidRPr="00C249B5" w:rsidRDefault="00A35BEF" w:rsidP="00C249B5">
      <w:pPr>
        <w:pStyle w:val="Heading2"/>
        <w:rPr>
          <w:color w:val="000000" w:themeColor="text1"/>
          <w:sz w:val="28"/>
          <w:szCs w:val="28"/>
        </w:rPr>
      </w:pPr>
      <w:r w:rsidRPr="00C249B5">
        <w:rPr>
          <w:color w:val="000000" w:themeColor="text1"/>
          <w:sz w:val="28"/>
          <w:szCs w:val="28"/>
        </w:rPr>
        <w:t>2. The Deep Symbolic Systems Model (DSSM)</w:t>
      </w:r>
    </w:p>
    <w:p w:rsidR="00A35BEF" w:rsidRPr="00C249B5" w:rsidRDefault="00A35BEF" w:rsidP="00C249B5">
      <w:pPr>
        <w:pStyle w:val="p1"/>
        <w:ind w:firstLine="360"/>
        <w:rPr>
          <w:color w:val="000000" w:themeColor="text1"/>
        </w:rPr>
      </w:pPr>
      <w:r w:rsidRPr="00C249B5">
        <w:rPr>
          <w:color w:val="000000" w:themeColor="text1"/>
        </w:rPr>
        <w:t>DSSM evaluates symbols functionally rather than linguistically. A system achieves deep stabilization when all four conditions are met:</w:t>
      </w:r>
    </w:p>
    <w:p w:rsidR="00A35BEF" w:rsidRPr="00C249B5" w:rsidRDefault="00A35BEF" w:rsidP="00A35BEF">
      <w:pPr>
        <w:pStyle w:val="p1"/>
        <w:numPr>
          <w:ilvl w:val="0"/>
          <w:numId w:val="33"/>
        </w:numPr>
        <w:rPr>
          <w:color w:val="000000" w:themeColor="text1"/>
        </w:rPr>
      </w:pPr>
      <w:r w:rsidRPr="00C249B5">
        <w:rPr>
          <w:rStyle w:val="s1"/>
          <w:b/>
          <w:bCs/>
          <w:color w:val="000000" w:themeColor="text1"/>
        </w:rPr>
        <w:t>Intergenerational Repetition</w:t>
      </w:r>
      <w:r w:rsidRPr="00C249B5">
        <w:rPr>
          <w:color w:val="000000" w:themeColor="text1"/>
        </w:rPr>
        <w:t xml:space="preserve"> – Symbols persist beyond individual lifespans.</w:t>
      </w:r>
    </w:p>
    <w:p w:rsidR="00A35BEF" w:rsidRPr="00C249B5" w:rsidRDefault="00A35BEF" w:rsidP="00A35BEF">
      <w:pPr>
        <w:pStyle w:val="p1"/>
        <w:numPr>
          <w:ilvl w:val="0"/>
          <w:numId w:val="33"/>
        </w:numPr>
        <w:rPr>
          <w:color w:val="000000" w:themeColor="text1"/>
        </w:rPr>
      </w:pPr>
      <w:r w:rsidRPr="00C249B5">
        <w:rPr>
          <w:rStyle w:val="s1"/>
          <w:b/>
          <w:bCs/>
          <w:color w:val="000000" w:themeColor="text1"/>
        </w:rPr>
        <w:t>Cross-Media Redundancy</w:t>
      </w:r>
      <w:r w:rsidRPr="00C249B5">
        <w:rPr>
          <w:color w:val="000000" w:themeColor="text1"/>
        </w:rPr>
        <w:t xml:space="preserve"> – Symbolic logic appears across multiple material domains.</w:t>
      </w:r>
    </w:p>
    <w:p w:rsidR="00A35BEF" w:rsidRPr="00C249B5" w:rsidRDefault="00A35BEF" w:rsidP="00A35BEF">
      <w:pPr>
        <w:pStyle w:val="p1"/>
        <w:numPr>
          <w:ilvl w:val="0"/>
          <w:numId w:val="33"/>
        </w:numPr>
        <w:rPr>
          <w:color w:val="000000" w:themeColor="text1"/>
        </w:rPr>
      </w:pPr>
      <w:r w:rsidRPr="00C249B5">
        <w:rPr>
          <w:rStyle w:val="s1"/>
          <w:b/>
          <w:bCs/>
          <w:color w:val="000000" w:themeColor="text1"/>
        </w:rPr>
        <w:t>Spatial Constraint</w:t>
      </w:r>
      <w:r w:rsidRPr="00C249B5">
        <w:rPr>
          <w:color w:val="000000" w:themeColor="text1"/>
        </w:rPr>
        <w:t xml:space="preserve"> – Symbols regulate access, movement, or authority within bounded spaces.</w:t>
      </w:r>
    </w:p>
    <w:p w:rsidR="00A35BEF" w:rsidRPr="00C249B5" w:rsidRDefault="00A35BEF" w:rsidP="00A35BEF">
      <w:pPr>
        <w:pStyle w:val="p1"/>
        <w:numPr>
          <w:ilvl w:val="0"/>
          <w:numId w:val="33"/>
        </w:numPr>
        <w:rPr>
          <w:color w:val="000000" w:themeColor="text1"/>
        </w:rPr>
      </w:pPr>
      <w:r w:rsidRPr="00C249B5">
        <w:rPr>
          <w:rStyle w:val="s1"/>
          <w:b/>
          <w:bCs/>
          <w:color w:val="000000" w:themeColor="text1"/>
        </w:rPr>
        <w:t>Persistence Under Stress</w:t>
      </w:r>
      <w:r w:rsidRPr="00C249B5">
        <w:rPr>
          <w:color w:val="000000" w:themeColor="text1"/>
        </w:rPr>
        <w:t xml:space="preserve"> – Symbolic coherence survives environmental, demographic, or social disruption.</w:t>
      </w:r>
    </w:p>
    <w:p w:rsidR="00A35BEF" w:rsidRPr="00C249B5" w:rsidRDefault="00A35BEF" w:rsidP="00C249B5">
      <w:pPr>
        <w:pStyle w:val="p1"/>
        <w:rPr>
          <w:rStyle w:val="s1"/>
          <w:color w:val="000000" w:themeColor="text1"/>
        </w:rPr>
      </w:pPr>
      <w:r w:rsidRPr="00C249B5">
        <w:rPr>
          <w:color w:val="000000" w:themeColor="text1"/>
        </w:rPr>
        <w:t>Only when these conditions are satisfied does symbolic load accumulate to the point that writing may become a viable resolution.</w:t>
      </w:r>
    </w:p>
    <w:p w:rsidR="00A35BEF" w:rsidRPr="00C249B5" w:rsidRDefault="00A35BEF" w:rsidP="00C249B5">
      <w:pPr>
        <w:pStyle w:val="Heading2"/>
        <w:rPr>
          <w:color w:val="000000" w:themeColor="text1"/>
        </w:rPr>
      </w:pPr>
      <w:r w:rsidRPr="00C249B5">
        <w:rPr>
          <w:color w:val="000000" w:themeColor="text1"/>
        </w:rPr>
        <w:t>3. Conceptual Transmission via Trade</w:t>
      </w:r>
    </w:p>
    <w:p w:rsidR="00A35BEF" w:rsidRPr="00C249B5" w:rsidRDefault="00A35BEF" w:rsidP="00A35BEF">
      <w:pPr>
        <w:pStyle w:val="p1"/>
        <w:rPr>
          <w:color w:val="000000" w:themeColor="text1"/>
        </w:rPr>
      </w:pPr>
      <w:r w:rsidRPr="00C249B5">
        <w:rPr>
          <w:color w:val="000000" w:themeColor="text1"/>
        </w:rPr>
        <w:t>Trade networks acted as conduits for symbolic frameworks rather than populations.</w:t>
      </w:r>
    </w:p>
    <w:p w:rsidR="00A35BEF" w:rsidRPr="00C249B5" w:rsidRDefault="00A35BEF" w:rsidP="00A35BEF">
      <w:pPr>
        <w:pStyle w:val="p1"/>
        <w:numPr>
          <w:ilvl w:val="0"/>
          <w:numId w:val="34"/>
        </w:numPr>
        <w:rPr>
          <w:color w:val="000000" w:themeColor="text1"/>
        </w:rPr>
      </w:pPr>
      <w:r w:rsidRPr="00C249B5">
        <w:rPr>
          <w:rStyle w:val="s1"/>
          <w:b/>
          <w:bCs/>
          <w:color w:val="000000" w:themeColor="text1"/>
        </w:rPr>
        <w:t>Vinca → Mesopotamia:</w:t>
      </w:r>
      <w:r w:rsidRPr="00C249B5">
        <w:rPr>
          <w:color w:val="000000" w:themeColor="text1"/>
        </w:rPr>
        <w:t xml:space="preserve"> Vinca groups introduced portable cognitive modules—pre-stabilized systems for encoding quantities, commodities, or ritual information. These modules provided adaptable models for administrative organization.</w:t>
      </w:r>
    </w:p>
    <w:p w:rsidR="00A35BEF" w:rsidRPr="00C249B5" w:rsidRDefault="00A35BEF" w:rsidP="00A35BEF">
      <w:pPr>
        <w:pStyle w:val="p1"/>
        <w:numPr>
          <w:ilvl w:val="0"/>
          <w:numId w:val="34"/>
        </w:numPr>
        <w:rPr>
          <w:color w:val="000000" w:themeColor="text1"/>
        </w:rPr>
      </w:pPr>
      <w:r w:rsidRPr="00C249B5">
        <w:rPr>
          <w:rStyle w:val="s1"/>
          <w:b/>
          <w:bCs/>
          <w:color w:val="000000" w:themeColor="text1"/>
        </w:rPr>
        <w:t>Mesopotamia → Indus Valley:</w:t>
      </w:r>
      <w:r w:rsidRPr="00C249B5">
        <w:rPr>
          <w:color w:val="000000" w:themeColor="text1"/>
        </w:rPr>
        <w:t xml:space="preserve"> Already a hub for proto-writing and complex administration, Mesopotamia adapted these frameworks, producing locally manufactured seals and other symbolic objects. Symbols such as fish, vases, or weights became functional variants of imported logic, standardized for local use.</w:t>
      </w:r>
    </w:p>
    <w:p w:rsidR="00A35BEF" w:rsidRPr="00C249B5" w:rsidRDefault="00A35BEF" w:rsidP="00A35BEF">
      <w:pPr>
        <w:pStyle w:val="p1"/>
        <w:numPr>
          <w:ilvl w:val="0"/>
          <w:numId w:val="34"/>
        </w:numPr>
        <w:rPr>
          <w:color w:val="000000" w:themeColor="text1"/>
        </w:rPr>
      </w:pPr>
      <w:r w:rsidRPr="00C249B5">
        <w:rPr>
          <w:rStyle w:val="s1"/>
          <w:b/>
          <w:bCs/>
          <w:color w:val="000000" w:themeColor="text1"/>
        </w:rPr>
        <w:t>Indus → Tamil Nadu:</w:t>
      </w:r>
      <w:r w:rsidRPr="00C249B5">
        <w:rPr>
          <w:color w:val="000000" w:themeColor="text1"/>
        </w:rPr>
        <w:t xml:space="preserve"> Trade facilitated the southward diffusion of symbolic frameworks. Local artisans adopted and adapted motifs seen on traded goods, producing early symbolic systems without requiring population movement.</w:t>
      </w:r>
    </w:p>
    <w:p w:rsidR="00A35BEF" w:rsidRPr="00C249B5" w:rsidRDefault="00A35BEF" w:rsidP="00A35BEF">
      <w:pPr>
        <w:pStyle w:val="p4"/>
        <w:rPr>
          <w:color w:val="000000" w:themeColor="text1"/>
        </w:rPr>
      </w:pPr>
      <w:r w:rsidRPr="00C249B5">
        <w:rPr>
          <w:rStyle w:val="s2"/>
          <w:rFonts w:eastAsiaTheme="majorEastAsia"/>
          <w:color w:val="000000" w:themeColor="text1"/>
        </w:rPr>
        <w:lastRenderedPageBreak/>
        <w:t xml:space="preserve">This process demonstrates </w:t>
      </w:r>
      <w:r w:rsidRPr="00C249B5">
        <w:rPr>
          <w:b/>
          <w:bCs/>
          <w:color w:val="000000" w:themeColor="text1"/>
        </w:rPr>
        <w:t>external concept → local DSSM saturation → functional crystallization</w:t>
      </w:r>
      <w:r w:rsidRPr="00C249B5">
        <w:rPr>
          <w:rStyle w:val="s2"/>
          <w:rFonts w:eastAsiaTheme="majorEastAsia"/>
          <w:color w:val="000000" w:themeColor="text1"/>
        </w:rPr>
        <w:t>, a mechanism that DSSM predicts.</w:t>
      </w:r>
    </w:p>
    <w:p w:rsidR="00A35BEF" w:rsidRPr="00C249B5" w:rsidRDefault="00A35BEF" w:rsidP="00C249B5">
      <w:pPr>
        <w:pStyle w:val="Heading2"/>
        <w:rPr>
          <w:color w:val="000000" w:themeColor="text1"/>
          <w:sz w:val="28"/>
          <w:szCs w:val="28"/>
        </w:rPr>
      </w:pPr>
      <w:r w:rsidRPr="00C249B5">
        <w:rPr>
          <w:color w:val="000000" w:themeColor="text1"/>
          <w:sz w:val="28"/>
          <w:szCs w:val="28"/>
        </w:rPr>
        <w:t>4. Local Production with External Instruction</w:t>
      </w:r>
    </w:p>
    <w:p w:rsidR="00A35BEF" w:rsidRPr="00C249B5" w:rsidRDefault="00A35BEF" w:rsidP="00A35BEF">
      <w:pPr>
        <w:pStyle w:val="p1"/>
        <w:rPr>
          <w:color w:val="000000" w:themeColor="text1"/>
        </w:rPr>
      </w:pPr>
      <w:r w:rsidRPr="00C249B5">
        <w:rPr>
          <w:color w:val="000000" w:themeColor="text1"/>
        </w:rPr>
        <w:t>Indus Civilization artisans did not import objects wholesale but implemented symbolic logic within local material contexts:</w:t>
      </w:r>
    </w:p>
    <w:p w:rsidR="00A35BEF" w:rsidRPr="00C249B5" w:rsidRDefault="00A35BEF" w:rsidP="00A35BEF">
      <w:pPr>
        <w:pStyle w:val="p1"/>
        <w:numPr>
          <w:ilvl w:val="0"/>
          <w:numId w:val="35"/>
        </w:numPr>
        <w:rPr>
          <w:color w:val="000000" w:themeColor="text1"/>
        </w:rPr>
      </w:pPr>
      <w:r w:rsidRPr="00C249B5">
        <w:rPr>
          <w:rStyle w:val="s1"/>
          <w:b/>
          <w:bCs/>
          <w:color w:val="000000" w:themeColor="text1"/>
        </w:rPr>
        <w:t>Batch Production &amp; Standardization:</w:t>
      </w:r>
      <w:r w:rsidRPr="00C249B5">
        <w:rPr>
          <w:color w:val="000000" w:themeColor="text1"/>
        </w:rPr>
        <w:t xml:space="preserve"> Repeated motifs ensured reliability and intergenerational consistency.</w:t>
      </w:r>
    </w:p>
    <w:p w:rsidR="00A35BEF" w:rsidRPr="00C249B5" w:rsidRDefault="00A35BEF" w:rsidP="00A35BEF">
      <w:pPr>
        <w:pStyle w:val="p1"/>
        <w:numPr>
          <w:ilvl w:val="0"/>
          <w:numId w:val="35"/>
        </w:numPr>
        <w:rPr>
          <w:color w:val="000000" w:themeColor="text1"/>
        </w:rPr>
      </w:pPr>
      <w:r w:rsidRPr="00C249B5">
        <w:rPr>
          <w:rStyle w:val="s1"/>
          <w:b/>
          <w:bCs/>
          <w:color w:val="000000" w:themeColor="text1"/>
        </w:rPr>
        <w:t>Functional Adaptation:</w:t>
      </w:r>
      <w:r w:rsidRPr="00C249B5">
        <w:rPr>
          <w:color w:val="000000" w:themeColor="text1"/>
        </w:rPr>
        <w:t xml:space="preserve"> Imported symbolic frameworks were modified to reflect local administrative or ritual needs.</w:t>
      </w:r>
    </w:p>
    <w:p w:rsidR="00A35BEF" w:rsidRPr="00C249B5" w:rsidRDefault="00A35BEF" w:rsidP="00A35BEF">
      <w:pPr>
        <w:pStyle w:val="p1"/>
        <w:numPr>
          <w:ilvl w:val="0"/>
          <w:numId w:val="35"/>
        </w:numPr>
        <w:rPr>
          <w:color w:val="000000" w:themeColor="text1"/>
        </w:rPr>
      </w:pPr>
      <w:r w:rsidRPr="00C249B5">
        <w:rPr>
          <w:rStyle w:val="s1"/>
          <w:b/>
          <w:bCs/>
          <w:color w:val="000000" w:themeColor="text1"/>
        </w:rPr>
        <w:t>Symbolic Coherence:</w:t>
      </w:r>
      <w:r w:rsidRPr="00C249B5">
        <w:rPr>
          <w:color w:val="000000" w:themeColor="text1"/>
        </w:rPr>
        <w:t xml:space="preserve"> Cross-media redundancy and spatial anchoring ensured persistence even amid environmental or political stress.</w:t>
      </w:r>
    </w:p>
    <w:p w:rsidR="00A35BEF" w:rsidRPr="00C249B5" w:rsidRDefault="00A35BEF" w:rsidP="00A35BEF">
      <w:pPr>
        <w:pStyle w:val="p1"/>
        <w:rPr>
          <w:color w:val="000000" w:themeColor="text1"/>
        </w:rPr>
      </w:pPr>
      <w:r w:rsidRPr="00C249B5">
        <w:rPr>
          <w:color w:val="000000" w:themeColor="text1"/>
        </w:rPr>
        <w:t>This explains why IVC seals across cities like Harappa and Mohenjo-Daro exhibit consistent grammar despite local production and no evidence of mass migration.</w:t>
      </w:r>
    </w:p>
    <w:p w:rsidR="00A35BEF" w:rsidRPr="00C249B5" w:rsidRDefault="00A35BEF" w:rsidP="00A35BEF">
      <w:pPr>
        <w:pStyle w:val="Heading2"/>
        <w:rPr>
          <w:color w:val="000000" w:themeColor="text1"/>
          <w:sz w:val="28"/>
          <w:szCs w:val="28"/>
        </w:rPr>
      </w:pPr>
      <w:r w:rsidRPr="00C249B5">
        <w:rPr>
          <w:color w:val="000000" w:themeColor="text1"/>
          <w:sz w:val="28"/>
          <w:szCs w:val="28"/>
        </w:rPr>
        <w:t>5. DSSM in Practice: Case Studies</w:t>
      </w:r>
    </w:p>
    <w:p w:rsidR="00A35BEF" w:rsidRPr="003D40C2" w:rsidRDefault="00A35BEF" w:rsidP="00C249B5">
      <w:pPr>
        <w:pStyle w:val="Heading3"/>
        <w:rPr>
          <w:rFonts w:ascii="Times New Roman" w:hAnsi="Times New Roman" w:cs="Times New Roman"/>
          <w:b/>
          <w:bCs/>
          <w:i/>
          <w:iCs/>
          <w:color w:val="000000" w:themeColor="text1"/>
        </w:rPr>
      </w:pPr>
      <w:r w:rsidRPr="003D40C2">
        <w:rPr>
          <w:rFonts w:ascii="Times New Roman" w:hAnsi="Times New Roman" w:cs="Times New Roman"/>
          <w:b/>
          <w:bCs/>
          <w:i/>
          <w:iCs/>
          <w:color w:val="000000" w:themeColor="text1"/>
        </w:rPr>
        <w:t>5.1 Mehrgarh (7000–3300 BCE)</w:t>
      </w:r>
    </w:p>
    <w:p w:rsidR="00A35BEF" w:rsidRPr="00C249B5" w:rsidRDefault="00A35BEF" w:rsidP="003D40C2">
      <w:pPr>
        <w:pStyle w:val="p1"/>
        <w:ind w:firstLine="720"/>
        <w:rPr>
          <w:color w:val="000000" w:themeColor="text1"/>
        </w:rPr>
      </w:pPr>
      <w:r w:rsidRPr="00C249B5">
        <w:rPr>
          <w:color w:val="000000" w:themeColor="text1"/>
        </w:rPr>
        <w:t>Mehrgarh represents the earliest fully DSSM-compliant system in South Asia. Repeated architectural forms, standardized bead production, and ritual practices persisted under climatic and demographic stress, achieving symbolic stabilization long before the emergence of writing.</w:t>
      </w:r>
    </w:p>
    <w:p w:rsidR="00A35BEF" w:rsidRPr="003D40C2" w:rsidRDefault="00A35BEF" w:rsidP="00A35BEF">
      <w:pPr>
        <w:pStyle w:val="Heading3"/>
        <w:rPr>
          <w:rFonts w:ascii="Times New Roman" w:hAnsi="Times New Roman" w:cs="Times New Roman"/>
          <w:b/>
          <w:bCs/>
          <w:i/>
          <w:iCs/>
          <w:color w:val="000000" w:themeColor="text1"/>
        </w:rPr>
      </w:pPr>
      <w:r w:rsidRPr="003D40C2">
        <w:rPr>
          <w:rFonts w:ascii="Times New Roman" w:hAnsi="Times New Roman" w:cs="Times New Roman"/>
          <w:b/>
          <w:bCs/>
          <w:i/>
          <w:iCs/>
          <w:color w:val="000000" w:themeColor="text1"/>
        </w:rPr>
        <w:t>5.2 Vinca (5700–4500 BCE)</w:t>
      </w:r>
    </w:p>
    <w:p w:rsidR="00A35BEF" w:rsidRPr="00C249B5" w:rsidRDefault="00A35BEF" w:rsidP="003D40C2">
      <w:pPr>
        <w:pStyle w:val="p1"/>
        <w:ind w:firstLine="720"/>
        <w:rPr>
          <w:color w:val="000000" w:themeColor="text1"/>
        </w:rPr>
      </w:pPr>
      <w:r w:rsidRPr="00C249B5">
        <w:rPr>
          <w:color w:val="000000" w:themeColor="text1"/>
        </w:rPr>
        <w:t>Vinca signs functioned as portable administrative toolkits. They traveled with people, persisted intergenerationally, and were cross-media, but lacked spatial anchoring. Disappearance reflects network collapse rather than cognitive failure.</w:t>
      </w:r>
    </w:p>
    <w:p w:rsidR="00A35BEF" w:rsidRPr="003D40C2" w:rsidRDefault="00A35BEF" w:rsidP="00A35BEF">
      <w:pPr>
        <w:pStyle w:val="Heading3"/>
        <w:rPr>
          <w:rFonts w:ascii="Times New Roman" w:hAnsi="Times New Roman" w:cs="Times New Roman"/>
          <w:b/>
          <w:bCs/>
          <w:i/>
          <w:iCs/>
          <w:color w:val="000000" w:themeColor="text1"/>
        </w:rPr>
      </w:pPr>
      <w:r w:rsidRPr="003D40C2">
        <w:rPr>
          <w:rFonts w:ascii="Times New Roman" w:hAnsi="Times New Roman" w:cs="Times New Roman"/>
          <w:b/>
          <w:bCs/>
          <w:i/>
          <w:iCs/>
          <w:color w:val="000000" w:themeColor="text1"/>
        </w:rPr>
        <w:t>5.3 Proto-Cuneiform</w:t>
      </w:r>
    </w:p>
    <w:p w:rsidR="00A35BEF" w:rsidRPr="00C249B5" w:rsidRDefault="00A35BEF" w:rsidP="00C249B5">
      <w:pPr>
        <w:pStyle w:val="p1"/>
        <w:ind w:firstLine="720"/>
        <w:rPr>
          <w:color w:val="000000" w:themeColor="text1"/>
        </w:rPr>
      </w:pPr>
      <w:r w:rsidRPr="00C249B5">
        <w:rPr>
          <w:color w:val="000000" w:themeColor="text1"/>
        </w:rPr>
        <w:t>Early Mesopotamian administrative semiotics demonstrate DSSM saturation under symbolic overload. Quantities, institutions, and obligations were encoded prior to phoneticization, validating the model’s prediction that writing emerges when symbolic load exceeds the resolution capacity of non-scripted systems.</w:t>
      </w:r>
    </w:p>
    <w:p w:rsidR="00A35BEF" w:rsidRPr="003D40C2" w:rsidRDefault="00A35BEF" w:rsidP="00A35BEF">
      <w:pPr>
        <w:pStyle w:val="Heading3"/>
        <w:rPr>
          <w:rFonts w:ascii="Times New Roman" w:hAnsi="Times New Roman" w:cs="Times New Roman"/>
          <w:b/>
          <w:bCs/>
          <w:i/>
          <w:iCs/>
          <w:color w:val="000000" w:themeColor="text1"/>
        </w:rPr>
      </w:pPr>
      <w:r w:rsidRPr="003D40C2">
        <w:rPr>
          <w:rFonts w:ascii="Times New Roman" w:hAnsi="Times New Roman" w:cs="Times New Roman"/>
          <w:b/>
          <w:bCs/>
          <w:i/>
          <w:iCs/>
          <w:color w:val="000000" w:themeColor="text1"/>
        </w:rPr>
        <w:t>5.4 Indus Civilization</w:t>
      </w:r>
    </w:p>
    <w:p w:rsidR="00A35BEF" w:rsidRPr="00C249B5" w:rsidRDefault="00A35BEF" w:rsidP="00C249B5">
      <w:pPr>
        <w:pStyle w:val="p1"/>
        <w:ind w:firstLine="720"/>
        <w:rPr>
          <w:color w:val="000000" w:themeColor="text1"/>
        </w:rPr>
      </w:pPr>
      <w:r w:rsidRPr="00C249B5">
        <w:rPr>
          <w:color w:val="000000" w:themeColor="text1"/>
        </w:rPr>
        <w:t>Indus urban grids, standardized weights, and short repetitive seals show extreme DSSM saturation. Administrative needs were met through infrastructural redundancy rather than linguistic transcription. Writing was structurally unnecessary.</w:t>
      </w:r>
    </w:p>
    <w:p w:rsidR="00A35BEF" w:rsidRPr="003D40C2" w:rsidRDefault="00A35BEF" w:rsidP="00A35BEF">
      <w:pPr>
        <w:pStyle w:val="Heading3"/>
        <w:rPr>
          <w:rFonts w:ascii="Times New Roman" w:hAnsi="Times New Roman" w:cs="Times New Roman"/>
          <w:b/>
          <w:bCs/>
          <w:i/>
          <w:iCs/>
          <w:color w:val="000000" w:themeColor="text1"/>
        </w:rPr>
      </w:pPr>
      <w:r w:rsidRPr="003D40C2">
        <w:rPr>
          <w:rFonts w:ascii="Times New Roman" w:hAnsi="Times New Roman" w:cs="Times New Roman"/>
          <w:b/>
          <w:bCs/>
          <w:i/>
          <w:iCs/>
          <w:color w:val="000000" w:themeColor="text1"/>
        </w:rPr>
        <w:t>5.5 Sri Lanka</w:t>
      </w:r>
    </w:p>
    <w:p w:rsidR="00A35BEF" w:rsidRPr="00C249B5" w:rsidRDefault="00A35BEF" w:rsidP="00C249B5">
      <w:pPr>
        <w:pStyle w:val="p1"/>
        <w:ind w:firstLine="720"/>
        <w:rPr>
          <w:color w:val="000000" w:themeColor="text1"/>
        </w:rPr>
      </w:pPr>
      <w:r w:rsidRPr="00C249B5">
        <w:rPr>
          <w:color w:val="000000" w:themeColor="text1"/>
        </w:rPr>
        <w:t>Full DSSM saturation occurred by 28,000–18,000 BP using cave-based mnemonic architectures and portable symbolic anchors—without agriculture, hierarchy, or writing—confirming the non-inevitability of writing.</w:t>
      </w:r>
    </w:p>
    <w:p w:rsidR="00A35BEF" w:rsidRPr="00C249B5" w:rsidRDefault="00A35BEF" w:rsidP="00A35BEF">
      <w:pPr>
        <w:rPr>
          <w:rStyle w:val="s1"/>
          <w:rFonts w:ascii="Times New Roman" w:hAnsi="Times New Roman" w:cs="Times New Roman"/>
          <w:color w:val="000000" w:themeColor="text1"/>
        </w:rPr>
      </w:pPr>
    </w:p>
    <w:p w:rsidR="003D40C2" w:rsidRDefault="003D40C2" w:rsidP="00C249B5">
      <w:pPr>
        <w:pStyle w:val="Heading2"/>
        <w:rPr>
          <w:color w:val="000000" w:themeColor="text1"/>
          <w:sz w:val="28"/>
          <w:szCs w:val="28"/>
        </w:rPr>
      </w:pPr>
    </w:p>
    <w:p w:rsidR="00A35BEF" w:rsidRPr="00C249B5" w:rsidRDefault="00A35BEF" w:rsidP="00C249B5">
      <w:pPr>
        <w:pStyle w:val="Heading2"/>
        <w:rPr>
          <w:color w:val="000000" w:themeColor="text1"/>
          <w:sz w:val="28"/>
          <w:szCs w:val="28"/>
        </w:rPr>
      </w:pPr>
      <w:r w:rsidRPr="00C249B5">
        <w:rPr>
          <w:color w:val="000000" w:themeColor="text1"/>
          <w:sz w:val="28"/>
          <w:szCs w:val="28"/>
        </w:rPr>
        <w:lastRenderedPageBreak/>
        <w:t>6. Convergence Without Diffusion</w:t>
      </w:r>
    </w:p>
    <w:p w:rsidR="00A35BEF" w:rsidRPr="00C249B5" w:rsidRDefault="00A35BEF" w:rsidP="00C249B5">
      <w:pPr>
        <w:pStyle w:val="p1"/>
        <w:ind w:firstLine="720"/>
        <w:rPr>
          <w:color w:val="000000" w:themeColor="text1"/>
        </w:rPr>
      </w:pPr>
      <w:r w:rsidRPr="00C249B5">
        <w:rPr>
          <w:color w:val="000000" w:themeColor="text1"/>
        </w:rPr>
        <w:t>DSSM predicts that similar symbolic architectures arise independently under comparable structural pressures. Trade and observation transmit functional frameworks; local DSSM saturation crystallizes these frameworks into material practice. Migration, mass population replacement, or linguistic inheritance is unnecessary.</w:t>
      </w:r>
    </w:p>
    <w:p w:rsidR="00A35BEF" w:rsidRPr="00C249B5" w:rsidRDefault="00A35BEF" w:rsidP="00A35BEF">
      <w:pPr>
        <w:rPr>
          <w:rStyle w:val="s1"/>
          <w:rFonts w:ascii="Times New Roman" w:hAnsi="Times New Roman" w:cs="Times New Roman"/>
          <w:color w:val="000000" w:themeColor="text1"/>
        </w:rPr>
      </w:pPr>
    </w:p>
    <w:p w:rsidR="00A35BEF" w:rsidRPr="003D40C2" w:rsidRDefault="00A35BEF" w:rsidP="003D40C2">
      <w:pPr>
        <w:pStyle w:val="Heading2"/>
        <w:rPr>
          <w:color w:val="000000" w:themeColor="text1"/>
          <w:sz w:val="28"/>
          <w:szCs w:val="28"/>
        </w:rPr>
      </w:pPr>
      <w:r w:rsidRPr="00C249B5">
        <w:rPr>
          <w:color w:val="000000" w:themeColor="text1"/>
          <w:sz w:val="28"/>
          <w:szCs w:val="28"/>
        </w:rPr>
        <w:t>7. Why Writing Is Contingent</w:t>
      </w:r>
    </w:p>
    <w:p w:rsidR="00A35BEF" w:rsidRPr="00C249B5" w:rsidRDefault="00A35BEF" w:rsidP="00A35BEF">
      <w:pPr>
        <w:pStyle w:val="p1"/>
        <w:rPr>
          <w:color w:val="000000" w:themeColor="text1"/>
        </w:rPr>
      </w:pPr>
      <w:r w:rsidRPr="00C249B5">
        <w:rPr>
          <w:color w:val="000000" w:themeColor="text1"/>
        </w:rPr>
        <w:t>Three outcomes follow from DSSM saturation:</w:t>
      </w:r>
    </w:p>
    <w:p w:rsidR="00A35BEF" w:rsidRPr="00C249B5" w:rsidRDefault="00A35BEF" w:rsidP="00A35BEF">
      <w:pPr>
        <w:pStyle w:val="p1"/>
        <w:numPr>
          <w:ilvl w:val="0"/>
          <w:numId w:val="36"/>
        </w:numPr>
        <w:rPr>
          <w:color w:val="000000" w:themeColor="text1"/>
        </w:rPr>
      </w:pPr>
      <w:r w:rsidRPr="00C249B5">
        <w:rPr>
          <w:b/>
          <w:bCs/>
          <w:color w:val="000000" w:themeColor="text1"/>
        </w:rPr>
        <w:t>Overload → Writing Emerges</w:t>
      </w:r>
      <w:r w:rsidRPr="00C249B5">
        <w:rPr>
          <w:rStyle w:val="s1"/>
          <w:color w:val="000000" w:themeColor="text1"/>
        </w:rPr>
        <w:t xml:space="preserve"> (Mesopotamia)</w:t>
      </w:r>
    </w:p>
    <w:p w:rsidR="00A35BEF" w:rsidRPr="00C249B5" w:rsidRDefault="00A35BEF" w:rsidP="00A35BEF">
      <w:pPr>
        <w:pStyle w:val="p1"/>
        <w:numPr>
          <w:ilvl w:val="0"/>
          <w:numId w:val="36"/>
        </w:numPr>
        <w:rPr>
          <w:color w:val="000000" w:themeColor="text1"/>
        </w:rPr>
      </w:pPr>
      <w:r w:rsidRPr="00C249B5">
        <w:rPr>
          <w:b/>
          <w:bCs/>
          <w:color w:val="000000" w:themeColor="text1"/>
        </w:rPr>
        <w:t>Structural Resolution → Writing Unnecessary</w:t>
      </w:r>
      <w:r w:rsidRPr="00C249B5">
        <w:rPr>
          <w:rStyle w:val="s1"/>
          <w:color w:val="000000" w:themeColor="text1"/>
        </w:rPr>
        <w:t xml:space="preserve"> (Indus, Sri Lanka)</w:t>
      </w:r>
    </w:p>
    <w:p w:rsidR="00A35BEF" w:rsidRPr="003D40C2" w:rsidRDefault="00A35BEF" w:rsidP="00A35BEF">
      <w:pPr>
        <w:pStyle w:val="p1"/>
        <w:numPr>
          <w:ilvl w:val="0"/>
          <w:numId w:val="36"/>
        </w:numPr>
        <w:rPr>
          <w:color w:val="000000" w:themeColor="text1"/>
        </w:rPr>
      </w:pPr>
      <w:r w:rsidRPr="00C249B5">
        <w:rPr>
          <w:b/>
          <w:bCs/>
          <w:color w:val="000000" w:themeColor="text1"/>
        </w:rPr>
        <w:t>Terminal Stabilization → Writing Preserves Existing Structures</w:t>
      </w:r>
      <w:r w:rsidRPr="00C249B5">
        <w:rPr>
          <w:rStyle w:val="s1"/>
          <w:color w:val="000000" w:themeColor="text1"/>
        </w:rPr>
        <w:t xml:space="preserve"> (Egypt)</w:t>
      </w:r>
    </w:p>
    <w:p w:rsidR="00A35BEF" w:rsidRPr="00C249B5" w:rsidRDefault="00A35BEF" w:rsidP="00C249B5">
      <w:pPr>
        <w:pStyle w:val="p1"/>
        <w:rPr>
          <w:rStyle w:val="s1"/>
          <w:color w:val="000000" w:themeColor="text1"/>
        </w:rPr>
      </w:pPr>
      <w:r w:rsidRPr="00C249B5">
        <w:rPr>
          <w:color w:val="000000" w:themeColor="text1"/>
        </w:rPr>
        <w:t>Writing is one solution to symbolic pressure, not a predetermined milestone.</w:t>
      </w:r>
    </w:p>
    <w:p w:rsidR="00A35BEF" w:rsidRPr="00C249B5" w:rsidRDefault="00A35BEF" w:rsidP="00C249B5">
      <w:pPr>
        <w:pStyle w:val="Heading2"/>
        <w:rPr>
          <w:color w:val="000000" w:themeColor="text1"/>
          <w:sz w:val="28"/>
          <w:szCs w:val="28"/>
        </w:rPr>
      </w:pPr>
      <w:r w:rsidRPr="00C249B5">
        <w:rPr>
          <w:color w:val="000000" w:themeColor="text1"/>
          <w:sz w:val="28"/>
          <w:szCs w:val="28"/>
        </w:rPr>
        <w:t>8. Conclusion</w:t>
      </w:r>
    </w:p>
    <w:p w:rsidR="00A35BEF" w:rsidRPr="00C249B5" w:rsidRDefault="00A35BEF" w:rsidP="00C249B5">
      <w:pPr>
        <w:pStyle w:val="p1"/>
        <w:ind w:firstLine="720"/>
        <w:rPr>
          <w:color w:val="000000" w:themeColor="text1"/>
        </w:rPr>
      </w:pPr>
      <w:r w:rsidRPr="00C249B5">
        <w:rPr>
          <w:color w:val="000000" w:themeColor="text1"/>
        </w:rPr>
        <w:t>Civilizations did not “invent” writing. They engineered symbolic systems. Writing appears only when those systems reach structural limits. DSSM, combined with trade-mediated conceptual transmission, explains why some societies write, why many never did, and how independent regions converge on similar symbolic architectures without linguistic continuity.</w:t>
      </w:r>
    </w:p>
    <w:p w:rsidR="00A35BEF" w:rsidRPr="00C249B5" w:rsidRDefault="00A35BEF" w:rsidP="00A35BEF">
      <w:pPr>
        <w:pStyle w:val="Heading2"/>
        <w:rPr>
          <w:color w:val="000000" w:themeColor="text1"/>
        </w:rPr>
      </w:pPr>
      <w:r w:rsidRPr="00C249B5">
        <w:rPr>
          <w:color w:val="000000" w:themeColor="text1"/>
        </w:rPr>
        <w:t xml:space="preserve">References </w:t>
      </w:r>
    </w:p>
    <w:p w:rsidR="00A35BEF" w:rsidRPr="00C249B5" w:rsidRDefault="00A35BEF" w:rsidP="00A35BEF">
      <w:pPr>
        <w:pStyle w:val="p1"/>
        <w:numPr>
          <w:ilvl w:val="0"/>
          <w:numId w:val="37"/>
        </w:numPr>
        <w:rPr>
          <w:color w:val="000000" w:themeColor="text1"/>
        </w:rPr>
      </w:pPr>
      <w:r w:rsidRPr="00C249B5">
        <w:rPr>
          <w:color w:val="000000" w:themeColor="text1"/>
        </w:rPr>
        <w:t xml:space="preserve">Acharya, S. K., et al. (2018). </w:t>
      </w:r>
      <w:r w:rsidRPr="00C249B5">
        <w:rPr>
          <w:i/>
          <w:iCs/>
          <w:color w:val="000000" w:themeColor="text1"/>
        </w:rPr>
        <w:t>Harappan urban planning and standardization</w:t>
      </w:r>
      <w:r w:rsidRPr="00C249B5">
        <w:rPr>
          <w:color w:val="000000" w:themeColor="text1"/>
        </w:rPr>
        <w:t>. Journal of Archaeological Science.</w:t>
      </w:r>
    </w:p>
    <w:p w:rsidR="00A35BEF" w:rsidRPr="00C249B5" w:rsidRDefault="00A35BEF" w:rsidP="00A35BEF">
      <w:pPr>
        <w:pStyle w:val="p1"/>
        <w:numPr>
          <w:ilvl w:val="0"/>
          <w:numId w:val="37"/>
        </w:numPr>
        <w:rPr>
          <w:color w:val="000000" w:themeColor="text1"/>
        </w:rPr>
      </w:pPr>
      <w:r w:rsidRPr="00C249B5">
        <w:rPr>
          <w:color w:val="000000" w:themeColor="text1"/>
        </w:rPr>
        <w:t xml:space="preserve">Coningham, R., et al. (2017). </w:t>
      </w:r>
      <w:r w:rsidRPr="00C249B5">
        <w:rPr>
          <w:i/>
          <w:iCs/>
          <w:color w:val="000000" w:themeColor="text1"/>
        </w:rPr>
        <w:t>Anuradhapura and early urbanism in Sri Lanka</w:t>
      </w:r>
      <w:r w:rsidRPr="00C249B5">
        <w:rPr>
          <w:color w:val="000000" w:themeColor="text1"/>
        </w:rPr>
        <w:t>. Antiquity.</w:t>
      </w:r>
    </w:p>
    <w:p w:rsidR="00A35BEF" w:rsidRPr="00C249B5" w:rsidRDefault="00A35BEF" w:rsidP="00A35BEF">
      <w:pPr>
        <w:pStyle w:val="p1"/>
        <w:numPr>
          <w:ilvl w:val="0"/>
          <w:numId w:val="37"/>
        </w:numPr>
        <w:rPr>
          <w:color w:val="000000" w:themeColor="text1"/>
        </w:rPr>
      </w:pPr>
      <w:r w:rsidRPr="00C249B5">
        <w:rPr>
          <w:color w:val="000000" w:themeColor="text1"/>
        </w:rPr>
        <w:t xml:space="preserve">Kenoyer, J. M. (2018). </w:t>
      </w:r>
      <w:r w:rsidRPr="00C249B5">
        <w:rPr>
          <w:i/>
          <w:iCs/>
          <w:color w:val="000000" w:themeColor="text1"/>
        </w:rPr>
        <w:t>Craft specialization and symbolic systems in the Indus</w:t>
      </w:r>
      <w:r w:rsidRPr="00C249B5">
        <w:rPr>
          <w:color w:val="000000" w:themeColor="text1"/>
        </w:rPr>
        <w:t>. Journal of Anthropological Archaeology.</w:t>
      </w:r>
    </w:p>
    <w:p w:rsidR="00A35BEF" w:rsidRPr="00C249B5" w:rsidRDefault="00A35BEF" w:rsidP="00A35BEF">
      <w:pPr>
        <w:pStyle w:val="p1"/>
        <w:numPr>
          <w:ilvl w:val="0"/>
          <w:numId w:val="37"/>
        </w:numPr>
        <w:rPr>
          <w:color w:val="000000" w:themeColor="text1"/>
        </w:rPr>
      </w:pPr>
      <w:r w:rsidRPr="00C249B5">
        <w:rPr>
          <w:color w:val="000000" w:themeColor="text1"/>
        </w:rPr>
        <w:t xml:space="preserve">Miller, H. (2019). </w:t>
      </w:r>
      <w:r w:rsidRPr="00C249B5">
        <w:rPr>
          <w:i/>
          <w:iCs/>
          <w:color w:val="000000" w:themeColor="text1"/>
        </w:rPr>
        <w:t>Administrative technologies before writing</w:t>
      </w:r>
      <w:r w:rsidRPr="00C249B5">
        <w:rPr>
          <w:color w:val="000000" w:themeColor="text1"/>
        </w:rPr>
        <w:t>. World Archaeology.</w:t>
      </w:r>
    </w:p>
    <w:p w:rsidR="00A35BEF" w:rsidRPr="00C249B5" w:rsidRDefault="00A35BEF" w:rsidP="00A35BEF">
      <w:pPr>
        <w:pStyle w:val="p1"/>
        <w:numPr>
          <w:ilvl w:val="0"/>
          <w:numId w:val="37"/>
        </w:numPr>
        <w:rPr>
          <w:color w:val="000000" w:themeColor="text1"/>
        </w:rPr>
      </w:pPr>
      <w:r w:rsidRPr="00C249B5">
        <w:rPr>
          <w:color w:val="000000" w:themeColor="text1"/>
        </w:rPr>
        <w:t xml:space="preserve">Vondoom, A. (2025–2026). </w:t>
      </w:r>
      <w:r w:rsidRPr="00C249B5">
        <w:rPr>
          <w:i/>
          <w:iCs/>
          <w:color w:val="000000" w:themeColor="text1"/>
        </w:rPr>
        <w:t>Deep Symbolic Systems Model and DSSM case studies</w:t>
      </w:r>
      <w:r w:rsidRPr="00C249B5">
        <w:rPr>
          <w:color w:val="000000" w:themeColor="text1"/>
        </w:rPr>
        <w:t>. OSF Preprints.</w:t>
      </w:r>
    </w:p>
    <w:p w:rsidR="00A35BEF" w:rsidRPr="00C249B5" w:rsidRDefault="00A35BEF" w:rsidP="00A35BEF">
      <w:pPr>
        <w:rPr>
          <w:rFonts w:ascii="Times New Roman" w:hAnsi="Times New Roman" w:cs="Times New Roman"/>
          <w:color w:val="000000" w:themeColor="text1"/>
        </w:rPr>
      </w:pPr>
    </w:p>
    <w:p w:rsidR="00156AC7" w:rsidRPr="00C249B5" w:rsidRDefault="00156AC7" w:rsidP="00A35BEF">
      <w:pPr>
        <w:rPr>
          <w:rFonts w:ascii="Times New Roman" w:hAnsi="Times New Roman" w:cs="Times New Roman"/>
          <w:color w:val="000000" w:themeColor="text1"/>
        </w:rPr>
      </w:pPr>
    </w:p>
    <w:sectPr w:rsidR="00156AC7" w:rsidRPr="00C249B5" w:rsidSect="00C249B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63A"/>
    <w:multiLevelType w:val="multilevel"/>
    <w:tmpl w:val="B490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B2497"/>
    <w:multiLevelType w:val="multilevel"/>
    <w:tmpl w:val="021C6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906C4"/>
    <w:multiLevelType w:val="multilevel"/>
    <w:tmpl w:val="9A3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F00F3"/>
    <w:multiLevelType w:val="multilevel"/>
    <w:tmpl w:val="264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3DD5"/>
    <w:multiLevelType w:val="multilevel"/>
    <w:tmpl w:val="C68A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F4A68"/>
    <w:multiLevelType w:val="multilevel"/>
    <w:tmpl w:val="7FDE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20833"/>
    <w:multiLevelType w:val="multilevel"/>
    <w:tmpl w:val="97844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72BAC"/>
    <w:multiLevelType w:val="multilevel"/>
    <w:tmpl w:val="53F42A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A7D96"/>
    <w:multiLevelType w:val="multilevel"/>
    <w:tmpl w:val="5DA8682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88C75F7"/>
    <w:multiLevelType w:val="multilevel"/>
    <w:tmpl w:val="9500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2C11"/>
    <w:multiLevelType w:val="multilevel"/>
    <w:tmpl w:val="9996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E13C6"/>
    <w:multiLevelType w:val="multilevel"/>
    <w:tmpl w:val="7A3A6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317D8"/>
    <w:multiLevelType w:val="multilevel"/>
    <w:tmpl w:val="EAA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40126"/>
    <w:multiLevelType w:val="multilevel"/>
    <w:tmpl w:val="720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90445"/>
    <w:multiLevelType w:val="multilevel"/>
    <w:tmpl w:val="D52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65A57"/>
    <w:multiLevelType w:val="multilevel"/>
    <w:tmpl w:val="E6E0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F0502"/>
    <w:multiLevelType w:val="multilevel"/>
    <w:tmpl w:val="A97A21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13830"/>
    <w:multiLevelType w:val="multilevel"/>
    <w:tmpl w:val="7BC4A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F2967"/>
    <w:multiLevelType w:val="multilevel"/>
    <w:tmpl w:val="2EE0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B5C00"/>
    <w:multiLevelType w:val="multilevel"/>
    <w:tmpl w:val="689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43F12"/>
    <w:multiLevelType w:val="multilevel"/>
    <w:tmpl w:val="CBF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36D6F"/>
    <w:multiLevelType w:val="multilevel"/>
    <w:tmpl w:val="2EE6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10A70"/>
    <w:multiLevelType w:val="multilevel"/>
    <w:tmpl w:val="1E282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94811"/>
    <w:multiLevelType w:val="multilevel"/>
    <w:tmpl w:val="1426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002D6"/>
    <w:multiLevelType w:val="multilevel"/>
    <w:tmpl w:val="01E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7141D"/>
    <w:multiLevelType w:val="multilevel"/>
    <w:tmpl w:val="BBF2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67FA7"/>
    <w:multiLevelType w:val="multilevel"/>
    <w:tmpl w:val="1332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04CAA"/>
    <w:multiLevelType w:val="multilevel"/>
    <w:tmpl w:val="98F4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13A65"/>
    <w:multiLevelType w:val="multilevel"/>
    <w:tmpl w:val="0DB643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315C3"/>
    <w:multiLevelType w:val="multilevel"/>
    <w:tmpl w:val="0414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16443"/>
    <w:multiLevelType w:val="multilevel"/>
    <w:tmpl w:val="7AE65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57113E"/>
    <w:multiLevelType w:val="multilevel"/>
    <w:tmpl w:val="3DF0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46AE6"/>
    <w:multiLevelType w:val="multilevel"/>
    <w:tmpl w:val="AFD2B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771F7"/>
    <w:multiLevelType w:val="multilevel"/>
    <w:tmpl w:val="AE3C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4C15B5"/>
    <w:multiLevelType w:val="multilevel"/>
    <w:tmpl w:val="F1A26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C12375"/>
    <w:multiLevelType w:val="multilevel"/>
    <w:tmpl w:val="156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D6802"/>
    <w:multiLevelType w:val="multilevel"/>
    <w:tmpl w:val="E4820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064155">
    <w:abstractNumId w:val="30"/>
  </w:num>
  <w:num w:numId="2" w16cid:durableId="1949463641">
    <w:abstractNumId w:val="0"/>
  </w:num>
  <w:num w:numId="3" w16cid:durableId="1580211810">
    <w:abstractNumId w:val="23"/>
  </w:num>
  <w:num w:numId="4" w16cid:durableId="1602953146">
    <w:abstractNumId w:val="26"/>
  </w:num>
  <w:num w:numId="5" w16cid:durableId="2144078878">
    <w:abstractNumId w:val="29"/>
  </w:num>
  <w:num w:numId="6" w16cid:durableId="536502681">
    <w:abstractNumId w:val="5"/>
  </w:num>
  <w:num w:numId="7" w16cid:durableId="1255699260">
    <w:abstractNumId w:val="33"/>
  </w:num>
  <w:num w:numId="8" w16cid:durableId="565647352">
    <w:abstractNumId w:val="9"/>
  </w:num>
  <w:num w:numId="9" w16cid:durableId="234364282">
    <w:abstractNumId w:val="24"/>
  </w:num>
  <w:num w:numId="10" w16cid:durableId="1086465050">
    <w:abstractNumId w:val="4"/>
  </w:num>
  <w:num w:numId="11" w16cid:durableId="933897035">
    <w:abstractNumId w:val="13"/>
  </w:num>
  <w:num w:numId="12" w16cid:durableId="464738291">
    <w:abstractNumId w:val="11"/>
  </w:num>
  <w:num w:numId="13" w16cid:durableId="1664814109">
    <w:abstractNumId w:val="27"/>
  </w:num>
  <w:num w:numId="14" w16cid:durableId="947347453">
    <w:abstractNumId w:val="31"/>
  </w:num>
  <w:num w:numId="15" w16cid:durableId="1802840784">
    <w:abstractNumId w:val="19"/>
  </w:num>
  <w:num w:numId="16" w16cid:durableId="1321622130">
    <w:abstractNumId w:val="14"/>
  </w:num>
  <w:num w:numId="17" w16cid:durableId="1782608074">
    <w:abstractNumId w:val="12"/>
  </w:num>
  <w:num w:numId="18" w16cid:durableId="247034938">
    <w:abstractNumId w:val="20"/>
  </w:num>
  <w:num w:numId="19" w16cid:durableId="704259115">
    <w:abstractNumId w:val="25"/>
  </w:num>
  <w:num w:numId="20" w16cid:durableId="212082053">
    <w:abstractNumId w:val="22"/>
  </w:num>
  <w:num w:numId="21" w16cid:durableId="565646650">
    <w:abstractNumId w:val="18"/>
  </w:num>
  <w:num w:numId="22" w16cid:durableId="2028754225">
    <w:abstractNumId w:val="8"/>
  </w:num>
  <w:num w:numId="23" w16cid:durableId="850605525">
    <w:abstractNumId w:val="6"/>
  </w:num>
  <w:num w:numId="24" w16cid:durableId="2101945302">
    <w:abstractNumId w:val="32"/>
  </w:num>
  <w:num w:numId="25" w16cid:durableId="67197267">
    <w:abstractNumId w:val="34"/>
  </w:num>
  <w:num w:numId="26" w16cid:durableId="387654382">
    <w:abstractNumId w:val="1"/>
  </w:num>
  <w:num w:numId="27" w16cid:durableId="1812936937">
    <w:abstractNumId w:val="17"/>
  </w:num>
  <w:num w:numId="28" w16cid:durableId="806361946">
    <w:abstractNumId w:val="36"/>
  </w:num>
  <w:num w:numId="29" w16cid:durableId="2096390291">
    <w:abstractNumId w:val="7"/>
  </w:num>
  <w:num w:numId="30" w16cid:durableId="165750049">
    <w:abstractNumId w:val="16"/>
  </w:num>
  <w:num w:numId="31" w16cid:durableId="1197498302">
    <w:abstractNumId w:val="10"/>
  </w:num>
  <w:num w:numId="32" w16cid:durableId="445198228">
    <w:abstractNumId w:val="28"/>
  </w:num>
  <w:num w:numId="33" w16cid:durableId="1447654542">
    <w:abstractNumId w:val="21"/>
  </w:num>
  <w:num w:numId="34" w16cid:durableId="695541348">
    <w:abstractNumId w:val="15"/>
  </w:num>
  <w:num w:numId="35" w16cid:durableId="1569457381">
    <w:abstractNumId w:val="3"/>
  </w:num>
  <w:num w:numId="36" w16cid:durableId="1481121216">
    <w:abstractNumId w:val="2"/>
  </w:num>
  <w:num w:numId="37" w16cid:durableId="8857511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C7"/>
    <w:rsid w:val="00156AC7"/>
    <w:rsid w:val="003D40C2"/>
    <w:rsid w:val="004273F6"/>
    <w:rsid w:val="00612B02"/>
    <w:rsid w:val="00657B3D"/>
    <w:rsid w:val="008968E8"/>
    <w:rsid w:val="00954DED"/>
    <w:rsid w:val="009967BA"/>
    <w:rsid w:val="009E4647"/>
    <w:rsid w:val="009E7DD1"/>
    <w:rsid w:val="00A35BEF"/>
    <w:rsid w:val="00AE1928"/>
    <w:rsid w:val="00C249B5"/>
    <w:rsid w:val="00C37E0A"/>
    <w:rsid w:val="00CE3047"/>
    <w:rsid w:val="00D04416"/>
    <w:rsid w:val="00F911F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B75E"/>
  <w15:chartTrackingRefBased/>
  <w15:docId w15:val="{549295D0-B677-554B-B26A-B04A4A69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A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6AC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56A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AC7"/>
    <w:rPr>
      <w:rFonts w:ascii="Times New Roman" w:eastAsia="Times New Roman" w:hAnsi="Times New Roman" w:cs="Times New Roman"/>
      <w:b/>
      <w:bCs/>
      <w:sz w:val="36"/>
      <w:szCs w:val="36"/>
      <w:lang w:eastAsia="en-GB"/>
    </w:rPr>
  </w:style>
  <w:style w:type="paragraph" w:customStyle="1" w:styleId="my-2">
    <w:name w:val="my-2"/>
    <w:basedOn w:val="Normal"/>
    <w:rsid w:val="00156AC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56AC7"/>
    <w:rPr>
      <w:b/>
      <w:bCs/>
    </w:rPr>
  </w:style>
  <w:style w:type="paragraph" w:customStyle="1" w:styleId="p1">
    <w:name w:val="p1"/>
    <w:basedOn w:val="Normal"/>
    <w:rsid w:val="00156AC7"/>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156AC7"/>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156AC7"/>
  </w:style>
  <w:style w:type="character" w:customStyle="1" w:styleId="s1">
    <w:name w:val="s1"/>
    <w:basedOn w:val="DefaultParagraphFont"/>
    <w:rsid w:val="00156AC7"/>
  </w:style>
  <w:style w:type="character" w:customStyle="1" w:styleId="Heading1Char">
    <w:name w:val="Heading 1 Char"/>
    <w:basedOn w:val="DefaultParagraphFont"/>
    <w:link w:val="Heading1"/>
    <w:uiPriority w:val="9"/>
    <w:rsid w:val="00156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6AC7"/>
    <w:rPr>
      <w:rFonts w:asciiTheme="majorHAnsi" w:eastAsiaTheme="majorEastAsia" w:hAnsiTheme="majorHAnsi" w:cstheme="majorBidi"/>
      <w:color w:val="1F3763" w:themeColor="accent1" w:themeShade="7F"/>
    </w:rPr>
  </w:style>
  <w:style w:type="paragraph" w:customStyle="1" w:styleId="p3">
    <w:name w:val="p3"/>
    <w:basedOn w:val="Normal"/>
    <w:rsid w:val="00156AC7"/>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156AC7"/>
    <w:pPr>
      <w:spacing w:before="100" w:beforeAutospacing="1" w:after="100" w:afterAutospacing="1"/>
    </w:pPr>
    <w:rPr>
      <w:rFonts w:ascii="Times New Roman" w:eastAsia="Times New Roman" w:hAnsi="Times New Roman" w:cs="Times New Roman"/>
      <w:lang w:eastAsia="en-GB"/>
    </w:rPr>
  </w:style>
  <w:style w:type="paragraph" w:customStyle="1" w:styleId="p5">
    <w:name w:val="p5"/>
    <w:basedOn w:val="Normal"/>
    <w:rsid w:val="00156AC7"/>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156AC7"/>
  </w:style>
  <w:style w:type="character" w:customStyle="1" w:styleId="s3">
    <w:name w:val="s3"/>
    <w:basedOn w:val="DefaultParagraphFont"/>
    <w:rsid w:val="00156AC7"/>
  </w:style>
  <w:style w:type="character" w:customStyle="1" w:styleId="s5">
    <w:name w:val="s5"/>
    <w:basedOn w:val="DefaultParagraphFont"/>
    <w:rsid w:val="00156AC7"/>
  </w:style>
  <w:style w:type="character" w:styleId="Hyperlink">
    <w:name w:val="Hyperlink"/>
    <w:basedOn w:val="DefaultParagraphFont"/>
    <w:uiPriority w:val="99"/>
    <w:unhideWhenUsed/>
    <w:rsid w:val="00F911F7"/>
    <w:rPr>
      <w:color w:val="0563C1" w:themeColor="hyperlink"/>
      <w:u w:val="single"/>
    </w:rPr>
  </w:style>
  <w:style w:type="character" w:styleId="UnresolvedMention">
    <w:name w:val="Unresolved Mention"/>
    <w:basedOn w:val="DefaultParagraphFont"/>
    <w:uiPriority w:val="99"/>
    <w:semiHidden/>
    <w:unhideWhenUsed/>
    <w:rsid w:val="00F9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229">
      <w:bodyDiv w:val="1"/>
      <w:marLeft w:val="0"/>
      <w:marRight w:val="0"/>
      <w:marTop w:val="0"/>
      <w:marBottom w:val="0"/>
      <w:divBdr>
        <w:top w:val="none" w:sz="0" w:space="0" w:color="auto"/>
        <w:left w:val="none" w:sz="0" w:space="0" w:color="auto"/>
        <w:bottom w:val="none" w:sz="0" w:space="0" w:color="auto"/>
        <w:right w:val="none" w:sz="0" w:space="0" w:color="auto"/>
      </w:divBdr>
    </w:div>
    <w:div w:id="220140603">
      <w:bodyDiv w:val="1"/>
      <w:marLeft w:val="0"/>
      <w:marRight w:val="0"/>
      <w:marTop w:val="0"/>
      <w:marBottom w:val="0"/>
      <w:divBdr>
        <w:top w:val="none" w:sz="0" w:space="0" w:color="auto"/>
        <w:left w:val="none" w:sz="0" w:space="0" w:color="auto"/>
        <w:bottom w:val="none" w:sz="0" w:space="0" w:color="auto"/>
        <w:right w:val="none" w:sz="0" w:space="0" w:color="auto"/>
      </w:divBdr>
    </w:div>
    <w:div w:id="438573007">
      <w:bodyDiv w:val="1"/>
      <w:marLeft w:val="0"/>
      <w:marRight w:val="0"/>
      <w:marTop w:val="0"/>
      <w:marBottom w:val="0"/>
      <w:divBdr>
        <w:top w:val="none" w:sz="0" w:space="0" w:color="auto"/>
        <w:left w:val="none" w:sz="0" w:space="0" w:color="auto"/>
        <w:bottom w:val="none" w:sz="0" w:space="0" w:color="auto"/>
        <w:right w:val="none" w:sz="0" w:space="0" w:color="auto"/>
      </w:divBdr>
    </w:div>
    <w:div w:id="527258438">
      <w:bodyDiv w:val="1"/>
      <w:marLeft w:val="0"/>
      <w:marRight w:val="0"/>
      <w:marTop w:val="0"/>
      <w:marBottom w:val="0"/>
      <w:divBdr>
        <w:top w:val="none" w:sz="0" w:space="0" w:color="auto"/>
        <w:left w:val="none" w:sz="0" w:space="0" w:color="auto"/>
        <w:bottom w:val="none" w:sz="0" w:space="0" w:color="auto"/>
        <w:right w:val="none" w:sz="0" w:space="0" w:color="auto"/>
      </w:divBdr>
    </w:div>
    <w:div w:id="593973329">
      <w:bodyDiv w:val="1"/>
      <w:marLeft w:val="0"/>
      <w:marRight w:val="0"/>
      <w:marTop w:val="0"/>
      <w:marBottom w:val="0"/>
      <w:divBdr>
        <w:top w:val="none" w:sz="0" w:space="0" w:color="auto"/>
        <w:left w:val="none" w:sz="0" w:space="0" w:color="auto"/>
        <w:bottom w:val="none" w:sz="0" w:space="0" w:color="auto"/>
        <w:right w:val="none" w:sz="0" w:space="0" w:color="auto"/>
      </w:divBdr>
      <w:divsChild>
        <w:div w:id="1103498749">
          <w:marLeft w:val="0"/>
          <w:marRight w:val="0"/>
          <w:marTop w:val="0"/>
          <w:marBottom w:val="0"/>
          <w:divBdr>
            <w:top w:val="none" w:sz="0" w:space="0" w:color="auto"/>
            <w:left w:val="none" w:sz="0" w:space="0" w:color="auto"/>
            <w:bottom w:val="none" w:sz="0" w:space="0" w:color="auto"/>
            <w:right w:val="none" w:sz="0" w:space="0" w:color="auto"/>
          </w:divBdr>
          <w:divsChild>
            <w:div w:id="2113671801">
              <w:marLeft w:val="0"/>
              <w:marRight w:val="0"/>
              <w:marTop w:val="0"/>
              <w:marBottom w:val="0"/>
              <w:divBdr>
                <w:top w:val="none" w:sz="0" w:space="0" w:color="auto"/>
                <w:left w:val="none" w:sz="0" w:space="0" w:color="auto"/>
                <w:bottom w:val="none" w:sz="0" w:space="0" w:color="auto"/>
                <w:right w:val="none" w:sz="0" w:space="0" w:color="auto"/>
              </w:divBdr>
              <w:divsChild>
                <w:div w:id="19066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0073">
          <w:marLeft w:val="0"/>
          <w:marRight w:val="0"/>
          <w:marTop w:val="0"/>
          <w:marBottom w:val="0"/>
          <w:divBdr>
            <w:top w:val="none" w:sz="0" w:space="0" w:color="auto"/>
            <w:left w:val="none" w:sz="0" w:space="0" w:color="auto"/>
            <w:bottom w:val="none" w:sz="0" w:space="0" w:color="auto"/>
            <w:right w:val="none" w:sz="0" w:space="0" w:color="auto"/>
          </w:divBdr>
          <w:divsChild>
            <w:div w:id="742604653">
              <w:marLeft w:val="0"/>
              <w:marRight w:val="0"/>
              <w:marTop w:val="0"/>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9150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11573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2026-01-27T10:46:00Z</cp:lastPrinted>
  <dcterms:created xsi:type="dcterms:W3CDTF">2026-01-27T10:46:00Z</dcterms:created>
  <dcterms:modified xsi:type="dcterms:W3CDTF">2026-01-27T10:53:00Z</dcterms:modified>
</cp:coreProperties>
</file>