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D6E74" w14:textId="77777777" w:rsidR="00A6415D" w:rsidRDefault="00A6415D">
      <w:pPr>
        <w:spacing w:before="1080"/>
      </w:pPr>
    </w:p>
    <w:p w14:paraId="14B3198E" w14:textId="77777777" w:rsidR="00A6415D" w:rsidRDefault="00000000">
      <w:pPr>
        <w:spacing w:after="80"/>
        <w:jc w:val="center"/>
      </w:pPr>
      <w:r>
        <w:rPr>
          <w:b/>
          <w:bCs/>
          <w:color w:val="2E4057"/>
          <w:sz w:val="48"/>
          <w:szCs w:val="48"/>
        </w:rPr>
        <w:t>Deep Symbolic Systems Model (DSSM)</w:t>
      </w:r>
    </w:p>
    <w:p w14:paraId="35E82604" w14:textId="77777777" w:rsidR="00A6415D" w:rsidRDefault="00000000">
      <w:pPr>
        <w:spacing w:after="60"/>
        <w:jc w:val="center"/>
      </w:pPr>
      <w:r>
        <w:rPr>
          <w:color w:val="2E4057"/>
          <w:sz w:val="36"/>
          <w:szCs w:val="36"/>
        </w:rPr>
        <w:t>Field Companion</w:t>
      </w:r>
    </w:p>
    <w:p w14:paraId="26074198" w14:textId="77777777" w:rsidR="00A6415D" w:rsidRDefault="00000000">
      <w:pPr>
        <w:spacing w:after="60"/>
        <w:jc w:val="center"/>
      </w:pPr>
      <w:r>
        <w:rPr>
          <w:i/>
          <w:iCs/>
          <w:color w:val="555555"/>
          <w:sz w:val="24"/>
          <w:szCs w:val="24"/>
        </w:rPr>
        <w:t>Operational Field Protocols for Detecting Symbolic Stabilization</w:t>
      </w:r>
    </w:p>
    <w:p w14:paraId="7F6C2B66" w14:textId="74ED872A" w:rsidR="00A6415D" w:rsidRDefault="00000000">
      <w:pPr>
        <w:pBdr>
          <w:bottom w:val="single" w:sz="4" w:space="4" w:color="2E4057"/>
        </w:pBdr>
        <w:spacing w:after="40"/>
        <w:jc w:val="center"/>
        <w:rPr>
          <w:color w:val="555555"/>
        </w:rPr>
      </w:pPr>
      <w:r>
        <w:rPr>
          <w:color w:val="555555"/>
        </w:rPr>
        <w:t>Anthony Vondoom  |  Version 1.1</w:t>
      </w:r>
    </w:p>
    <w:p w14:paraId="7F12C1CA" w14:textId="5F2E621B" w:rsidR="006833CA" w:rsidRDefault="004E3B54">
      <w:pPr>
        <w:pBdr>
          <w:bottom w:val="single" w:sz="4" w:space="4" w:color="2E4057"/>
        </w:pBdr>
        <w:spacing w:after="40"/>
        <w:jc w:val="center"/>
        <w:rPr>
          <w:color w:val="555555"/>
        </w:rPr>
      </w:pPr>
      <w:r>
        <w:rPr>
          <w:color w:val="555555"/>
        </w:rPr>
        <w:fldChar w:fldCharType="begin"/>
      </w:r>
      <w:r>
        <w:rPr>
          <w:color w:val="555555"/>
        </w:rPr>
        <w:instrText>HYPERLINK "</w:instrText>
      </w:r>
      <w:r w:rsidRPr="004E3B54">
        <w:rPr>
          <w:color w:val="555555"/>
        </w:rPr>
        <w:instrText>https://doi.org/10.6084/m9.figshare.32229336</w:instrText>
      </w:r>
      <w:r>
        <w:rPr>
          <w:color w:val="555555"/>
        </w:rPr>
        <w:instrText>"</w:instrText>
      </w:r>
      <w:r>
        <w:rPr>
          <w:color w:val="555555"/>
        </w:rPr>
        <w:fldChar w:fldCharType="separate"/>
      </w:r>
      <w:r w:rsidRPr="00B340EF">
        <w:rPr>
          <w:rStyle w:val="Hyperlink"/>
        </w:rPr>
        <w:t>https://doi.org/10.6084/m9.figshare.32229336</w:t>
      </w:r>
      <w:r>
        <w:rPr>
          <w:color w:val="555555"/>
        </w:rPr>
        <w:fldChar w:fldCharType="end"/>
      </w:r>
      <w:r>
        <w:rPr>
          <w:color w:val="555555"/>
        </w:rPr>
        <w:t xml:space="preserve"> </w:t>
      </w:r>
    </w:p>
    <w:p w14:paraId="2D795CD2" w14:textId="77777777" w:rsidR="006833CA" w:rsidRDefault="006833CA">
      <w:pPr>
        <w:pBdr>
          <w:bottom w:val="single" w:sz="4" w:space="4" w:color="2E4057"/>
        </w:pBdr>
        <w:spacing w:after="40"/>
        <w:jc w:val="center"/>
      </w:pPr>
    </w:p>
    <w:p w14:paraId="73C9D752" w14:textId="77777777" w:rsidR="00A6415D" w:rsidRDefault="00A6415D">
      <w:pPr>
        <w:spacing w:before="80"/>
      </w:pPr>
    </w:p>
    <w:p w14:paraId="21565AF4" w14:textId="000060BE" w:rsidR="00A6415D" w:rsidRDefault="006833CA">
      <w:pPr>
        <w:jc w:val="center"/>
      </w:pPr>
      <w:r>
        <w:rPr>
          <w:i/>
          <w:iCs/>
          <w:color w:val="888888"/>
          <w:sz w:val="20"/>
          <w:szCs w:val="20"/>
        </w:rPr>
        <w:t>Version 1.0 https://doi.org/10.6084/m9.figshare.31113958</w:t>
      </w:r>
    </w:p>
    <w:p w14:paraId="08EC075B" w14:textId="77777777" w:rsidR="00A6415D" w:rsidRDefault="00A6415D">
      <w:pPr>
        <w:spacing w:before="120"/>
      </w:pPr>
    </w:p>
    <w:p w14:paraId="61E2D0D3" w14:textId="77777777" w:rsidR="00A6415D" w:rsidRDefault="00000000">
      <w:pPr>
        <w:pBdr>
          <w:top w:val="single" w:sz="3" w:space="4" w:color="7B1FA2"/>
          <w:left w:val="thick" w:sz="12" w:space="4" w:color="7B1FA2"/>
          <w:bottom w:val="single" w:sz="3" w:space="4" w:color="7B1FA2"/>
          <w:right w:val="single" w:sz="3" w:space="4" w:color="7B1FA2"/>
        </w:pBdr>
        <w:spacing w:before="100" w:after="100"/>
        <w:ind w:left="360" w:right="360"/>
      </w:pPr>
      <w:r>
        <w:rPr>
          <w:i/>
          <w:iCs/>
          <w:color w:val="4A148C"/>
          <w:sz w:val="20"/>
          <w:szCs w:val="20"/>
        </w:rPr>
        <w:t>Version 1.1 adds: Section 6 (How to Use This Toolkit), Section 7 (Regional and Contextual Extensions). All prior sections are unchanged. Papers scored against v1.0 remain valid — extensions are supplementary, not revisions to the core protocol.</w:t>
      </w:r>
    </w:p>
    <w:p w14:paraId="55721348" w14:textId="77777777" w:rsidR="00A6415D" w:rsidRDefault="00A6415D">
      <w:pPr>
        <w:spacing w:before="2400"/>
      </w:pPr>
    </w:p>
    <w:p w14:paraId="145A88D3" w14:textId="77777777" w:rsidR="00A6415D" w:rsidRDefault="00000000">
      <w:pPr>
        <w:pStyle w:val="Heading1"/>
      </w:pPr>
      <w:r>
        <w:t>Objective</w:t>
      </w:r>
    </w:p>
    <w:p w14:paraId="703FCE0E" w14:textId="77777777" w:rsidR="00A6415D" w:rsidRDefault="00000000">
      <w:pPr>
        <w:spacing w:before="60" w:after="100"/>
        <w:jc w:val="both"/>
      </w:pPr>
      <w:r>
        <w:rPr>
          <w:color w:val="000000"/>
        </w:rPr>
        <w:t>Identify mnemonic architectures, symbolic stabilization, externalized cognition, and distributed symbolic authority using empirically grounded, theory-free observables.</w:t>
      </w:r>
    </w:p>
    <w:p w14:paraId="5AD0F342" w14:textId="77777777" w:rsidR="00A6415D" w:rsidRDefault="00000000">
      <w:pPr>
        <w:spacing w:before="60" w:after="100"/>
        <w:jc w:val="both"/>
      </w:pPr>
      <w:r>
        <w:rPr>
          <w:color w:val="000000"/>
        </w:rPr>
        <w:t>The FCP produces a 12-point symbolic saturation score by scoring six observables on two dimensions each: Evidence Strength (E) and Symbolic Specificity (S). Final score per observable = min(</w:t>
      </w:r>
      <w:proofErr w:type="gramStart"/>
      <w:r>
        <w:rPr>
          <w:color w:val="000000"/>
        </w:rPr>
        <w:t>E,S</w:t>
      </w:r>
      <w:proofErr w:type="gramEnd"/>
      <w:r>
        <w:rPr>
          <w:color w:val="000000"/>
        </w:rPr>
        <w:t>). Saturation requires total ≥7 with no criterion at zero.</w:t>
      </w:r>
    </w:p>
    <w:p w14:paraId="1D1114B4" w14:textId="77777777" w:rsidR="00A6415D" w:rsidRDefault="00A6415D">
      <w:pPr>
        <w:pBdr>
          <w:bottom w:val="single" w:sz="3" w:space="1" w:color="CCCCCC"/>
        </w:pBdr>
        <w:spacing w:before="200" w:after="200"/>
      </w:pPr>
    </w:p>
    <w:p w14:paraId="3353FC2E" w14:textId="77777777" w:rsidR="00A6415D" w:rsidRDefault="00000000">
      <w:pPr>
        <w:pStyle w:val="Heading1"/>
      </w:pPr>
      <w:r>
        <w:t>1. Quick-Reference Checklist</w:t>
      </w:r>
    </w:p>
    <w:p w14:paraId="37FE52CB" w14:textId="77777777" w:rsidR="00A6415D" w:rsidRDefault="00000000">
      <w:pPr>
        <w:spacing w:before="60" w:after="100"/>
        <w:jc w:val="both"/>
      </w:pPr>
      <w:r>
        <w:rPr>
          <w:color w:val="000000"/>
        </w:rPr>
        <w:t>Use before beginning formal scoring. Tick any that apply. Three or more ticks justify proceeding to full FCP assessment.</w:t>
      </w:r>
    </w:p>
    <w:p w14:paraId="32BB06AB" w14:textId="77777777" w:rsidR="00A6415D" w:rsidRDefault="00A6415D">
      <w:pPr>
        <w:spacing w:before="80"/>
      </w:pPr>
    </w:p>
    <w:p w14:paraId="4BFBAE8E" w14:textId="77777777" w:rsidR="00A6415D" w:rsidRDefault="00000000">
      <w:pPr>
        <w:pStyle w:val="ListParagraph"/>
        <w:numPr>
          <w:ilvl w:val="0"/>
          <w:numId w:val="2"/>
        </w:numPr>
        <w:spacing w:before="50" w:after="50"/>
      </w:pPr>
      <w:proofErr w:type="gramStart"/>
      <w:r>
        <w:lastRenderedPageBreak/>
        <w:t>☐  Artifact</w:t>
      </w:r>
      <w:proofErr w:type="gramEnd"/>
      <w:r>
        <w:t xml:space="preserve"> variability decreases across strata</w:t>
      </w:r>
    </w:p>
    <w:p w14:paraId="11644EA9" w14:textId="77777777" w:rsidR="00A6415D" w:rsidRDefault="00000000">
      <w:pPr>
        <w:pStyle w:val="ListParagraph"/>
        <w:numPr>
          <w:ilvl w:val="0"/>
          <w:numId w:val="2"/>
        </w:numPr>
        <w:spacing w:before="50" w:after="50"/>
      </w:pPr>
      <w:proofErr w:type="gramStart"/>
      <w:r>
        <w:t>☐  Production</w:t>
      </w:r>
      <w:proofErr w:type="gramEnd"/>
      <w:r>
        <w:t xml:space="preserve"> errors tolerated; standard forms preserved</w:t>
      </w:r>
    </w:p>
    <w:p w14:paraId="502A7166" w14:textId="77777777" w:rsidR="00A6415D" w:rsidRDefault="00000000">
      <w:pPr>
        <w:pStyle w:val="ListParagraph"/>
        <w:numPr>
          <w:ilvl w:val="0"/>
          <w:numId w:val="2"/>
        </w:numPr>
        <w:spacing w:before="50" w:after="50"/>
      </w:pPr>
      <w:proofErr w:type="gramStart"/>
      <w:r>
        <w:t>☐  Depositional</w:t>
      </w:r>
      <w:proofErr w:type="gramEnd"/>
      <w:r>
        <w:t xml:space="preserve"> patterns follow symbolic rules, not functional optimum</w:t>
      </w:r>
    </w:p>
    <w:p w14:paraId="074D4541" w14:textId="77777777" w:rsidR="00A6415D" w:rsidRDefault="00000000">
      <w:pPr>
        <w:pStyle w:val="ListParagraph"/>
        <w:numPr>
          <w:ilvl w:val="0"/>
          <w:numId w:val="2"/>
        </w:numPr>
        <w:spacing w:before="50" w:after="50"/>
      </w:pPr>
      <w:proofErr w:type="gramStart"/>
      <w:r>
        <w:t>☐  Symbols</w:t>
      </w:r>
      <w:proofErr w:type="gramEnd"/>
      <w:r>
        <w:t xml:space="preserve"> structurally conserved, functionally redundant</w:t>
      </w:r>
    </w:p>
    <w:p w14:paraId="3A667102" w14:textId="77777777" w:rsidR="00A6415D" w:rsidRDefault="00000000">
      <w:pPr>
        <w:pStyle w:val="ListParagraph"/>
        <w:numPr>
          <w:ilvl w:val="0"/>
          <w:numId w:val="2"/>
        </w:numPr>
        <w:spacing w:before="50" w:after="50"/>
      </w:pPr>
      <w:proofErr w:type="gramStart"/>
      <w:r>
        <w:t>☐  Repeated</w:t>
      </w:r>
      <w:proofErr w:type="gramEnd"/>
      <w:r>
        <w:t xml:space="preserve"> settlement or feature layouts</w:t>
      </w:r>
    </w:p>
    <w:p w14:paraId="070A1B84" w14:textId="77777777" w:rsidR="00A6415D" w:rsidRDefault="00000000">
      <w:pPr>
        <w:pStyle w:val="ListParagraph"/>
        <w:numPr>
          <w:ilvl w:val="0"/>
          <w:numId w:val="2"/>
        </w:numPr>
        <w:spacing w:before="50" w:after="50"/>
      </w:pPr>
      <w:proofErr w:type="gramStart"/>
      <w:r>
        <w:t>☐  Portable</w:t>
      </w:r>
      <w:proofErr w:type="gramEnd"/>
      <w:r>
        <w:t xml:space="preserve"> symbolic anchors standardized across sites</w:t>
      </w:r>
    </w:p>
    <w:p w14:paraId="29CE5CDD" w14:textId="77777777" w:rsidR="00A6415D" w:rsidRDefault="00000000">
      <w:pPr>
        <w:pStyle w:val="ListParagraph"/>
        <w:numPr>
          <w:ilvl w:val="0"/>
          <w:numId w:val="2"/>
        </w:numPr>
        <w:spacing w:before="50" w:after="50"/>
      </w:pPr>
      <w:proofErr w:type="gramStart"/>
      <w:r>
        <w:t>☐  Landscape</w:t>
      </w:r>
      <w:proofErr w:type="gramEnd"/>
      <w:r>
        <w:t xml:space="preserve"> memory detectable through repeated occupation</w:t>
      </w:r>
    </w:p>
    <w:p w14:paraId="6CCD4FD1" w14:textId="77777777" w:rsidR="00A6415D" w:rsidRDefault="00000000">
      <w:pPr>
        <w:pStyle w:val="ListParagraph"/>
        <w:numPr>
          <w:ilvl w:val="0"/>
          <w:numId w:val="2"/>
        </w:numPr>
        <w:spacing w:before="50" w:after="50"/>
      </w:pPr>
      <w:proofErr w:type="gramStart"/>
      <w:r>
        <w:t>☐  Multimodal</w:t>
      </w:r>
      <w:proofErr w:type="gramEnd"/>
      <w:r>
        <w:t xml:space="preserve"> redundancy (ritual, spatial, auditory, visual)</w:t>
      </w:r>
    </w:p>
    <w:p w14:paraId="1B7BF459" w14:textId="77777777" w:rsidR="00A6415D" w:rsidRDefault="00000000">
      <w:pPr>
        <w:pStyle w:val="ListParagraph"/>
        <w:numPr>
          <w:ilvl w:val="0"/>
          <w:numId w:val="2"/>
        </w:numPr>
        <w:spacing w:before="50" w:after="50"/>
      </w:pPr>
      <w:proofErr w:type="gramStart"/>
      <w:r>
        <w:t>☐  Intergenerational</w:t>
      </w:r>
      <w:proofErr w:type="gramEnd"/>
      <w:r>
        <w:t xml:space="preserve"> persistence measurable</w:t>
      </w:r>
    </w:p>
    <w:p w14:paraId="7D59B1B3" w14:textId="77777777" w:rsidR="00A6415D" w:rsidRDefault="00000000">
      <w:pPr>
        <w:pStyle w:val="ListParagraph"/>
        <w:numPr>
          <w:ilvl w:val="0"/>
          <w:numId w:val="2"/>
        </w:numPr>
        <w:spacing w:before="50" w:after="50"/>
      </w:pPr>
      <w:proofErr w:type="gramStart"/>
      <w:r>
        <w:t>☐  Monumentality</w:t>
      </w:r>
      <w:proofErr w:type="gramEnd"/>
      <w:r>
        <w:t xml:space="preserve"> codifies pre-existing symbolic systems</w:t>
      </w:r>
    </w:p>
    <w:p w14:paraId="75032925" w14:textId="77777777" w:rsidR="00A6415D" w:rsidRDefault="00A6415D">
      <w:pPr>
        <w:pBdr>
          <w:bottom w:val="single" w:sz="3" w:space="1" w:color="CCCCCC"/>
        </w:pBdr>
        <w:spacing w:before="200" w:after="200"/>
      </w:pPr>
    </w:p>
    <w:p w14:paraId="154E59B8" w14:textId="77777777" w:rsidR="00A6415D" w:rsidRDefault="00000000">
      <w:pPr>
        <w:pStyle w:val="Heading1"/>
      </w:pPr>
      <w:r>
        <w:t>2. Core DSSM Observables and Detection Rules</w:t>
      </w:r>
    </w:p>
    <w:p w14:paraId="79D4A342" w14:textId="77777777" w:rsidR="00A6415D" w:rsidRDefault="00000000">
      <w:pPr>
        <w:spacing w:before="60" w:after="100"/>
        <w:jc w:val="both"/>
      </w:pPr>
      <w:r>
        <w:rPr>
          <w:color w:val="000000"/>
        </w:rPr>
        <w:t>These six criteria are the universal baseline. They apply to every case regardless of region, period, or social scale. The scoring scale (0–2) is defined in Section 6.</w:t>
      </w:r>
    </w:p>
    <w:p w14:paraId="6D881CC0" w14:textId="77777777" w:rsidR="00A6415D" w:rsidRDefault="00A6415D">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2400"/>
        <w:gridCol w:w="2760"/>
        <w:gridCol w:w="1200"/>
        <w:gridCol w:w="1200"/>
      </w:tblGrid>
      <w:tr w:rsidR="00A6415D" w14:paraId="5A6DAA59" w14:textId="77777777">
        <w:trPr>
          <w:tblHeader/>
        </w:trPr>
        <w:tc>
          <w:tcPr>
            <w:tcW w:w="180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19C3E2AB" w14:textId="77777777" w:rsidR="00A6415D" w:rsidRDefault="00000000">
            <w:r>
              <w:rPr>
                <w:b/>
                <w:bCs/>
                <w:color w:val="FFFFFF"/>
                <w:sz w:val="20"/>
                <w:szCs w:val="20"/>
              </w:rPr>
              <w:t>DSSM Concept</w:t>
            </w:r>
          </w:p>
        </w:tc>
        <w:tc>
          <w:tcPr>
            <w:tcW w:w="240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0ADB89C6" w14:textId="77777777" w:rsidR="00A6415D" w:rsidRDefault="00000000">
            <w:r>
              <w:rPr>
                <w:b/>
                <w:bCs/>
                <w:color w:val="FFFFFF"/>
                <w:sz w:val="20"/>
                <w:szCs w:val="20"/>
              </w:rPr>
              <w:t>Field-Operational Translation</w:t>
            </w:r>
          </w:p>
        </w:tc>
        <w:tc>
          <w:tcPr>
            <w:tcW w:w="276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234127A1" w14:textId="77777777" w:rsidR="00A6415D" w:rsidRDefault="00000000">
            <w:r>
              <w:rPr>
                <w:b/>
                <w:bCs/>
                <w:color w:val="FFFFFF"/>
                <w:sz w:val="20"/>
                <w:szCs w:val="20"/>
              </w:rPr>
              <w:t>Detection Rules</w:t>
            </w:r>
          </w:p>
        </w:tc>
        <w:tc>
          <w:tcPr>
            <w:tcW w:w="120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159A15E5" w14:textId="77777777" w:rsidR="00A6415D" w:rsidRDefault="00000000">
            <w:pPr>
              <w:jc w:val="center"/>
            </w:pPr>
            <w:r>
              <w:rPr>
                <w:b/>
                <w:bCs/>
                <w:color w:val="FFFFFF"/>
                <w:sz w:val="20"/>
                <w:szCs w:val="20"/>
              </w:rPr>
              <w:t>Score (0–2)</w:t>
            </w:r>
          </w:p>
        </w:tc>
        <w:tc>
          <w:tcPr>
            <w:tcW w:w="120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5346B3D4" w14:textId="77777777" w:rsidR="00A6415D" w:rsidRDefault="00000000">
            <w:r>
              <w:rPr>
                <w:b/>
                <w:bCs/>
                <w:color w:val="FFFFFF"/>
                <w:sz w:val="20"/>
                <w:szCs w:val="20"/>
              </w:rPr>
              <w:t>Notes</w:t>
            </w:r>
          </w:p>
        </w:tc>
      </w:tr>
      <w:tr w:rsidR="00A6415D" w14:paraId="1EEE3F5E" w14:textId="77777777">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3C2D0C79" w14:textId="77777777" w:rsidR="00A6415D" w:rsidRDefault="00000000">
            <w:r>
              <w:rPr>
                <w:b/>
                <w:bCs/>
                <w:color w:val="000000"/>
                <w:sz w:val="20"/>
                <w:szCs w:val="20"/>
              </w:rPr>
              <w:t>Mnemonic Architectures</w:t>
            </w:r>
          </w:p>
        </w:tc>
        <w:tc>
          <w:tcPr>
            <w:tcW w:w="24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27444644" w14:textId="77777777" w:rsidR="00A6415D" w:rsidRDefault="00000000">
            <w:r>
              <w:rPr>
                <w:color w:val="000000"/>
                <w:sz w:val="20"/>
                <w:szCs w:val="20"/>
              </w:rPr>
              <w:t>Repeated spatial layouts, standardized tool morphologies, persistent feature reuse</w:t>
            </w:r>
          </w:p>
        </w:tc>
        <w:tc>
          <w:tcPr>
            <w:tcW w:w="276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01485D0C" w14:textId="77777777" w:rsidR="00A6415D" w:rsidRDefault="00000000">
            <w:r>
              <w:rPr>
                <w:color w:val="000000"/>
                <w:sz w:val="20"/>
                <w:szCs w:val="20"/>
              </w:rPr>
              <w:t>Map recurring spatial features; record tool morphometrics; note repeated feature types across layers</w:t>
            </w:r>
          </w:p>
        </w:tc>
        <w:tc>
          <w:tcPr>
            <w:tcW w:w="12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50264DA1" w14:textId="77777777" w:rsidR="00A6415D" w:rsidRDefault="00000000">
            <w:pPr>
              <w:jc w:val="center"/>
            </w:pPr>
            <w:r>
              <w:rPr>
                <w:color w:val="000000"/>
                <w:sz w:val="20"/>
                <w:szCs w:val="20"/>
              </w:rPr>
              <w:t>0=</w:t>
            </w:r>
            <w:proofErr w:type="gramStart"/>
            <w:r>
              <w:rPr>
                <w:color w:val="000000"/>
                <w:sz w:val="20"/>
                <w:szCs w:val="20"/>
              </w:rPr>
              <w:t>None</w:t>
            </w:r>
            <w:proofErr w:type="gramEnd"/>
            <w:r>
              <w:rPr>
                <w:color w:val="000000"/>
                <w:sz w:val="20"/>
                <w:szCs w:val="20"/>
              </w:rPr>
              <w:t xml:space="preserve"> 1=Partial 2=Full</w:t>
            </w:r>
          </w:p>
        </w:tc>
        <w:tc>
          <w:tcPr>
            <w:tcW w:w="12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687D0323" w14:textId="77777777" w:rsidR="00A6415D" w:rsidRDefault="00A6415D"/>
        </w:tc>
      </w:tr>
      <w:tr w:rsidR="00A6415D" w14:paraId="06996DB5" w14:textId="77777777">
        <w:tc>
          <w:tcPr>
            <w:tcW w:w="18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3501B0F9" w14:textId="77777777" w:rsidR="00A6415D" w:rsidRDefault="00000000">
            <w:r>
              <w:rPr>
                <w:b/>
                <w:bCs/>
                <w:color w:val="000000"/>
                <w:sz w:val="20"/>
                <w:szCs w:val="20"/>
              </w:rPr>
              <w:t>Symbolic Stabilization</w:t>
            </w:r>
          </w:p>
        </w:tc>
        <w:tc>
          <w:tcPr>
            <w:tcW w:w="24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1CEF004C" w14:textId="77777777" w:rsidR="00A6415D" w:rsidRDefault="00000000">
            <w:r>
              <w:rPr>
                <w:color w:val="000000"/>
                <w:sz w:val="20"/>
                <w:szCs w:val="20"/>
              </w:rPr>
              <w:t>Decreased artifact variability over time despite technological change</w:t>
            </w:r>
          </w:p>
        </w:tc>
        <w:tc>
          <w:tcPr>
            <w:tcW w:w="276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17EB3429" w14:textId="77777777" w:rsidR="00A6415D" w:rsidRDefault="00000000">
            <w:r>
              <w:rPr>
                <w:color w:val="000000"/>
                <w:sz w:val="20"/>
                <w:szCs w:val="20"/>
              </w:rPr>
              <w:t>Track artifact typologies; measure variation using coefficient of variation or count of forms</w:t>
            </w:r>
          </w:p>
        </w:tc>
        <w:tc>
          <w:tcPr>
            <w:tcW w:w="12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353CC67D" w14:textId="77777777" w:rsidR="00A6415D" w:rsidRDefault="00000000">
            <w:pPr>
              <w:jc w:val="center"/>
            </w:pPr>
            <w:r>
              <w:rPr>
                <w:color w:val="000000"/>
                <w:sz w:val="20"/>
                <w:szCs w:val="20"/>
              </w:rPr>
              <w:t>0=</w:t>
            </w:r>
            <w:proofErr w:type="gramStart"/>
            <w:r>
              <w:rPr>
                <w:color w:val="000000"/>
                <w:sz w:val="20"/>
                <w:szCs w:val="20"/>
              </w:rPr>
              <w:t>None</w:t>
            </w:r>
            <w:proofErr w:type="gramEnd"/>
            <w:r>
              <w:rPr>
                <w:color w:val="000000"/>
                <w:sz w:val="20"/>
                <w:szCs w:val="20"/>
              </w:rPr>
              <w:t xml:space="preserve"> 1=Partial 2=Full</w:t>
            </w:r>
          </w:p>
        </w:tc>
        <w:tc>
          <w:tcPr>
            <w:tcW w:w="12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779768B9" w14:textId="77777777" w:rsidR="00A6415D" w:rsidRDefault="00A6415D"/>
        </w:tc>
      </w:tr>
      <w:tr w:rsidR="00A6415D" w14:paraId="7F3192E0" w14:textId="77777777">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47126CD4" w14:textId="77777777" w:rsidR="00A6415D" w:rsidRDefault="00000000">
            <w:r>
              <w:rPr>
                <w:b/>
                <w:bCs/>
                <w:color w:val="000000"/>
                <w:sz w:val="20"/>
                <w:szCs w:val="20"/>
              </w:rPr>
              <w:t>Externalized Cognition</w:t>
            </w:r>
          </w:p>
        </w:tc>
        <w:tc>
          <w:tcPr>
            <w:tcW w:w="24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28E5E413" w14:textId="77777777" w:rsidR="00A6415D" w:rsidRDefault="00000000">
            <w:r>
              <w:rPr>
                <w:color w:val="000000"/>
                <w:sz w:val="20"/>
                <w:szCs w:val="20"/>
              </w:rPr>
              <w:t>Durable marking systems, standardized notches, counting devices, calendrical artifacts</w:t>
            </w:r>
          </w:p>
        </w:tc>
        <w:tc>
          <w:tcPr>
            <w:tcW w:w="276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166B6554" w14:textId="77777777" w:rsidR="00A6415D" w:rsidRDefault="00000000">
            <w:r>
              <w:rPr>
                <w:color w:val="000000"/>
                <w:sz w:val="20"/>
                <w:szCs w:val="20"/>
              </w:rPr>
              <w:t>Record tally marks, notched bones, inscriptions; check for standardization and portability</w:t>
            </w:r>
          </w:p>
        </w:tc>
        <w:tc>
          <w:tcPr>
            <w:tcW w:w="12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311AF260" w14:textId="77777777" w:rsidR="00A6415D" w:rsidRDefault="00000000">
            <w:pPr>
              <w:jc w:val="center"/>
            </w:pPr>
            <w:r>
              <w:rPr>
                <w:color w:val="000000"/>
                <w:sz w:val="20"/>
                <w:szCs w:val="20"/>
              </w:rPr>
              <w:t>0=</w:t>
            </w:r>
            <w:proofErr w:type="gramStart"/>
            <w:r>
              <w:rPr>
                <w:color w:val="000000"/>
                <w:sz w:val="20"/>
                <w:szCs w:val="20"/>
              </w:rPr>
              <w:t>None</w:t>
            </w:r>
            <w:proofErr w:type="gramEnd"/>
            <w:r>
              <w:rPr>
                <w:color w:val="000000"/>
                <w:sz w:val="20"/>
                <w:szCs w:val="20"/>
              </w:rPr>
              <w:t xml:space="preserve"> 1=Partial 2=Full</w:t>
            </w:r>
          </w:p>
        </w:tc>
        <w:tc>
          <w:tcPr>
            <w:tcW w:w="12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71D122D1" w14:textId="77777777" w:rsidR="00A6415D" w:rsidRDefault="00000000">
            <w:r>
              <w:rPr>
                <w:i/>
                <w:iCs/>
                <w:color w:val="000000"/>
                <w:sz w:val="18"/>
                <w:szCs w:val="18"/>
              </w:rPr>
              <w:t>See Section 7 for optional EC sub-criteria</w:t>
            </w:r>
          </w:p>
        </w:tc>
      </w:tr>
      <w:tr w:rsidR="00A6415D" w14:paraId="2CFC8AC9" w14:textId="77777777">
        <w:tc>
          <w:tcPr>
            <w:tcW w:w="18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2BDC8B3F" w14:textId="77777777" w:rsidR="00A6415D" w:rsidRDefault="00000000">
            <w:r>
              <w:rPr>
                <w:b/>
                <w:bCs/>
                <w:color w:val="000000"/>
                <w:sz w:val="20"/>
                <w:szCs w:val="20"/>
              </w:rPr>
              <w:t>Symbolic Regulation</w:t>
            </w:r>
          </w:p>
        </w:tc>
        <w:tc>
          <w:tcPr>
            <w:tcW w:w="24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46D6AAB5" w14:textId="77777777" w:rsidR="00A6415D" w:rsidRDefault="00000000">
            <w:r>
              <w:rPr>
                <w:color w:val="000000"/>
                <w:sz w:val="20"/>
                <w:szCs w:val="20"/>
              </w:rPr>
              <w:t>Constraints on production or deposition overriding function</w:t>
            </w:r>
          </w:p>
        </w:tc>
        <w:tc>
          <w:tcPr>
            <w:tcW w:w="276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345FABC9" w14:textId="77777777" w:rsidR="00A6415D" w:rsidRDefault="00000000">
            <w:r>
              <w:rPr>
                <w:color w:val="000000"/>
                <w:sz w:val="20"/>
                <w:szCs w:val="20"/>
              </w:rPr>
              <w:t>Identify artifacts or structures prioritizing form over utility; document rule-governed deposition</w:t>
            </w:r>
          </w:p>
        </w:tc>
        <w:tc>
          <w:tcPr>
            <w:tcW w:w="12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554E032D" w14:textId="77777777" w:rsidR="00A6415D" w:rsidRDefault="00000000">
            <w:pPr>
              <w:jc w:val="center"/>
            </w:pPr>
            <w:r>
              <w:rPr>
                <w:color w:val="000000"/>
                <w:sz w:val="20"/>
                <w:szCs w:val="20"/>
              </w:rPr>
              <w:t>0=</w:t>
            </w:r>
            <w:proofErr w:type="gramStart"/>
            <w:r>
              <w:rPr>
                <w:color w:val="000000"/>
                <w:sz w:val="20"/>
                <w:szCs w:val="20"/>
              </w:rPr>
              <w:t>None</w:t>
            </w:r>
            <w:proofErr w:type="gramEnd"/>
            <w:r>
              <w:rPr>
                <w:color w:val="000000"/>
                <w:sz w:val="20"/>
                <w:szCs w:val="20"/>
              </w:rPr>
              <w:t xml:space="preserve"> 1=Partial 2=Full</w:t>
            </w:r>
          </w:p>
        </w:tc>
        <w:tc>
          <w:tcPr>
            <w:tcW w:w="12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2CDCC84A" w14:textId="77777777" w:rsidR="00A6415D" w:rsidRDefault="00A6415D"/>
        </w:tc>
      </w:tr>
      <w:tr w:rsidR="00A6415D" w14:paraId="26E9F5DD" w14:textId="77777777">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6F651AEE" w14:textId="77777777" w:rsidR="00A6415D" w:rsidRDefault="00000000">
            <w:r>
              <w:rPr>
                <w:b/>
                <w:bCs/>
                <w:color w:val="000000"/>
                <w:sz w:val="20"/>
                <w:szCs w:val="20"/>
              </w:rPr>
              <w:t>Distributed Symbolic Authority</w:t>
            </w:r>
          </w:p>
        </w:tc>
        <w:tc>
          <w:tcPr>
            <w:tcW w:w="24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14C71B78" w14:textId="77777777" w:rsidR="00A6415D" w:rsidRDefault="00000000">
            <w:r>
              <w:rPr>
                <w:color w:val="000000"/>
                <w:sz w:val="20"/>
                <w:szCs w:val="20"/>
              </w:rPr>
              <w:t>Recurrent symbolic practices across sites</w:t>
            </w:r>
          </w:p>
        </w:tc>
        <w:tc>
          <w:tcPr>
            <w:tcW w:w="276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35757993" w14:textId="77777777" w:rsidR="00A6415D" w:rsidRDefault="00000000">
            <w:r>
              <w:rPr>
                <w:color w:val="000000"/>
                <w:sz w:val="20"/>
                <w:szCs w:val="20"/>
              </w:rPr>
              <w:t>Map repeated ritual/domestic patterns; note redundancy in placement and orientation</w:t>
            </w:r>
          </w:p>
        </w:tc>
        <w:tc>
          <w:tcPr>
            <w:tcW w:w="12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76C5D1F8" w14:textId="77777777" w:rsidR="00A6415D" w:rsidRDefault="00000000">
            <w:pPr>
              <w:jc w:val="center"/>
            </w:pPr>
            <w:r>
              <w:rPr>
                <w:color w:val="000000"/>
                <w:sz w:val="20"/>
                <w:szCs w:val="20"/>
              </w:rPr>
              <w:t>0=</w:t>
            </w:r>
            <w:proofErr w:type="gramStart"/>
            <w:r>
              <w:rPr>
                <w:color w:val="000000"/>
                <w:sz w:val="20"/>
                <w:szCs w:val="20"/>
              </w:rPr>
              <w:t>None</w:t>
            </w:r>
            <w:proofErr w:type="gramEnd"/>
            <w:r>
              <w:rPr>
                <w:color w:val="000000"/>
                <w:sz w:val="20"/>
                <w:szCs w:val="20"/>
              </w:rPr>
              <w:t xml:space="preserve"> 1=Partial 2=Full</w:t>
            </w:r>
          </w:p>
        </w:tc>
        <w:tc>
          <w:tcPr>
            <w:tcW w:w="12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1E150192" w14:textId="77777777" w:rsidR="00A6415D" w:rsidRDefault="00A6415D"/>
        </w:tc>
      </w:tr>
      <w:tr w:rsidR="00A6415D" w14:paraId="1C7AB74D" w14:textId="77777777">
        <w:tc>
          <w:tcPr>
            <w:tcW w:w="18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7889DF1F" w14:textId="77777777" w:rsidR="00A6415D" w:rsidRDefault="00000000">
            <w:r>
              <w:rPr>
                <w:b/>
                <w:bCs/>
                <w:color w:val="000000"/>
                <w:sz w:val="20"/>
                <w:szCs w:val="20"/>
              </w:rPr>
              <w:lastRenderedPageBreak/>
              <w:t>Portable Symbolic Anchors</w:t>
            </w:r>
          </w:p>
        </w:tc>
        <w:tc>
          <w:tcPr>
            <w:tcW w:w="24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5C419F2C" w14:textId="77777777" w:rsidR="00A6415D" w:rsidRDefault="00000000">
            <w:r>
              <w:rPr>
                <w:color w:val="000000"/>
                <w:sz w:val="20"/>
                <w:szCs w:val="20"/>
              </w:rPr>
              <w:t>Objects functioning as symbols independent of structures</w:t>
            </w:r>
          </w:p>
        </w:tc>
        <w:tc>
          <w:tcPr>
            <w:tcW w:w="276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5C843F03" w14:textId="77777777" w:rsidR="00A6415D" w:rsidRDefault="00000000">
            <w:r>
              <w:rPr>
                <w:color w:val="000000"/>
                <w:sz w:val="20"/>
                <w:szCs w:val="20"/>
              </w:rPr>
              <w:t>Trace standardized portable objects (jade, figurines, ritual tools) across sites and periods</w:t>
            </w:r>
          </w:p>
        </w:tc>
        <w:tc>
          <w:tcPr>
            <w:tcW w:w="12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587242BC" w14:textId="77777777" w:rsidR="00A6415D" w:rsidRDefault="00000000">
            <w:pPr>
              <w:jc w:val="center"/>
            </w:pPr>
            <w:r>
              <w:rPr>
                <w:color w:val="000000"/>
                <w:sz w:val="20"/>
                <w:szCs w:val="20"/>
              </w:rPr>
              <w:t>0=</w:t>
            </w:r>
            <w:proofErr w:type="gramStart"/>
            <w:r>
              <w:rPr>
                <w:color w:val="000000"/>
                <w:sz w:val="20"/>
                <w:szCs w:val="20"/>
              </w:rPr>
              <w:t>None</w:t>
            </w:r>
            <w:proofErr w:type="gramEnd"/>
            <w:r>
              <w:rPr>
                <w:color w:val="000000"/>
                <w:sz w:val="20"/>
                <w:szCs w:val="20"/>
              </w:rPr>
              <w:t xml:space="preserve"> 1=Partial 2=Full</w:t>
            </w:r>
          </w:p>
        </w:tc>
        <w:tc>
          <w:tcPr>
            <w:tcW w:w="12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32770EAC" w14:textId="77777777" w:rsidR="00A6415D" w:rsidRDefault="00A6415D"/>
        </w:tc>
      </w:tr>
    </w:tbl>
    <w:p w14:paraId="2AD6BE25" w14:textId="77777777" w:rsidR="00A6415D" w:rsidRDefault="00A6415D">
      <w:pPr>
        <w:spacing w:before="120"/>
      </w:pPr>
    </w:p>
    <w:p w14:paraId="0B495BA0" w14:textId="77777777" w:rsidR="00A6415D" w:rsidRDefault="00000000">
      <w:pPr>
        <w:pBdr>
          <w:top w:val="single" w:sz="3" w:space="4" w:color="2E4057"/>
          <w:left w:val="thick" w:sz="12" w:space="4" w:color="2E4057"/>
          <w:bottom w:val="single" w:sz="3" w:space="4" w:color="2E4057"/>
          <w:right w:val="single" w:sz="3" w:space="4" w:color="2E4057"/>
        </w:pBdr>
        <w:spacing w:before="100" w:after="100"/>
        <w:ind w:left="360" w:right="360"/>
      </w:pPr>
      <w:r>
        <w:rPr>
          <w:i/>
          <w:iCs/>
          <w:color w:val="2E4057"/>
          <w:sz w:val="20"/>
          <w:szCs w:val="20"/>
        </w:rPr>
        <w:t>The Externalized Cognition row includes a cross-reference to Section 7. If your case involves ambiguous writing evidence or a pre-literate society with documented material record systems, apply the EC sub-criteria before assigning your final EC score.</w:t>
      </w:r>
    </w:p>
    <w:p w14:paraId="184CB5DC" w14:textId="77777777" w:rsidR="00A6415D" w:rsidRDefault="00A6415D">
      <w:pPr>
        <w:pBdr>
          <w:bottom w:val="single" w:sz="3" w:space="1" w:color="CCCCCC"/>
        </w:pBdr>
        <w:spacing w:before="200" w:after="200"/>
      </w:pPr>
    </w:p>
    <w:p w14:paraId="51E97D41" w14:textId="77777777" w:rsidR="00A6415D" w:rsidRDefault="00000000">
      <w:pPr>
        <w:pStyle w:val="Heading1"/>
      </w:pPr>
      <w:r>
        <w:t>3. DSSM Field Protocols</w:t>
      </w:r>
    </w:p>
    <w:p w14:paraId="057719A2" w14:textId="77777777" w:rsidR="00A6415D" w:rsidRDefault="00000000">
      <w:pPr>
        <w:pStyle w:val="Heading2"/>
      </w:pPr>
      <w:r>
        <w:t>3.1 Excavation-Level Detection</w:t>
      </w:r>
    </w:p>
    <w:p w14:paraId="451F085C" w14:textId="77777777" w:rsidR="00A6415D" w:rsidRDefault="00000000">
      <w:pPr>
        <w:pStyle w:val="ListParagraph"/>
        <w:numPr>
          <w:ilvl w:val="0"/>
          <w:numId w:val="2"/>
        </w:numPr>
        <w:spacing w:before="50" w:after="50"/>
      </w:pPr>
      <w:r>
        <w:t>Record artifact typology per stratigraphic layer</w:t>
      </w:r>
    </w:p>
    <w:p w14:paraId="52908737" w14:textId="77777777" w:rsidR="00A6415D" w:rsidRDefault="00000000">
      <w:pPr>
        <w:pStyle w:val="ListParagraph"/>
        <w:numPr>
          <w:ilvl w:val="0"/>
          <w:numId w:val="2"/>
        </w:numPr>
        <w:spacing w:before="50" w:after="50"/>
      </w:pPr>
      <w:r>
        <w:t>Map repeated spatial features: hearths, pits, caches</w:t>
      </w:r>
    </w:p>
    <w:p w14:paraId="0DA02200" w14:textId="77777777" w:rsidR="00A6415D" w:rsidRDefault="00000000">
      <w:pPr>
        <w:pStyle w:val="ListParagraph"/>
        <w:numPr>
          <w:ilvl w:val="0"/>
          <w:numId w:val="2"/>
        </w:numPr>
        <w:spacing w:before="50" w:after="50"/>
      </w:pPr>
      <w:r>
        <w:t>Measure artifact morphometrics; calculate variation over time</w:t>
      </w:r>
    </w:p>
    <w:p w14:paraId="53450562" w14:textId="77777777" w:rsidR="00A6415D" w:rsidRDefault="00000000">
      <w:pPr>
        <w:pStyle w:val="ListParagraph"/>
        <w:numPr>
          <w:ilvl w:val="0"/>
          <w:numId w:val="2"/>
        </w:numPr>
        <w:spacing w:before="50" w:after="50"/>
      </w:pPr>
      <w:r>
        <w:t>Compare deposition to functional expectations; flag non-functional repetition</w:t>
      </w:r>
    </w:p>
    <w:p w14:paraId="19EC60F6" w14:textId="77777777" w:rsidR="00A6415D" w:rsidRDefault="00000000">
      <w:pPr>
        <w:pStyle w:val="Heading2"/>
      </w:pPr>
      <w:r>
        <w:t>3.2 Assemblage-Level Detection</w:t>
      </w:r>
    </w:p>
    <w:p w14:paraId="1C508779" w14:textId="77777777" w:rsidR="00A6415D" w:rsidRDefault="00000000">
      <w:pPr>
        <w:pStyle w:val="ListParagraph"/>
        <w:numPr>
          <w:ilvl w:val="0"/>
          <w:numId w:val="2"/>
        </w:numPr>
        <w:spacing w:before="50" w:after="50"/>
      </w:pPr>
      <w:r>
        <w:t>Identify redundancy across media (tools, pottery, ritual objects)</w:t>
      </w:r>
    </w:p>
    <w:p w14:paraId="5869F915" w14:textId="77777777" w:rsidR="00A6415D" w:rsidRDefault="00000000">
      <w:pPr>
        <w:pStyle w:val="ListParagraph"/>
        <w:numPr>
          <w:ilvl w:val="0"/>
          <w:numId w:val="2"/>
        </w:numPr>
        <w:spacing w:before="50" w:after="50"/>
      </w:pPr>
      <w:r>
        <w:t>Track temporal persistence and gradual morphometric change</w:t>
      </w:r>
    </w:p>
    <w:p w14:paraId="74858972" w14:textId="77777777" w:rsidR="00A6415D" w:rsidRDefault="00000000">
      <w:pPr>
        <w:pStyle w:val="ListParagraph"/>
        <w:numPr>
          <w:ilvl w:val="0"/>
          <w:numId w:val="2"/>
        </w:numPr>
        <w:spacing w:before="50" w:after="50"/>
      </w:pPr>
      <w:r>
        <w:t>Detect portable symbolic anchors and their circulation patterns</w:t>
      </w:r>
    </w:p>
    <w:p w14:paraId="41F6CD0E" w14:textId="77777777" w:rsidR="00A6415D" w:rsidRDefault="00000000">
      <w:pPr>
        <w:pStyle w:val="Heading2"/>
      </w:pPr>
      <w:r>
        <w:t>3.3 Contextual and Environmental Observables</w:t>
      </w:r>
    </w:p>
    <w:p w14:paraId="3425687B" w14:textId="77777777" w:rsidR="00A6415D" w:rsidRDefault="00000000">
      <w:pPr>
        <w:pStyle w:val="ListParagraph"/>
        <w:numPr>
          <w:ilvl w:val="0"/>
          <w:numId w:val="2"/>
        </w:numPr>
        <w:spacing w:before="50" w:after="50"/>
      </w:pPr>
      <w:r>
        <w:t>Map ritualized landscape features (caves, mounds, aggregation sites)</w:t>
      </w:r>
    </w:p>
    <w:p w14:paraId="1A25FAB9" w14:textId="77777777" w:rsidR="00A6415D" w:rsidRDefault="00000000">
      <w:pPr>
        <w:pStyle w:val="ListParagraph"/>
        <w:numPr>
          <w:ilvl w:val="0"/>
          <w:numId w:val="2"/>
        </w:numPr>
        <w:spacing w:before="50" w:after="50"/>
      </w:pPr>
      <w:r>
        <w:t>Record repeated seasonal or ecological site use</w:t>
      </w:r>
    </w:p>
    <w:p w14:paraId="3E103BFC" w14:textId="77777777" w:rsidR="00A6415D" w:rsidRDefault="00000000">
      <w:pPr>
        <w:pStyle w:val="ListParagraph"/>
        <w:numPr>
          <w:ilvl w:val="0"/>
          <w:numId w:val="2"/>
        </w:numPr>
        <w:spacing w:before="50" w:after="50"/>
      </w:pPr>
      <w:r>
        <w:t>Detect axial persistence along rivers, trade routes, or ritual pathways</w:t>
      </w:r>
    </w:p>
    <w:p w14:paraId="0FDA15E8" w14:textId="77777777" w:rsidR="00A6415D" w:rsidRDefault="00A6415D">
      <w:pPr>
        <w:pBdr>
          <w:bottom w:val="single" w:sz="3" w:space="1" w:color="CCCCCC"/>
        </w:pBdr>
        <w:spacing w:before="200" w:after="200"/>
      </w:pPr>
    </w:p>
    <w:p w14:paraId="3C871336" w14:textId="77777777" w:rsidR="00A6415D" w:rsidRDefault="00000000">
      <w:pPr>
        <w:pStyle w:val="Heading1"/>
      </w:pPr>
      <w:r>
        <w:t>4. Regional Exemplars</w:t>
      </w:r>
    </w:p>
    <w:p w14:paraId="24F8E5B8" w14:textId="77777777" w:rsidR="00A6415D" w:rsidRDefault="00000000">
      <w:pPr>
        <w:pStyle w:val="Heading3"/>
        <w:spacing w:after="80"/>
      </w:pPr>
      <w:r>
        <w:t>4.1 Mesoamerica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3880"/>
        <w:gridCol w:w="3280"/>
      </w:tblGrid>
      <w:tr w:rsidR="00A6415D" w14:paraId="44E90188" w14:textId="77777777">
        <w:trPr>
          <w:tblHeader/>
        </w:trPr>
        <w:tc>
          <w:tcPr>
            <w:tcW w:w="220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7B919B48" w14:textId="77777777" w:rsidR="00A6415D" w:rsidRDefault="00000000">
            <w:r>
              <w:rPr>
                <w:b/>
                <w:bCs/>
                <w:color w:val="FFFFFF"/>
                <w:sz w:val="20"/>
                <w:szCs w:val="20"/>
              </w:rPr>
              <w:t>Chronology</w:t>
            </w:r>
          </w:p>
        </w:tc>
        <w:tc>
          <w:tcPr>
            <w:tcW w:w="388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1BFF1863" w14:textId="77777777" w:rsidR="00A6415D" w:rsidRDefault="00000000">
            <w:r>
              <w:rPr>
                <w:b/>
                <w:bCs/>
                <w:color w:val="FFFFFF"/>
                <w:sz w:val="20"/>
                <w:szCs w:val="20"/>
              </w:rPr>
              <w:t>Evidence</w:t>
            </w:r>
          </w:p>
        </w:tc>
        <w:tc>
          <w:tcPr>
            <w:tcW w:w="328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245751C7" w14:textId="77777777" w:rsidR="00A6415D" w:rsidRDefault="00000000">
            <w:r>
              <w:rPr>
                <w:b/>
                <w:bCs/>
                <w:color w:val="FFFFFF"/>
                <w:sz w:val="20"/>
                <w:szCs w:val="20"/>
              </w:rPr>
              <w:t>DSSM Observable</w:t>
            </w:r>
          </w:p>
        </w:tc>
      </w:tr>
      <w:tr w:rsidR="00A6415D" w14:paraId="69158038" w14:textId="77777777">
        <w:tc>
          <w:tcPr>
            <w:tcW w:w="22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39EC87C3" w14:textId="77777777" w:rsidR="00A6415D" w:rsidRDefault="00000000">
            <w:r>
              <w:rPr>
                <w:color w:val="000000"/>
                <w:sz w:val="18"/>
                <w:szCs w:val="18"/>
              </w:rPr>
              <w:t>20,000–12,000 BCE</w:t>
            </w:r>
          </w:p>
        </w:tc>
        <w:tc>
          <w:tcPr>
            <w:tcW w:w="38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42211703" w14:textId="77777777" w:rsidR="00A6415D" w:rsidRDefault="00000000">
            <w:r>
              <w:rPr>
                <w:color w:val="000000"/>
                <w:sz w:val="18"/>
                <w:szCs w:val="18"/>
              </w:rPr>
              <w:t>Tool standardization, subsistence planning, body ornamentation</w:t>
            </w:r>
          </w:p>
        </w:tc>
        <w:tc>
          <w:tcPr>
            <w:tcW w:w="32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0A7C9965" w14:textId="77777777" w:rsidR="00A6415D" w:rsidRDefault="00000000">
            <w:r>
              <w:rPr>
                <w:color w:val="000000"/>
                <w:sz w:val="18"/>
                <w:szCs w:val="18"/>
              </w:rPr>
              <w:t>Episodic symbolic expression; measure tool variation</w:t>
            </w:r>
          </w:p>
        </w:tc>
      </w:tr>
      <w:tr w:rsidR="00A6415D" w14:paraId="525B8091" w14:textId="77777777">
        <w:tc>
          <w:tcPr>
            <w:tcW w:w="22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78E4DDF3" w14:textId="77777777" w:rsidR="00A6415D" w:rsidRDefault="00000000">
            <w:r>
              <w:rPr>
                <w:color w:val="000000"/>
                <w:sz w:val="18"/>
                <w:szCs w:val="18"/>
              </w:rPr>
              <w:t>9000–6000 BCE</w:t>
            </w:r>
          </w:p>
        </w:tc>
        <w:tc>
          <w:tcPr>
            <w:tcW w:w="38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7F23ABE9" w14:textId="77777777" w:rsidR="00A6415D" w:rsidRDefault="00000000">
            <w:r>
              <w:rPr>
                <w:color w:val="000000"/>
                <w:sz w:val="18"/>
                <w:szCs w:val="18"/>
              </w:rPr>
              <w:t>Cave reoccupation, early domestication</w:t>
            </w:r>
          </w:p>
        </w:tc>
        <w:tc>
          <w:tcPr>
            <w:tcW w:w="32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1686F46C" w14:textId="77777777" w:rsidR="00A6415D" w:rsidRDefault="00000000">
            <w:r>
              <w:rPr>
                <w:color w:val="000000"/>
                <w:sz w:val="18"/>
                <w:szCs w:val="18"/>
              </w:rPr>
              <w:t>Caves as mnemonic nodes; map repeated loci</w:t>
            </w:r>
          </w:p>
        </w:tc>
      </w:tr>
      <w:tr w:rsidR="00A6415D" w14:paraId="527B8706" w14:textId="77777777">
        <w:tc>
          <w:tcPr>
            <w:tcW w:w="22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1B601065" w14:textId="77777777" w:rsidR="00A6415D" w:rsidRDefault="00000000">
            <w:r>
              <w:rPr>
                <w:color w:val="000000"/>
                <w:sz w:val="18"/>
                <w:szCs w:val="18"/>
              </w:rPr>
              <w:lastRenderedPageBreak/>
              <w:t>6000–4000 BCE</w:t>
            </w:r>
          </w:p>
        </w:tc>
        <w:tc>
          <w:tcPr>
            <w:tcW w:w="38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4F61C4BD" w14:textId="77777777" w:rsidR="00A6415D" w:rsidRDefault="00000000">
            <w:r>
              <w:rPr>
                <w:color w:val="000000"/>
                <w:sz w:val="18"/>
                <w:szCs w:val="18"/>
              </w:rPr>
              <w:t>Aggregation intensification; plant-processing tech</w:t>
            </w:r>
          </w:p>
        </w:tc>
        <w:tc>
          <w:tcPr>
            <w:tcW w:w="32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74C55C86" w14:textId="77777777" w:rsidR="00A6415D" w:rsidRDefault="00000000">
            <w:r>
              <w:rPr>
                <w:color w:val="000000"/>
                <w:sz w:val="18"/>
                <w:szCs w:val="18"/>
              </w:rPr>
              <w:t>Repeated feature types; track occupational depth</w:t>
            </w:r>
          </w:p>
        </w:tc>
      </w:tr>
      <w:tr w:rsidR="00A6415D" w14:paraId="0814C1AB" w14:textId="77777777">
        <w:tc>
          <w:tcPr>
            <w:tcW w:w="22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67F7E53E" w14:textId="77777777" w:rsidR="00A6415D" w:rsidRDefault="00000000">
            <w:r>
              <w:rPr>
                <w:color w:val="000000"/>
                <w:sz w:val="18"/>
                <w:szCs w:val="18"/>
              </w:rPr>
              <w:t>4000–2500 BCE</w:t>
            </w:r>
          </w:p>
        </w:tc>
        <w:tc>
          <w:tcPr>
            <w:tcW w:w="38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2C22633A" w14:textId="77777777" w:rsidR="00A6415D" w:rsidRDefault="00000000">
            <w:r>
              <w:rPr>
                <w:color w:val="000000"/>
                <w:sz w:val="18"/>
                <w:szCs w:val="18"/>
              </w:rPr>
              <w:t>Fixed village plans, burials, figurines</w:t>
            </w:r>
          </w:p>
        </w:tc>
        <w:tc>
          <w:tcPr>
            <w:tcW w:w="32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3E456A88" w14:textId="77777777" w:rsidR="00A6415D" w:rsidRDefault="00000000">
            <w:r>
              <w:rPr>
                <w:color w:val="000000"/>
                <w:sz w:val="18"/>
                <w:szCs w:val="18"/>
              </w:rPr>
              <w:t>Redundant spatial, mortuary, portable media</w:t>
            </w:r>
          </w:p>
        </w:tc>
      </w:tr>
      <w:tr w:rsidR="00A6415D" w14:paraId="47D8CAE7" w14:textId="77777777">
        <w:tc>
          <w:tcPr>
            <w:tcW w:w="22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1F5683EE" w14:textId="77777777" w:rsidR="00A6415D" w:rsidRDefault="00000000">
            <w:r>
              <w:rPr>
                <w:color w:val="000000"/>
                <w:sz w:val="18"/>
                <w:szCs w:val="18"/>
              </w:rPr>
              <w:t>2500–1800 BCE</w:t>
            </w:r>
          </w:p>
        </w:tc>
        <w:tc>
          <w:tcPr>
            <w:tcW w:w="38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55100DE3" w14:textId="77777777" w:rsidR="00A6415D" w:rsidRDefault="00000000">
            <w:r>
              <w:rPr>
                <w:color w:val="000000"/>
                <w:sz w:val="18"/>
                <w:szCs w:val="18"/>
              </w:rPr>
              <w:t>Standardized village layouts</w:t>
            </w:r>
          </w:p>
        </w:tc>
        <w:tc>
          <w:tcPr>
            <w:tcW w:w="32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63F1A1CB" w14:textId="77777777" w:rsidR="00A6415D" w:rsidRDefault="00000000">
            <w:r>
              <w:rPr>
                <w:color w:val="000000"/>
                <w:sz w:val="18"/>
                <w:szCs w:val="18"/>
              </w:rPr>
              <w:t>Distributed symbolic grammar; village convergence</w:t>
            </w:r>
          </w:p>
        </w:tc>
      </w:tr>
      <w:tr w:rsidR="00A6415D" w14:paraId="0C12E71F" w14:textId="77777777">
        <w:tc>
          <w:tcPr>
            <w:tcW w:w="22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62ECD7CF" w14:textId="77777777" w:rsidR="00A6415D" w:rsidRDefault="00000000">
            <w:r>
              <w:rPr>
                <w:color w:val="000000"/>
                <w:sz w:val="18"/>
                <w:szCs w:val="18"/>
              </w:rPr>
              <w:t>1800–1400 BCE</w:t>
            </w:r>
          </w:p>
        </w:tc>
        <w:tc>
          <w:tcPr>
            <w:tcW w:w="38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331FFC83" w14:textId="77777777" w:rsidR="00A6415D" w:rsidRDefault="00000000">
            <w:r>
              <w:rPr>
                <w:color w:val="000000"/>
                <w:sz w:val="18"/>
                <w:szCs w:val="18"/>
              </w:rPr>
              <w:t>Portable ritual objects: jade, masks</w:t>
            </w:r>
          </w:p>
        </w:tc>
        <w:tc>
          <w:tcPr>
            <w:tcW w:w="32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6D26FF09" w14:textId="77777777" w:rsidR="00A6415D" w:rsidRDefault="00000000">
            <w:r>
              <w:rPr>
                <w:color w:val="000000"/>
                <w:sz w:val="18"/>
                <w:szCs w:val="18"/>
              </w:rPr>
              <w:t>Portable symbolic anchors; track circulation</w:t>
            </w:r>
          </w:p>
        </w:tc>
      </w:tr>
      <w:tr w:rsidR="00A6415D" w14:paraId="61F95851" w14:textId="77777777">
        <w:tc>
          <w:tcPr>
            <w:tcW w:w="22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4C39447C" w14:textId="77777777" w:rsidR="00A6415D" w:rsidRDefault="00000000">
            <w:r>
              <w:rPr>
                <w:color w:val="000000"/>
                <w:sz w:val="18"/>
                <w:szCs w:val="18"/>
              </w:rPr>
              <w:t>1400–900 BCE</w:t>
            </w:r>
          </w:p>
        </w:tc>
        <w:tc>
          <w:tcPr>
            <w:tcW w:w="38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4C053A0A" w14:textId="77777777" w:rsidR="00A6415D" w:rsidRDefault="00000000">
            <w:r>
              <w:rPr>
                <w:color w:val="000000"/>
                <w:sz w:val="18"/>
                <w:szCs w:val="18"/>
              </w:rPr>
              <w:t>Monumental platforms, plazas, sculptures</w:t>
            </w:r>
          </w:p>
        </w:tc>
        <w:tc>
          <w:tcPr>
            <w:tcW w:w="32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7F90682C" w14:textId="77777777" w:rsidR="00A6415D" w:rsidRDefault="00000000">
            <w:r>
              <w:rPr>
                <w:color w:val="000000"/>
                <w:sz w:val="18"/>
                <w:szCs w:val="18"/>
              </w:rPr>
              <w:t>Monumentality codifies prior symbolic load</w:t>
            </w:r>
          </w:p>
        </w:tc>
      </w:tr>
      <w:tr w:rsidR="00A6415D" w14:paraId="58A6D024" w14:textId="77777777">
        <w:tc>
          <w:tcPr>
            <w:tcW w:w="22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35BE10B1" w14:textId="77777777" w:rsidR="00A6415D" w:rsidRDefault="00000000">
            <w:r>
              <w:rPr>
                <w:color w:val="000000"/>
                <w:sz w:val="18"/>
                <w:szCs w:val="18"/>
              </w:rPr>
              <w:t>900–300 BCE</w:t>
            </w:r>
          </w:p>
        </w:tc>
        <w:tc>
          <w:tcPr>
            <w:tcW w:w="38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5793140A" w14:textId="77777777" w:rsidR="00A6415D" w:rsidRDefault="00000000">
            <w:r>
              <w:rPr>
                <w:color w:val="000000"/>
                <w:sz w:val="18"/>
                <w:szCs w:val="18"/>
              </w:rPr>
              <w:t>Early writing systems</w:t>
            </w:r>
          </w:p>
        </w:tc>
        <w:tc>
          <w:tcPr>
            <w:tcW w:w="32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4074B73F" w14:textId="77777777" w:rsidR="00A6415D" w:rsidRDefault="00000000">
            <w:r>
              <w:rPr>
                <w:color w:val="000000"/>
                <w:sz w:val="18"/>
                <w:szCs w:val="18"/>
              </w:rPr>
              <w:t>Writing encodes stabilized symbolic systems</w:t>
            </w:r>
          </w:p>
        </w:tc>
      </w:tr>
    </w:tbl>
    <w:p w14:paraId="128BD045" w14:textId="77777777" w:rsidR="00A6415D" w:rsidRDefault="00A6415D">
      <w:pPr>
        <w:spacing w:before="120"/>
      </w:pPr>
    </w:p>
    <w:p w14:paraId="18C19CB8" w14:textId="77777777" w:rsidR="00A6415D" w:rsidRDefault="00000000">
      <w:pPr>
        <w:pStyle w:val="Heading3"/>
        <w:spacing w:after="80"/>
      </w:pPr>
      <w:r>
        <w:t>4.2 Prehistoric Sri Lanka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3880"/>
        <w:gridCol w:w="3280"/>
      </w:tblGrid>
      <w:tr w:rsidR="00A6415D" w14:paraId="1AA9CCE2" w14:textId="77777777">
        <w:trPr>
          <w:tblHeader/>
        </w:trPr>
        <w:tc>
          <w:tcPr>
            <w:tcW w:w="220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56A5F46B" w14:textId="77777777" w:rsidR="00A6415D" w:rsidRDefault="00000000">
            <w:r>
              <w:rPr>
                <w:b/>
                <w:bCs/>
                <w:color w:val="FFFFFF"/>
                <w:sz w:val="20"/>
                <w:szCs w:val="20"/>
              </w:rPr>
              <w:t>Period</w:t>
            </w:r>
          </w:p>
        </w:tc>
        <w:tc>
          <w:tcPr>
            <w:tcW w:w="388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379E81D7" w14:textId="77777777" w:rsidR="00A6415D" w:rsidRDefault="00000000">
            <w:r>
              <w:rPr>
                <w:b/>
                <w:bCs/>
                <w:color w:val="FFFFFF"/>
                <w:sz w:val="20"/>
                <w:szCs w:val="20"/>
              </w:rPr>
              <w:t>Evidence</w:t>
            </w:r>
          </w:p>
        </w:tc>
        <w:tc>
          <w:tcPr>
            <w:tcW w:w="328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56E7EE32" w14:textId="77777777" w:rsidR="00A6415D" w:rsidRDefault="00000000">
            <w:r>
              <w:rPr>
                <w:b/>
                <w:bCs/>
                <w:color w:val="FFFFFF"/>
                <w:sz w:val="20"/>
                <w:szCs w:val="20"/>
              </w:rPr>
              <w:t>DSSM Observable</w:t>
            </w:r>
          </w:p>
        </w:tc>
      </w:tr>
      <w:tr w:rsidR="00A6415D" w14:paraId="2C0B45FB" w14:textId="77777777">
        <w:tc>
          <w:tcPr>
            <w:tcW w:w="22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7F25AFF9" w14:textId="77777777" w:rsidR="00A6415D" w:rsidRDefault="00000000">
            <w:r>
              <w:rPr>
                <w:color w:val="000000"/>
                <w:sz w:val="18"/>
                <w:szCs w:val="18"/>
              </w:rPr>
              <w:t>125,000–40,000 BCE</w:t>
            </w:r>
          </w:p>
        </w:tc>
        <w:tc>
          <w:tcPr>
            <w:tcW w:w="38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63DCD44C" w14:textId="77777777" w:rsidR="00A6415D" w:rsidRDefault="00000000">
            <w:r>
              <w:rPr>
                <w:color w:val="000000"/>
                <w:sz w:val="18"/>
                <w:szCs w:val="18"/>
              </w:rPr>
              <w:t>Fa Hien Cave</w:t>
            </w:r>
          </w:p>
        </w:tc>
        <w:tc>
          <w:tcPr>
            <w:tcW w:w="32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29C95694" w14:textId="77777777" w:rsidR="00A6415D" w:rsidRDefault="00000000">
            <w:r>
              <w:rPr>
                <w:color w:val="000000"/>
                <w:sz w:val="18"/>
                <w:szCs w:val="18"/>
              </w:rPr>
              <w:t>Structured cave use; hearth mapping</w:t>
            </w:r>
          </w:p>
        </w:tc>
      </w:tr>
      <w:tr w:rsidR="00A6415D" w14:paraId="488DB416" w14:textId="77777777">
        <w:tc>
          <w:tcPr>
            <w:tcW w:w="22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47887C55" w14:textId="77777777" w:rsidR="00A6415D" w:rsidRDefault="00000000">
            <w:r>
              <w:rPr>
                <w:color w:val="000000"/>
                <w:sz w:val="18"/>
                <w:szCs w:val="18"/>
              </w:rPr>
              <w:t>125,000–40,000 BCE</w:t>
            </w:r>
          </w:p>
        </w:tc>
        <w:tc>
          <w:tcPr>
            <w:tcW w:w="38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5A16B406" w14:textId="77777777" w:rsidR="00A6415D" w:rsidRDefault="00000000">
            <w:proofErr w:type="spellStart"/>
            <w:r>
              <w:rPr>
                <w:color w:val="000000"/>
                <w:sz w:val="18"/>
                <w:szCs w:val="18"/>
              </w:rPr>
              <w:t>Batadomba</w:t>
            </w:r>
            <w:proofErr w:type="spellEnd"/>
            <w:r>
              <w:rPr>
                <w:color w:val="000000"/>
                <w:sz w:val="18"/>
                <w:szCs w:val="18"/>
              </w:rPr>
              <w:t xml:space="preserve"> Lena</w:t>
            </w:r>
          </w:p>
        </w:tc>
        <w:tc>
          <w:tcPr>
            <w:tcW w:w="32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340540A4" w14:textId="77777777" w:rsidR="00A6415D" w:rsidRDefault="00000000">
            <w:r>
              <w:rPr>
                <w:color w:val="000000"/>
                <w:sz w:val="18"/>
                <w:szCs w:val="18"/>
              </w:rPr>
              <w:t>Cave loci reuse; ritualized spatial organization</w:t>
            </w:r>
          </w:p>
        </w:tc>
      </w:tr>
      <w:tr w:rsidR="00A6415D" w14:paraId="158FCFE6" w14:textId="77777777">
        <w:tc>
          <w:tcPr>
            <w:tcW w:w="22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7F428808" w14:textId="77777777" w:rsidR="00A6415D" w:rsidRDefault="00000000">
            <w:r>
              <w:rPr>
                <w:color w:val="000000"/>
                <w:sz w:val="18"/>
                <w:szCs w:val="18"/>
              </w:rPr>
              <w:t>40,000–12,000 BCE</w:t>
            </w:r>
          </w:p>
        </w:tc>
        <w:tc>
          <w:tcPr>
            <w:tcW w:w="38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36698528" w14:textId="77777777" w:rsidR="00A6415D" w:rsidRDefault="00000000">
            <w:r>
              <w:rPr>
                <w:color w:val="000000"/>
                <w:sz w:val="18"/>
                <w:szCs w:val="18"/>
              </w:rPr>
              <w:t>Microlithic tools</w:t>
            </w:r>
          </w:p>
        </w:tc>
        <w:tc>
          <w:tcPr>
            <w:tcW w:w="32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092618BD" w14:textId="77777777" w:rsidR="00A6415D" w:rsidRDefault="00000000">
            <w:r>
              <w:rPr>
                <w:color w:val="000000"/>
                <w:sz w:val="18"/>
                <w:szCs w:val="18"/>
              </w:rPr>
              <w:t>Continuity in tool forms; symbolic stabilization</w:t>
            </w:r>
          </w:p>
        </w:tc>
      </w:tr>
      <w:tr w:rsidR="00A6415D" w14:paraId="50F600B9" w14:textId="77777777">
        <w:tc>
          <w:tcPr>
            <w:tcW w:w="22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492757BC" w14:textId="77777777" w:rsidR="00A6415D" w:rsidRDefault="00000000">
            <w:r>
              <w:rPr>
                <w:color w:val="000000"/>
                <w:sz w:val="18"/>
                <w:szCs w:val="18"/>
              </w:rPr>
              <w:t>12,000–3000 BCE</w:t>
            </w:r>
          </w:p>
        </w:tc>
        <w:tc>
          <w:tcPr>
            <w:tcW w:w="38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055DB572" w14:textId="77777777" w:rsidR="00A6415D" w:rsidRDefault="00000000">
            <w:r>
              <w:rPr>
                <w:color w:val="000000"/>
                <w:sz w:val="18"/>
                <w:szCs w:val="18"/>
              </w:rPr>
              <w:t>Pottery, subsistence-linked symbols</w:t>
            </w:r>
          </w:p>
        </w:tc>
        <w:tc>
          <w:tcPr>
            <w:tcW w:w="32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77068A56" w14:textId="77777777" w:rsidR="00A6415D" w:rsidRDefault="00000000">
            <w:r>
              <w:rPr>
                <w:color w:val="000000"/>
                <w:sz w:val="18"/>
                <w:szCs w:val="18"/>
              </w:rPr>
              <w:t>Distributed, portable symbolic acts integrated into daily use</w:t>
            </w:r>
          </w:p>
        </w:tc>
      </w:tr>
    </w:tbl>
    <w:p w14:paraId="0886A03D" w14:textId="77777777" w:rsidR="00A6415D" w:rsidRDefault="00A6415D">
      <w:pPr>
        <w:spacing w:before="120"/>
      </w:pPr>
    </w:p>
    <w:p w14:paraId="2FBDEE45" w14:textId="77777777" w:rsidR="00A6415D" w:rsidRDefault="00000000">
      <w:pPr>
        <w:pStyle w:val="Heading3"/>
        <w:spacing w:after="80"/>
      </w:pPr>
      <w:r>
        <w:t>4.3 East Asia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1800"/>
        <w:gridCol w:w="2880"/>
        <w:gridCol w:w="3080"/>
      </w:tblGrid>
      <w:tr w:rsidR="00A6415D" w14:paraId="6BF13F99" w14:textId="77777777">
        <w:trPr>
          <w:tblHeader/>
        </w:trPr>
        <w:tc>
          <w:tcPr>
            <w:tcW w:w="160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246AAA0E" w14:textId="77777777" w:rsidR="00A6415D" w:rsidRDefault="00000000">
            <w:r>
              <w:rPr>
                <w:b/>
                <w:bCs/>
                <w:color w:val="FFFFFF"/>
                <w:sz w:val="20"/>
                <w:szCs w:val="20"/>
              </w:rPr>
              <w:t>Date</w:t>
            </w:r>
          </w:p>
        </w:tc>
        <w:tc>
          <w:tcPr>
            <w:tcW w:w="180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2B0A9E86" w14:textId="77777777" w:rsidR="00A6415D" w:rsidRDefault="00000000">
            <w:r>
              <w:rPr>
                <w:b/>
                <w:bCs/>
                <w:color w:val="FFFFFF"/>
                <w:sz w:val="20"/>
                <w:szCs w:val="20"/>
              </w:rPr>
              <w:t>Site / Region</w:t>
            </w:r>
          </w:p>
        </w:tc>
        <w:tc>
          <w:tcPr>
            <w:tcW w:w="288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51704070" w14:textId="77777777" w:rsidR="00A6415D" w:rsidRDefault="00000000">
            <w:r>
              <w:rPr>
                <w:b/>
                <w:bCs/>
                <w:color w:val="FFFFFF"/>
                <w:sz w:val="20"/>
                <w:szCs w:val="20"/>
              </w:rPr>
              <w:t>Evidence</w:t>
            </w:r>
          </w:p>
        </w:tc>
        <w:tc>
          <w:tcPr>
            <w:tcW w:w="308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5A64E6A5" w14:textId="77777777" w:rsidR="00A6415D" w:rsidRDefault="00000000">
            <w:r>
              <w:rPr>
                <w:b/>
                <w:bCs/>
                <w:color w:val="FFFFFF"/>
                <w:sz w:val="20"/>
                <w:szCs w:val="20"/>
              </w:rPr>
              <w:t>DSSM Observable</w:t>
            </w:r>
          </w:p>
        </w:tc>
      </w:tr>
      <w:tr w:rsidR="00A6415D" w14:paraId="2D531FED" w14:textId="77777777">
        <w:tc>
          <w:tcPr>
            <w:tcW w:w="16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2121D3DC" w14:textId="77777777" w:rsidR="00A6415D" w:rsidRDefault="00000000">
            <w:r>
              <w:rPr>
                <w:color w:val="000000"/>
                <w:sz w:val="18"/>
                <w:szCs w:val="18"/>
              </w:rPr>
              <w:t>125,000–105,000 BCE</w:t>
            </w:r>
          </w:p>
        </w:tc>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29C95B64" w14:textId="77777777" w:rsidR="00A6415D" w:rsidRDefault="00000000">
            <w:proofErr w:type="spellStart"/>
            <w:r>
              <w:rPr>
                <w:color w:val="000000"/>
                <w:sz w:val="18"/>
                <w:szCs w:val="18"/>
              </w:rPr>
              <w:t>Lingjing</w:t>
            </w:r>
            <w:proofErr w:type="spellEnd"/>
          </w:p>
        </w:tc>
        <w:tc>
          <w:tcPr>
            <w:tcW w:w="28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2CC3D535" w14:textId="77777777" w:rsidR="00A6415D" w:rsidRDefault="00000000">
            <w:r>
              <w:rPr>
                <w:color w:val="000000"/>
                <w:sz w:val="18"/>
                <w:szCs w:val="18"/>
              </w:rPr>
              <w:t>Engraved bone fragments</w:t>
            </w:r>
          </w:p>
        </w:tc>
        <w:tc>
          <w:tcPr>
            <w:tcW w:w="30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6FD72FD6" w14:textId="77777777" w:rsidR="00A6415D" w:rsidRDefault="00000000">
            <w:r>
              <w:rPr>
                <w:color w:val="000000"/>
                <w:sz w:val="18"/>
                <w:szCs w:val="18"/>
              </w:rPr>
              <w:t>Episodic symbolic expression</w:t>
            </w:r>
          </w:p>
        </w:tc>
      </w:tr>
      <w:tr w:rsidR="00A6415D" w14:paraId="7E2F5E4F" w14:textId="77777777">
        <w:tc>
          <w:tcPr>
            <w:tcW w:w="16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68FC9240" w14:textId="77777777" w:rsidR="00A6415D" w:rsidRDefault="00000000">
            <w:r>
              <w:rPr>
                <w:color w:val="000000"/>
                <w:sz w:val="18"/>
                <w:szCs w:val="18"/>
              </w:rPr>
              <w:t>40,000 BCE</w:t>
            </w:r>
          </w:p>
        </w:tc>
        <w:tc>
          <w:tcPr>
            <w:tcW w:w="18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3C838235" w14:textId="77777777" w:rsidR="00A6415D" w:rsidRDefault="00000000">
            <w:proofErr w:type="spellStart"/>
            <w:r>
              <w:rPr>
                <w:color w:val="000000"/>
                <w:sz w:val="18"/>
                <w:szCs w:val="18"/>
              </w:rPr>
              <w:t>Xiamabei</w:t>
            </w:r>
            <w:proofErr w:type="spellEnd"/>
          </w:p>
        </w:tc>
        <w:tc>
          <w:tcPr>
            <w:tcW w:w="28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1C2706BE" w14:textId="77777777" w:rsidR="00A6415D" w:rsidRDefault="00000000">
            <w:r>
              <w:rPr>
                <w:color w:val="000000"/>
                <w:sz w:val="18"/>
                <w:szCs w:val="18"/>
              </w:rPr>
              <w:t>Pigment, composite tools</w:t>
            </w:r>
          </w:p>
        </w:tc>
        <w:tc>
          <w:tcPr>
            <w:tcW w:w="30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203A788C" w14:textId="77777777" w:rsidR="00A6415D" w:rsidRDefault="00000000">
            <w:r>
              <w:rPr>
                <w:color w:val="000000"/>
                <w:sz w:val="18"/>
                <w:szCs w:val="18"/>
              </w:rPr>
              <w:t>Morphometric standardization; track pigment use</w:t>
            </w:r>
          </w:p>
        </w:tc>
      </w:tr>
      <w:tr w:rsidR="00A6415D" w14:paraId="79554692" w14:textId="77777777">
        <w:tc>
          <w:tcPr>
            <w:tcW w:w="16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7A41F987" w14:textId="77777777" w:rsidR="00A6415D" w:rsidRDefault="00000000">
            <w:r>
              <w:rPr>
                <w:color w:val="000000"/>
                <w:sz w:val="18"/>
                <w:szCs w:val="18"/>
              </w:rPr>
              <w:t>40,000–20,000 BCE</w:t>
            </w:r>
          </w:p>
        </w:tc>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500EA169" w14:textId="77777777" w:rsidR="00A6415D" w:rsidRDefault="00000000">
            <w:proofErr w:type="spellStart"/>
            <w:r>
              <w:rPr>
                <w:color w:val="000000"/>
                <w:sz w:val="18"/>
                <w:szCs w:val="18"/>
              </w:rPr>
              <w:t>Shuidonggou</w:t>
            </w:r>
            <w:proofErr w:type="spellEnd"/>
          </w:p>
        </w:tc>
        <w:tc>
          <w:tcPr>
            <w:tcW w:w="28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5C530C3D" w14:textId="77777777" w:rsidR="00A6415D" w:rsidRDefault="00000000">
            <w:r>
              <w:rPr>
                <w:color w:val="000000"/>
                <w:sz w:val="18"/>
                <w:szCs w:val="18"/>
              </w:rPr>
              <w:t>Repeated occupation</w:t>
            </w:r>
          </w:p>
        </w:tc>
        <w:tc>
          <w:tcPr>
            <w:tcW w:w="30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79096ADB" w14:textId="77777777" w:rsidR="00A6415D" w:rsidRDefault="00000000">
            <w:r>
              <w:rPr>
                <w:color w:val="000000"/>
                <w:sz w:val="18"/>
                <w:szCs w:val="18"/>
              </w:rPr>
              <w:t>Landscape memory; mnemonic infrastructure</w:t>
            </w:r>
          </w:p>
        </w:tc>
      </w:tr>
      <w:tr w:rsidR="00A6415D" w14:paraId="1006DC93" w14:textId="77777777">
        <w:tc>
          <w:tcPr>
            <w:tcW w:w="16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57814859" w14:textId="77777777" w:rsidR="00A6415D" w:rsidRDefault="00000000">
            <w:r>
              <w:rPr>
                <w:color w:val="000000"/>
                <w:sz w:val="18"/>
                <w:szCs w:val="18"/>
              </w:rPr>
              <w:t>7000–5700 BCE</w:t>
            </w:r>
          </w:p>
        </w:tc>
        <w:tc>
          <w:tcPr>
            <w:tcW w:w="18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15C15B2C" w14:textId="77777777" w:rsidR="00A6415D" w:rsidRDefault="00000000">
            <w:proofErr w:type="spellStart"/>
            <w:r>
              <w:rPr>
                <w:color w:val="000000"/>
                <w:sz w:val="18"/>
                <w:szCs w:val="18"/>
              </w:rPr>
              <w:t>Jiahu</w:t>
            </w:r>
            <w:proofErr w:type="spellEnd"/>
          </w:p>
        </w:tc>
        <w:tc>
          <w:tcPr>
            <w:tcW w:w="28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35D35C7C" w14:textId="77777777" w:rsidR="00A6415D" w:rsidRDefault="00000000">
            <w:r>
              <w:rPr>
                <w:color w:val="000000"/>
                <w:sz w:val="18"/>
                <w:szCs w:val="18"/>
              </w:rPr>
              <w:t>Turtle shell markings, bone flutes</w:t>
            </w:r>
          </w:p>
        </w:tc>
        <w:tc>
          <w:tcPr>
            <w:tcW w:w="30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088FCF0D" w14:textId="77777777" w:rsidR="00A6415D" w:rsidRDefault="00000000">
            <w:r>
              <w:rPr>
                <w:color w:val="000000"/>
                <w:sz w:val="18"/>
                <w:szCs w:val="18"/>
              </w:rPr>
              <w:t>Multimodal symbolic redundancy; intergenerational persistence</w:t>
            </w:r>
          </w:p>
        </w:tc>
      </w:tr>
      <w:tr w:rsidR="00A6415D" w14:paraId="08D84003" w14:textId="77777777">
        <w:tc>
          <w:tcPr>
            <w:tcW w:w="16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7248A560" w14:textId="77777777" w:rsidR="00A6415D" w:rsidRDefault="00000000">
            <w:r>
              <w:rPr>
                <w:color w:val="000000"/>
                <w:sz w:val="18"/>
                <w:szCs w:val="18"/>
              </w:rPr>
              <w:t>3300–2300 BCE</w:t>
            </w:r>
          </w:p>
        </w:tc>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67FD59FF" w14:textId="77777777" w:rsidR="00A6415D" w:rsidRDefault="00000000">
            <w:proofErr w:type="spellStart"/>
            <w:r>
              <w:rPr>
                <w:color w:val="000000"/>
                <w:sz w:val="18"/>
                <w:szCs w:val="18"/>
              </w:rPr>
              <w:t>Hongshan</w:t>
            </w:r>
            <w:proofErr w:type="spellEnd"/>
          </w:p>
        </w:tc>
        <w:tc>
          <w:tcPr>
            <w:tcW w:w="28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7D726AB8" w14:textId="77777777" w:rsidR="00A6415D" w:rsidRDefault="00000000">
            <w:r>
              <w:rPr>
                <w:color w:val="000000"/>
                <w:sz w:val="18"/>
                <w:szCs w:val="18"/>
              </w:rPr>
              <w:t>Ritual architecture, jade bi/</w:t>
            </w:r>
            <w:proofErr w:type="spellStart"/>
            <w:r>
              <w:rPr>
                <w:color w:val="000000"/>
                <w:sz w:val="18"/>
                <w:szCs w:val="18"/>
              </w:rPr>
              <w:t>cong</w:t>
            </w:r>
            <w:proofErr w:type="spellEnd"/>
          </w:p>
        </w:tc>
        <w:tc>
          <w:tcPr>
            <w:tcW w:w="30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297501F1" w14:textId="77777777" w:rsidR="00A6415D" w:rsidRDefault="00000000">
            <w:r>
              <w:rPr>
                <w:color w:val="000000"/>
                <w:sz w:val="18"/>
                <w:szCs w:val="18"/>
              </w:rPr>
              <w:t>Restricted access, portable anchors; symbolic saturation</w:t>
            </w:r>
          </w:p>
        </w:tc>
      </w:tr>
      <w:tr w:rsidR="00A6415D" w14:paraId="2D32D8EC" w14:textId="77777777">
        <w:tc>
          <w:tcPr>
            <w:tcW w:w="16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6B1C752D" w14:textId="77777777" w:rsidR="00A6415D" w:rsidRDefault="00000000">
            <w:r>
              <w:rPr>
                <w:color w:val="000000"/>
                <w:sz w:val="18"/>
                <w:szCs w:val="18"/>
              </w:rPr>
              <w:t>2500–1800 BCE</w:t>
            </w:r>
          </w:p>
        </w:tc>
        <w:tc>
          <w:tcPr>
            <w:tcW w:w="18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3DC82121" w14:textId="77777777" w:rsidR="00A6415D" w:rsidRDefault="00000000">
            <w:proofErr w:type="spellStart"/>
            <w:r>
              <w:rPr>
                <w:color w:val="000000"/>
                <w:sz w:val="18"/>
                <w:szCs w:val="18"/>
              </w:rPr>
              <w:t>Erlitou</w:t>
            </w:r>
            <w:proofErr w:type="spellEnd"/>
          </w:p>
        </w:tc>
        <w:tc>
          <w:tcPr>
            <w:tcW w:w="28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41ABCA7A" w14:textId="77777777" w:rsidR="00A6415D" w:rsidRDefault="00000000">
            <w:r>
              <w:rPr>
                <w:color w:val="000000"/>
                <w:sz w:val="18"/>
                <w:szCs w:val="18"/>
              </w:rPr>
              <w:t>Axial palace layouts</w:t>
            </w:r>
          </w:p>
        </w:tc>
        <w:tc>
          <w:tcPr>
            <w:tcW w:w="30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76837BD7" w14:textId="77777777" w:rsidR="00A6415D" w:rsidRDefault="00000000">
            <w:r>
              <w:rPr>
                <w:color w:val="000000"/>
                <w:sz w:val="18"/>
                <w:szCs w:val="18"/>
              </w:rPr>
              <w:t>Early monumentality codifies prior symbolic hierarchy</w:t>
            </w:r>
          </w:p>
        </w:tc>
      </w:tr>
      <w:tr w:rsidR="00A6415D" w14:paraId="17FAC67A" w14:textId="77777777">
        <w:tc>
          <w:tcPr>
            <w:tcW w:w="16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12B8AC48" w14:textId="77777777" w:rsidR="00A6415D" w:rsidRDefault="00000000">
            <w:r>
              <w:rPr>
                <w:color w:val="000000"/>
                <w:sz w:val="18"/>
                <w:szCs w:val="18"/>
              </w:rPr>
              <w:t>1300 BCE onward</w:t>
            </w:r>
          </w:p>
        </w:tc>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51B5F1C4" w14:textId="77777777" w:rsidR="00A6415D" w:rsidRDefault="00000000">
            <w:r>
              <w:rPr>
                <w:color w:val="000000"/>
                <w:sz w:val="18"/>
                <w:szCs w:val="18"/>
              </w:rPr>
              <w:t>Shang</w:t>
            </w:r>
          </w:p>
        </w:tc>
        <w:tc>
          <w:tcPr>
            <w:tcW w:w="28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4C08BB1A" w14:textId="77777777" w:rsidR="00A6415D" w:rsidRDefault="00000000">
            <w:r>
              <w:rPr>
                <w:color w:val="000000"/>
                <w:sz w:val="18"/>
                <w:szCs w:val="18"/>
              </w:rPr>
              <w:t>Oracle bones, ritual vessels</w:t>
            </w:r>
          </w:p>
        </w:tc>
        <w:tc>
          <w:tcPr>
            <w:tcW w:w="30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05FEB88E" w14:textId="77777777" w:rsidR="00A6415D" w:rsidRDefault="00000000">
            <w:r>
              <w:rPr>
                <w:color w:val="000000"/>
                <w:sz w:val="18"/>
                <w:szCs w:val="18"/>
              </w:rPr>
              <w:t>Writing formalizes stabilized symbolic systems</w:t>
            </w:r>
          </w:p>
        </w:tc>
      </w:tr>
    </w:tbl>
    <w:p w14:paraId="0A9CF437" w14:textId="77777777" w:rsidR="00A6415D" w:rsidRDefault="00A6415D">
      <w:pPr>
        <w:spacing w:before="120"/>
      </w:pPr>
    </w:p>
    <w:p w14:paraId="425196CE" w14:textId="77777777" w:rsidR="00A6415D" w:rsidRDefault="00000000">
      <w:pPr>
        <w:pStyle w:val="Heading3"/>
        <w:spacing w:after="80"/>
      </w:pPr>
      <w:r>
        <w:t>4.4 Indus Valley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1800"/>
        <w:gridCol w:w="2880"/>
        <w:gridCol w:w="3080"/>
      </w:tblGrid>
      <w:tr w:rsidR="00A6415D" w14:paraId="0E5BF2A4" w14:textId="77777777">
        <w:trPr>
          <w:tblHeader/>
        </w:trPr>
        <w:tc>
          <w:tcPr>
            <w:tcW w:w="160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4F1338D9" w14:textId="77777777" w:rsidR="00A6415D" w:rsidRDefault="00000000">
            <w:r>
              <w:rPr>
                <w:b/>
                <w:bCs/>
                <w:color w:val="FFFFFF"/>
                <w:sz w:val="20"/>
                <w:szCs w:val="20"/>
              </w:rPr>
              <w:t>Date</w:t>
            </w:r>
          </w:p>
        </w:tc>
        <w:tc>
          <w:tcPr>
            <w:tcW w:w="180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2F78B8C5" w14:textId="77777777" w:rsidR="00A6415D" w:rsidRDefault="00000000">
            <w:r>
              <w:rPr>
                <w:b/>
                <w:bCs/>
                <w:color w:val="FFFFFF"/>
                <w:sz w:val="20"/>
                <w:szCs w:val="20"/>
              </w:rPr>
              <w:t>Site / Artifact</w:t>
            </w:r>
          </w:p>
        </w:tc>
        <w:tc>
          <w:tcPr>
            <w:tcW w:w="288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45553289" w14:textId="77777777" w:rsidR="00A6415D" w:rsidRDefault="00000000">
            <w:r>
              <w:rPr>
                <w:b/>
                <w:bCs/>
                <w:color w:val="FFFFFF"/>
                <w:sz w:val="20"/>
                <w:szCs w:val="20"/>
              </w:rPr>
              <w:t>Evidence</w:t>
            </w:r>
          </w:p>
        </w:tc>
        <w:tc>
          <w:tcPr>
            <w:tcW w:w="308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70808ADB" w14:textId="77777777" w:rsidR="00A6415D" w:rsidRDefault="00000000">
            <w:r>
              <w:rPr>
                <w:b/>
                <w:bCs/>
                <w:color w:val="FFFFFF"/>
                <w:sz w:val="20"/>
                <w:szCs w:val="20"/>
              </w:rPr>
              <w:t>DSSM Observable</w:t>
            </w:r>
          </w:p>
        </w:tc>
      </w:tr>
      <w:tr w:rsidR="00A6415D" w14:paraId="230BE8F0" w14:textId="77777777">
        <w:tc>
          <w:tcPr>
            <w:tcW w:w="16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78783373" w14:textId="77777777" w:rsidR="00A6415D" w:rsidRDefault="00000000">
            <w:r>
              <w:rPr>
                <w:color w:val="000000"/>
                <w:sz w:val="18"/>
                <w:szCs w:val="18"/>
              </w:rPr>
              <w:t>2,000,000–400,000 BCE</w:t>
            </w:r>
          </w:p>
        </w:tc>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365AB39F" w14:textId="77777777" w:rsidR="00A6415D" w:rsidRDefault="00000000">
            <w:proofErr w:type="spellStart"/>
            <w:r>
              <w:rPr>
                <w:color w:val="000000"/>
                <w:sz w:val="18"/>
                <w:szCs w:val="18"/>
              </w:rPr>
              <w:t>Soanian</w:t>
            </w:r>
            <w:proofErr w:type="spellEnd"/>
            <w:r>
              <w:rPr>
                <w:color w:val="000000"/>
                <w:sz w:val="18"/>
                <w:szCs w:val="18"/>
              </w:rPr>
              <w:t xml:space="preserve"> lithics</w:t>
            </w:r>
          </w:p>
        </w:tc>
        <w:tc>
          <w:tcPr>
            <w:tcW w:w="28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50A9A35E" w14:textId="77777777" w:rsidR="00A6415D" w:rsidRDefault="00000000">
            <w:r>
              <w:rPr>
                <w:color w:val="000000"/>
                <w:sz w:val="18"/>
                <w:szCs w:val="18"/>
              </w:rPr>
              <w:t>Stone tools</w:t>
            </w:r>
          </w:p>
        </w:tc>
        <w:tc>
          <w:tcPr>
            <w:tcW w:w="30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16ED275D" w14:textId="77777777" w:rsidR="00A6415D" w:rsidRDefault="00000000">
            <w:r>
              <w:rPr>
                <w:color w:val="000000"/>
                <w:sz w:val="18"/>
                <w:szCs w:val="18"/>
              </w:rPr>
              <w:t>Landscape familiarity only</w:t>
            </w:r>
          </w:p>
        </w:tc>
      </w:tr>
      <w:tr w:rsidR="00A6415D" w14:paraId="5D8227CC" w14:textId="77777777">
        <w:tc>
          <w:tcPr>
            <w:tcW w:w="16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1AF403F9" w14:textId="77777777" w:rsidR="00A6415D" w:rsidRDefault="00000000">
            <w:r>
              <w:rPr>
                <w:color w:val="000000"/>
                <w:sz w:val="18"/>
                <w:szCs w:val="18"/>
              </w:rPr>
              <w:t>50,000–30,000 BCE</w:t>
            </w:r>
          </w:p>
        </w:tc>
        <w:tc>
          <w:tcPr>
            <w:tcW w:w="18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1E49378F" w14:textId="77777777" w:rsidR="00A6415D" w:rsidRDefault="00000000">
            <w:r>
              <w:rPr>
                <w:color w:val="000000"/>
                <w:sz w:val="18"/>
                <w:szCs w:val="18"/>
              </w:rPr>
              <w:t>Blade-based industries</w:t>
            </w:r>
          </w:p>
        </w:tc>
        <w:tc>
          <w:tcPr>
            <w:tcW w:w="28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79E52317" w14:textId="77777777" w:rsidR="00A6415D" w:rsidRDefault="00000000">
            <w:r>
              <w:rPr>
                <w:color w:val="000000"/>
                <w:sz w:val="18"/>
                <w:szCs w:val="18"/>
              </w:rPr>
              <w:t>Surveys</w:t>
            </w:r>
          </w:p>
        </w:tc>
        <w:tc>
          <w:tcPr>
            <w:tcW w:w="30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668027C2" w14:textId="77777777" w:rsidR="00A6415D" w:rsidRDefault="00000000">
            <w:r>
              <w:rPr>
                <w:color w:val="000000"/>
                <w:sz w:val="18"/>
                <w:szCs w:val="18"/>
              </w:rPr>
              <w:t>Rising behavioral complexity; no structural stabilization</w:t>
            </w:r>
          </w:p>
        </w:tc>
      </w:tr>
      <w:tr w:rsidR="00A6415D" w14:paraId="19DA866A" w14:textId="77777777">
        <w:tc>
          <w:tcPr>
            <w:tcW w:w="16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653DB3A5" w14:textId="77777777" w:rsidR="00A6415D" w:rsidRDefault="00000000">
            <w:r>
              <w:rPr>
                <w:color w:val="000000"/>
                <w:sz w:val="18"/>
                <w:szCs w:val="18"/>
              </w:rPr>
              <w:t>7000–3300 BCE</w:t>
            </w:r>
          </w:p>
        </w:tc>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0B21A86C" w14:textId="77777777" w:rsidR="00A6415D" w:rsidRDefault="00000000">
            <w:r>
              <w:rPr>
                <w:color w:val="000000"/>
                <w:sz w:val="18"/>
                <w:szCs w:val="18"/>
              </w:rPr>
              <w:t>Mehrgarh</w:t>
            </w:r>
          </w:p>
        </w:tc>
        <w:tc>
          <w:tcPr>
            <w:tcW w:w="28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2546E4CB" w14:textId="77777777" w:rsidR="00A6415D" w:rsidRDefault="00000000">
            <w:r>
              <w:rPr>
                <w:color w:val="000000"/>
                <w:sz w:val="18"/>
                <w:szCs w:val="18"/>
              </w:rPr>
              <w:t>Sedentism, plant cultivation, mudbrick</w:t>
            </w:r>
          </w:p>
        </w:tc>
        <w:tc>
          <w:tcPr>
            <w:tcW w:w="30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2BC40402" w14:textId="77777777" w:rsidR="00A6415D" w:rsidRDefault="00000000">
            <w:r>
              <w:rPr>
                <w:color w:val="000000"/>
                <w:sz w:val="18"/>
                <w:szCs w:val="18"/>
              </w:rPr>
              <w:t>Spatial constraint; intergenerational repetition</w:t>
            </w:r>
          </w:p>
        </w:tc>
      </w:tr>
      <w:tr w:rsidR="00A6415D" w14:paraId="22593B6A" w14:textId="77777777">
        <w:tc>
          <w:tcPr>
            <w:tcW w:w="16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6F634122" w14:textId="77777777" w:rsidR="00A6415D" w:rsidRDefault="00000000">
            <w:r>
              <w:rPr>
                <w:color w:val="000000"/>
                <w:sz w:val="18"/>
                <w:szCs w:val="18"/>
              </w:rPr>
              <w:t>2600–1900 BCE</w:t>
            </w:r>
          </w:p>
        </w:tc>
        <w:tc>
          <w:tcPr>
            <w:tcW w:w="18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4DC6B122" w14:textId="77777777" w:rsidR="00A6415D" w:rsidRDefault="00000000">
            <w:r>
              <w:rPr>
                <w:color w:val="000000"/>
                <w:sz w:val="18"/>
                <w:szCs w:val="18"/>
              </w:rPr>
              <w:t>Mature Harappan cities</w:t>
            </w:r>
          </w:p>
        </w:tc>
        <w:tc>
          <w:tcPr>
            <w:tcW w:w="28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5A8641E3" w14:textId="77777777" w:rsidR="00A6415D" w:rsidRDefault="00000000">
            <w:r>
              <w:rPr>
                <w:color w:val="000000"/>
                <w:sz w:val="18"/>
                <w:szCs w:val="18"/>
              </w:rPr>
              <w:t>Orthogonal planning, standardized bricks</w:t>
            </w:r>
          </w:p>
        </w:tc>
        <w:tc>
          <w:tcPr>
            <w:tcW w:w="30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6B9A87D1" w14:textId="77777777" w:rsidR="00A6415D" w:rsidRDefault="00000000">
            <w:r>
              <w:rPr>
                <w:color w:val="000000"/>
                <w:sz w:val="18"/>
                <w:szCs w:val="18"/>
              </w:rPr>
              <w:t>Symbolic saturation integrated into infrastructure</w:t>
            </w:r>
          </w:p>
        </w:tc>
      </w:tr>
      <w:tr w:rsidR="00A6415D" w14:paraId="3AC8A407" w14:textId="77777777">
        <w:tc>
          <w:tcPr>
            <w:tcW w:w="16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544906EE" w14:textId="77777777" w:rsidR="00A6415D" w:rsidRDefault="00000000">
            <w:r>
              <w:rPr>
                <w:color w:val="000000"/>
                <w:sz w:val="18"/>
                <w:szCs w:val="18"/>
              </w:rPr>
              <w:t>2600–1900 BCE</w:t>
            </w:r>
          </w:p>
        </w:tc>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109BC5DC" w14:textId="77777777" w:rsidR="00A6415D" w:rsidRDefault="00000000">
            <w:r>
              <w:rPr>
                <w:color w:val="000000"/>
                <w:sz w:val="18"/>
                <w:szCs w:val="18"/>
              </w:rPr>
              <w:t>Harappan script</w:t>
            </w:r>
          </w:p>
        </w:tc>
        <w:tc>
          <w:tcPr>
            <w:tcW w:w="28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430243E4" w14:textId="77777777" w:rsidR="00A6415D" w:rsidRDefault="00000000">
            <w:r>
              <w:rPr>
                <w:color w:val="000000"/>
                <w:sz w:val="18"/>
                <w:szCs w:val="18"/>
              </w:rPr>
              <w:t>Administrative artifacts</w:t>
            </w:r>
          </w:p>
        </w:tc>
        <w:tc>
          <w:tcPr>
            <w:tcW w:w="30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48F359CB" w14:textId="77777777" w:rsidR="00A6415D" w:rsidRDefault="00000000">
            <w:r>
              <w:rPr>
                <w:color w:val="000000"/>
                <w:sz w:val="18"/>
                <w:szCs w:val="18"/>
              </w:rPr>
              <w:t>Persistent symbolic grammar</w:t>
            </w:r>
          </w:p>
        </w:tc>
      </w:tr>
      <w:tr w:rsidR="00A6415D" w14:paraId="64E22815" w14:textId="77777777">
        <w:tc>
          <w:tcPr>
            <w:tcW w:w="16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3E496DDF" w14:textId="77777777" w:rsidR="00A6415D" w:rsidRDefault="00000000">
            <w:r>
              <w:rPr>
                <w:color w:val="000000"/>
                <w:sz w:val="18"/>
                <w:szCs w:val="18"/>
              </w:rPr>
              <w:t>1900–1300 BCE</w:t>
            </w:r>
          </w:p>
        </w:tc>
        <w:tc>
          <w:tcPr>
            <w:tcW w:w="18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2208C8DF" w14:textId="77777777" w:rsidR="00A6415D" w:rsidRDefault="00000000">
            <w:r>
              <w:rPr>
                <w:color w:val="000000"/>
                <w:sz w:val="18"/>
                <w:szCs w:val="18"/>
              </w:rPr>
              <w:t>Late Harappan settlements</w:t>
            </w:r>
          </w:p>
        </w:tc>
        <w:tc>
          <w:tcPr>
            <w:tcW w:w="28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460EEA14" w14:textId="77777777" w:rsidR="00A6415D" w:rsidRDefault="00000000">
            <w:r>
              <w:rPr>
                <w:color w:val="000000"/>
                <w:sz w:val="18"/>
                <w:szCs w:val="18"/>
              </w:rPr>
              <w:t>Post-urban sites</w:t>
            </w:r>
          </w:p>
        </w:tc>
        <w:tc>
          <w:tcPr>
            <w:tcW w:w="30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4536DDA7" w14:textId="77777777" w:rsidR="00A6415D" w:rsidRDefault="00000000">
            <w:r>
              <w:rPr>
                <w:color w:val="000000"/>
                <w:sz w:val="18"/>
                <w:szCs w:val="18"/>
              </w:rPr>
              <w:t>Settlement-based symbolic continuity</w:t>
            </w:r>
          </w:p>
        </w:tc>
      </w:tr>
    </w:tbl>
    <w:p w14:paraId="5328945B" w14:textId="77777777" w:rsidR="00A6415D" w:rsidRDefault="00A6415D">
      <w:pPr>
        <w:spacing w:before="120"/>
      </w:pPr>
    </w:p>
    <w:p w14:paraId="56D04205" w14:textId="77777777" w:rsidR="00A6415D" w:rsidRDefault="00000000">
      <w:pPr>
        <w:pStyle w:val="Heading3"/>
        <w:spacing w:after="80"/>
      </w:pPr>
      <w:r>
        <w:t>4.5 Mesopotamia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1800"/>
        <w:gridCol w:w="2880"/>
        <w:gridCol w:w="2880"/>
      </w:tblGrid>
      <w:tr w:rsidR="00A6415D" w14:paraId="6C22DD87" w14:textId="77777777">
        <w:trPr>
          <w:tblHeader/>
        </w:trPr>
        <w:tc>
          <w:tcPr>
            <w:tcW w:w="180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0E81A74A" w14:textId="77777777" w:rsidR="00A6415D" w:rsidRDefault="00000000">
            <w:r>
              <w:rPr>
                <w:b/>
                <w:bCs/>
                <w:color w:val="FFFFFF"/>
                <w:sz w:val="20"/>
                <w:szCs w:val="20"/>
              </w:rPr>
              <w:t>Period</w:t>
            </w:r>
          </w:p>
        </w:tc>
        <w:tc>
          <w:tcPr>
            <w:tcW w:w="180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1EFB83D2" w14:textId="77777777" w:rsidR="00A6415D" w:rsidRDefault="00000000">
            <w:r>
              <w:rPr>
                <w:b/>
                <w:bCs/>
                <w:color w:val="FFFFFF"/>
                <w:sz w:val="20"/>
                <w:szCs w:val="20"/>
              </w:rPr>
              <w:t>Site / Artifact</w:t>
            </w:r>
          </w:p>
        </w:tc>
        <w:tc>
          <w:tcPr>
            <w:tcW w:w="288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31FCE323" w14:textId="77777777" w:rsidR="00A6415D" w:rsidRDefault="00000000">
            <w:r>
              <w:rPr>
                <w:b/>
                <w:bCs/>
                <w:color w:val="FFFFFF"/>
                <w:sz w:val="20"/>
                <w:szCs w:val="20"/>
              </w:rPr>
              <w:t>Evidence</w:t>
            </w:r>
          </w:p>
        </w:tc>
        <w:tc>
          <w:tcPr>
            <w:tcW w:w="288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4DA27301" w14:textId="77777777" w:rsidR="00A6415D" w:rsidRDefault="00000000">
            <w:r>
              <w:rPr>
                <w:b/>
                <w:bCs/>
                <w:color w:val="FFFFFF"/>
                <w:sz w:val="20"/>
                <w:szCs w:val="20"/>
              </w:rPr>
              <w:t>DSSM Observable</w:t>
            </w:r>
          </w:p>
        </w:tc>
      </w:tr>
      <w:tr w:rsidR="00A6415D" w14:paraId="643A7243" w14:textId="77777777">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10998107" w14:textId="77777777" w:rsidR="00A6415D" w:rsidRDefault="00000000">
            <w:r>
              <w:rPr>
                <w:color w:val="000000"/>
                <w:sz w:val="18"/>
                <w:szCs w:val="18"/>
              </w:rPr>
              <w:t>65,000–35,000 BCE</w:t>
            </w:r>
          </w:p>
        </w:tc>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6BF79C1E" w14:textId="77777777" w:rsidR="00A6415D" w:rsidRDefault="00000000">
            <w:r>
              <w:rPr>
                <w:color w:val="000000"/>
                <w:sz w:val="18"/>
                <w:szCs w:val="18"/>
              </w:rPr>
              <w:t>Shanidar Cave</w:t>
            </w:r>
          </w:p>
        </w:tc>
        <w:tc>
          <w:tcPr>
            <w:tcW w:w="28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152D1C0B" w14:textId="77777777" w:rsidR="00A6415D" w:rsidRDefault="00000000">
            <w:r>
              <w:rPr>
                <w:color w:val="000000"/>
                <w:sz w:val="18"/>
                <w:szCs w:val="18"/>
              </w:rPr>
              <w:t>Stratified layers, ochre, burials</w:t>
            </w:r>
          </w:p>
        </w:tc>
        <w:tc>
          <w:tcPr>
            <w:tcW w:w="28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7E99901C" w14:textId="77777777" w:rsidR="00A6415D" w:rsidRDefault="00000000">
            <w:r>
              <w:rPr>
                <w:color w:val="000000"/>
                <w:sz w:val="18"/>
                <w:szCs w:val="18"/>
              </w:rPr>
              <w:t>Redundancy across millennia; repeated spatial use</w:t>
            </w:r>
          </w:p>
        </w:tc>
      </w:tr>
      <w:tr w:rsidR="00A6415D" w14:paraId="4EA2F6FF" w14:textId="77777777">
        <w:tc>
          <w:tcPr>
            <w:tcW w:w="18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313E6A5A" w14:textId="77777777" w:rsidR="00A6415D" w:rsidRDefault="00000000">
            <w:r>
              <w:rPr>
                <w:color w:val="000000"/>
                <w:sz w:val="18"/>
                <w:szCs w:val="18"/>
              </w:rPr>
              <w:t>12,000–10,000 BCE</w:t>
            </w:r>
          </w:p>
        </w:tc>
        <w:tc>
          <w:tcPr>
            <w:tcW w:w="18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4282DBC2" w14:textId="77777777" w:rsidR="00A6415D" w:rsidRDefault="00000000">
            <w:r>
              <w:rPr>
                <w:color w:val="000000"/>
                <w:sz w:val="18"/>
                <w:szCs w:val="18"/>
              </w:rPr>
              <w:t>Aggregation zones</w:t>
            </w:r>
          </w:p>
        </w:tc>
        <w:tc>
          <w:tcPr>
            <w:tcW w:w="28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31356BE2" w14:textId="77777777" w:rsidR="00A6415D" w:rsidRDefault="00000000">
            <w:r>
              <w:rPr>
                <w:color w:val="000000"/>
                <w:sz w:val="18"/>
                <w:szCs w:val="18"/>
              </w:rPr>
              <w:t>Periodic congregation, ritual</w:t>
            </w:r>
          </w:p>
        </w:tc>
        <w:tc>
          <w:tcPr>
            <w:tcW w:w="28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69787EBD" w14:textId="77777777" w:rsidR="00A6415D" w:rsidRDefault="00000000">
            <w:r>
              <w:rPr>
                <w:color w:val="000000"/>
                <w:sz w:val="18"/>
                <w:szCs w:val="18"/>
              </w:rPr>
              <w:t>Site reuse; symbolic repetition</w:t>
            </w:r>
          </w:p>
        </w:tc>
      </w:tr>
      <w:tr w:rsidR="00A6415D" w14:paraId="1F4423E5" w14:textId="77777777">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5CEA6269" w14:textId="77777777" w:rsidR="00A6415D" w:rsidRDefault="00000000">
            <w:r>
              <w:rPr>
                <w:color w:val="000000"/>
                <w:sz w:val="18"/>
                <w:szCs w:val="18"/>
              </w:rPr>
              <w:t>10,200–8,000 BCE</w:t>
            </w:r>
          </w:p>
        </w:tc>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26CE44D1" w14:textId="77777777" w:rsidR="00A6415D" w:rsidRDefault="00000000">
            <w:proofErr w:type="spellStart"/>
            <w:r>
              <w:rPr>
                <w:color w:val="000000"/>
                <w:sz w:val="18"/>
                <w:szCs w:val="18"/>
              </w:rPr>
              <w:t>Mureybit</w:t>
            </w:r>
            <w:proofErr w:type="spellEnd"/>
          </w:p>
        </w:tc>
        <w:tc>
          <w:tcPr>
            <w:tcW w:w="28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5232C444" w14:textId="77777777" w:rsidR="00A6415D" w:rsidRDefault="00000000">
            <w:r>
              <w:rPr>
                <w:color w:val="000000"/>
                <w:sz w:val="18"/>
                <w:szCs w:val="18"/>
              </w:rPr>
              <w:t>Circular structures, storage pits</w:t>
            </w:r>
          </w:p>
        </w:tc>
        <w:tc>
          <w:tcPr>
            <w:tcW w:w="28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00A04357" w14:textId="77777777" w:rsidR="00A6415D" w:rsidRDefault="00000000">
            <w:r>
              <w:rPr>
                <w:color w:val="000000"/>
                <w:sz w:val="18"/>
                <w:szCs w:val="18"/>
              </w:rPr>
              <w:t>Settlement as mnemonic infrastructure</w:t>
            </w:r>
          </w:p>
        </w:tc>
      </w:tr>
      <w:tr w:rsidR="00A6415D" w14:paraId="2FF1C4E5" w14:textId="77777777">
        <w:tc>
          <w:tcPr>
            <w:tcW w:w="18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1421C004" w14:textId="77777777" w:rsidR="00A6415D" w:rsidRDefault="00000000">
            <w:r>
              <w:rPr>
                <w:color w:val="000000"/>
                <w:sz w:val="18"/>
                <w:szCs w:val="18"/>
              </w:rPr>
              <w:t>7,000–5,400 BCE</w:t>
            </w:r>
          </w:p>
        </w:tc>
        <w:tc>
          <w:tcPr>
            <w:tcW w:w="18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6DD024CB" w14:textId="77777777" w:rsidR="00A6415D" w:rsidRDefault="00000000">
            <w:r>
              <w:rPr>
                <w:color w:val="000000"/>
                <w:sz w:val="18"/>
                <w:szCs w:val="18"/>
              </w:rPr>
              <w:t>Halaf &amp; Samarra</w:t>
            </w:r>
          </w:p>
        </w:tc>
        <w:tc>
          <w:tcPr>
            <w:tcW w:w="28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65205EF1" w14:textId="77777777" w:rsidR="00A6415D" w:rsidRDefault="00000000">
            <w:r>
              <w:rPr>
                <w:color w:val="000000"/>
                <w:sz w:val="18"/>
                <w:szCs w:val="18"/>
              </w:rPr>
              <w:t>Painted pottery, irrigation settlements</w:t>
            </w:r>
          </w:p>
        </w:tc>
        <w:tc>
          <w:tcPr>
            <w:tcW w:w="28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25E727E2" w14:textId="77777777" w:rsidR="00A6415D" w:rsidRDefault="00000000">
            <w:r>
              <w:rPr>
                <w:color w:val="000000"/>
                <w:sz w:val="18"/>
                <w:szCs w:val="18"/>
              </w:rPr>
              <w:t>Standardization across geography; persistence across population growth</w:t>
            </w:r>
          </w:p>
        </w:tc>
      </w:tr>
      <w:tr w:rsidR="00A6415D" w14:paraId="6B933CA2" w14:textId="77777777">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691B5D15" w14:textId="77777777" w:rsidR="00A6415D" w:rsidRDefault="00000000">
            <w:r>
              <w:rPr>
                <w:color w:val="000000"/>
                <w:sz w:val="18"/>
                <w:szCs w:val="18"/>
              </w:rPr>
              <w:t>5,400–3,000 BCE</w:t>
            </w:r>
          </w:p>
        </w:tc>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59CECAF0" w14:textId="77777777" w:rsidR="00A6415D" w:rsidRDefault="00000000">
            <w:proofErr w:type="spellStart"/>
            <w:r>
              <w:rPr>
                <w:color w:val="000000"/>
                <w:sz w:val="18"/>
                <w:szCs w:val="18"/>
              </w:rPr>
              <w:t>Uruk</w:t>
            </w:r>
            <w:proofErr w:type="spellEnd"/>
            <w:r>
              <w:rPr>
                <w:color w:val="000000"/>
                <w:sz w:val="18"/>
                <w:szCs w:val="18"/>
              </w:rPr>
              <w:t xml:space="preserve">, </w:t>
            </w:r>
            <w:proofErr w:type="spellStart"/>
            <w:r>
              <w:rPr>
                <w:color w:val="000000"/>
                <w:sz w:val="18"/>
                <w:szCs w:val="18"/>
              </w:rPr>
              <w:t>Eridu</w:t>
            </w:r>
            <w:proofErr w:type="spellEnd"/>
          </w:p>
        </w:tc>
        <w:tc>
          <w:tcPr>
            <w:tcW w:w="28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6D4C50FF" w14:textId="77777777" w:rsidR="00A6415D" w:rsidRDefault="00000000">
            <w:r>
              <w:rPr>
                <w:color w:val="000000"/>
                <w:sz w:val="18"/>
                <w:szCs w:val="18"/>
              </w:rPr>
              <w:t xml:space="preserve">Temples, canals, </w:t>
            </w:r>
            <w:proofErr w:type="gramStart"/>
            <w:r>
              <w:rPr>
                <w:color w:val="000000"/>
                <w:sz w:val="18"/>
                <w:szCs w:val="18"/>
              </w:rPr>
              <w:t>proto-cuneiform</w:t>
            </w:r>
            <w:proofErr w:type="gramEnd"/>
          </w:p>
        </w:tc>
        <w:tc>
          <w:tcPr>
            <w:tcW w:w="28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23CC317D" w14:textId="77777777" w:rsidR="00A6415D" w:rsidRDefault="00000000">
            <w:r>
              <w:rPr>
                <w:color w:val="000000"/>
                <w:sz w:val="18"/>
                <w:szCs w:val="18"/>
              </w:rPr>
              <w:t>Monumentality codifies inherited symbolic authority; writing formalizes patterns</w:t>
            </w:r>
          </w:p>
        </w:tc>
      </w:tr>
    </w:tbl>
    <w:p w14:paraId="0A8A03D9" w14:textId="77777777" w:rsidR="00A6415D" w:rsidRDefault="00A6415D">
      <w:pPr>
        <w:spacing w:before="120"/>
      </w:pPr>
    </w:p>
    <w:p w14:paraId="6BC24C02" w14:textId="77777777" w:rsidR="00A6415D" w:rsidRDefault="00000000">
      <w:pPr>
        <w:pStyle w:val="Heading3"/>
        <w:spacing w:after="80"/>
      </w:pPr>
      <w:r>
        <w:t>4.6 Egypt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00"/>
        <w:gridCol w:w="1800"/>
        <w:gridCol w:w="2880"/>
        <w:gridCol w:w="3280"/>
      </w:tblGrid>
      <w:tr w:rsidR="00A6415D" w14:paraId="579BE542" w14:textId="77777777">
        <w:trPr>
          <w:tblHeader/>
        </w:trPr>
        <w:tc>
          <w:tcPr>
            <w:tcW w:w="140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17EAE110" w14:textId="77777777" w:rsidR="00A6415D" w:rsidRDefault="00000000">
            <w:r>
              <w:rPr>
                <w:b/>
                <w:bCs/>
                <w:color w:val="FFFFFF"/>
                <w:sz w:val="20"/>
                <w:szCs w:val="20"/>
              </w:rPr>
              <w:t>Date</w:t>
            </w:r>
          </w:p>
        </w:tc>
        <w:tc>
          <w:tcPr>
            <w:tcW w:w="180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28C8F1B7" w14:textId="77777777" w:rsidR="00A6415D" w:rsidRDefault="00000000">
            <w:r>
              <w:rPr>
                <w:b/>
                <w:bCs/>
                <w:color w:val="FFFFFF"/>
                <w:sz w:val="20"/>
                <w:szCs w:val="20"/>
              </w:rPr>
              <w:t>Site / Material</w:t>
            </w:r>
          </w:p>
        </w:tc>
        <w:tc>
          <w:tcPr>
            <w:tcW w:w="288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3FEDB739" w14:textId="77777777" w:rsidR="00A6415D" w:rsidRDefault="00000000">
            <w:r>
              <w:rPr>
                <w:b/>
                <w:bCs/>
                <w:color w:val="FFFFFF"/>
                <w:sz w:val="20"/>
                <w:szCs w:val="20"/>
              </w:rPr>
              <w:t>Evidence</w:t>
            </w:r>
          </w:p>
        </w:tc>
        <w:tc>
          <w:tcPr>
            <w:tcW w:w="328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1D9AD2F6" w14:textId="77777777" w:rsidR="00A6415D" w:rsidRDefault="00000000">
            <w:r>
              <w:rPr>
                <w:b/>
                <w:bCs/>
                <w:color w:val="FFFFFF"/>
                <w:sz w:val="20"/>
                <w:szCs w:val="20"/>
              </w:rPr>
              <w:t>DSSM Observable</w:t>
            </w:r>
          </w:p>
        </w:tc>
      </w:tr>
      <w:tr w:rsidR="00A6415D" w14:paraId="53B282F8" w14:textId="77777777">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12B6F02B" w14:textId="77777777" w:rsidR="00A6415D" w:rsidRDefault="00000000">
            <w:r>
              <w:rPr>
                <w:color w:val="000000"/>
                <w:sz w:val="18"/>
                <w:szCs w:val="18"/>
              </w:rPr>
              <w:t>19,000–15,000 BCE</w:t>
            </w:r>
          </w:p>
        </w:tc>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0F285746" w14:textId="77777777" w:rsidR="00A6415D" w:rsidRDefault="00000000">
            <w:proofErr w:type="spellStart"/>
            <w:r>
              <w:rPr>
                <w:color w:val="000000"/>
                <w:sz w:val="18"/>
                <w:szCs w:val="18"/>
              </w:rPr>
              <w:t>Qurta</w:t>
            </w:r>
            <w:proofErr w:type="spellEnd"/>
            <w:r>
              <w:rPr>
                <w:color w:val="000000"/>
                <w:sz w:val="18"/>
                <w:szCs w:val="18"/>
              </w:rPr>
              <w:t xml:space="preserve"> Rock Art</w:t>
            </w:r>
          </w:p>
        </w:tc>
        <w:tc>
          <w:tcPr>
            <w:tcW w:w="28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19A8CE02" w14:textId="77777777" w:rsidR="00A6415D" w:rsidRDefault="00000000">
            <w:r>
              <w:rPr>
                <w:color w:val="000000"/>
                <w:sz w:val="18"/>
                <w:szCs w:val="18"/>
              </w:rPr>
              <w:t>Cliff petroglyphs</w:t>
            </w:r>
          </w:p>
        </w:tc>
        <w:tc>
          <w:tcPr>
            <w:tcW w:w="32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7BF3D154" w14:textId="77777777" w:rsidR="00A6415D" w:rsidRDefault="00000000">
            <w:r>
              <w:rPr>
                <w:color w:val="000000"/>
                <w:sz w:val="18"/>
                <w:szCs w:val="18"/>
              </w:rPr>
              <w:t>Landscape mnemonic anchors; motif repetition</w:t>
            </w:r>
          </w:p>
        </w:tc>
      </w:tr>
      <w:tr w:rsidR="00A6415D" w14:paraId="677FB906" w14:textId="77777777">
        <w:tc>
          <w:tcPr>
            <w:tcW w:w="14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02573CE3" w14:textId="77777777" w:rsidR="00A6415D" w:rsidRDefault="00000000">
            <w:r>
              <w:rPr>
                <w:color w:val="000000"/>
                <w:sz w:val="18"/>
                <w:szCs w:val="18"/>
              </w:rPr>
              <w:t>18,000–12,000 BCE</w:t>
            </w:r>
          </w:p>
        </w:tc>
        <w:tc>
          <w:tcPr>
            <w:tcW w:w="18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67C78D4E" w14:textId="77777777" w:rsidR="00A6415D" w:rsidRDefault="00000000">
            <w:r>
              <w:rPr>
                <w:color w:val="000000"/>
                <w:sz w:val="18"/>
                <w:szCs w:val="18"/>
              </w:rPr>
              <w:t xml:space="preserve">Wadi </w:t>
            </w:r>
            <w:proofErr w:type="spellStart"/>
            <w:r>
              <w:rPr>
                <w:color w:val="000000"/>
                <w:sz w:val="18"/>
                <w:szCs w:val="18"/>
              </w:rPr>
              <w:t>Kubbaniya</w:t>
            </w:r>
            <w:proofErr w:type="spellEnd"/>
          </w:p>
        </w:tc>
        <w:tc>
          <w:tcPr>
            <w:tcW w:w="28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6D84D60F" w14:textId="77777777" w:rsidR="00A6415D" w:rsidRDefault="00000000">
            <w:r>
              <w:rPr>
                <w:color w:val="000000"/>
                <w:sz w:val="18"/>
                <w:szCs w:val="18"/>
              </w:rPr>
              <w:t>Structured reoccupation</w:t>
            </w:r>
          </w:p>
        </w:tc>
        <w:tc>
          <w:tcPr>
            <w:tcW w:w="32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1C14DD6F" w14:textId="77777777" w:rsidR="00A6415D" w:rsidRDefault="00000000">
            <w:r>
              <w:rPr>
                <w:color w:val="000000"/>
                <w:sz w:val="18"/>
                <w:szCs w:val="18"/>
              </w:rPr>
              <w:t>Aggregation density; ritual hubs</w:t>
            </w:r>
          </w:p>
        </w:tc>
      </w:tr>
      <w:tr w:rsidR="00A6415D" w14:paraId="5F45FE0B" w14:textId="77777777">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29EA02E2" w14:textId="77777777" w:rsidR="00A6415D" w:rsidRDefault="00000000">
            <w:r>
              <w:rPr>
                <w:color w:val="000000"/>
                <w:sz w:val="18"/>
                <w:szCs w:val="18"/>
              </w:rPr>
              <w:t>4,500–4,000 BCE</w:t>
            </w:r>
          </w:p>
        </w:tc>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117D5A91" w14:textId="77777777" w:rsidR="00A6415D" w:rsidRDefault="00000000">
            <w:r>
              <w:rPr>
                <w:color w:val="000000"/>
                <w:sz w:val="18"/>
                <w:szCs w:val="18"/>
              </w:rPr>
              <w:t>Badarian cemeteries</w:t>
            </w:r>
          </w:p>
        </w:tc>
        <w:tc>
          <w:tcPr>
            <w:tcW w:w="28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11082493" w14:textId="77777777" w:rsidR="00A6415D" w:rsidRDefault="00000000">
            <w:r>
              <w:rPr>
                <w:color w:val="000000"/>
                <w:sz w:val="18"/>
                <w:szCs w:val="18"/>
              </w:rPr>
              <w:t>Standardized burials</w:t>
            </w:r>
          </w:p>
        </w:tc>
        <w:tc>
          <w:tcPr>
            <w:tcW w:w="32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006FE237" w14:textId="77777777" w:rsidR="00A6415D" w:rsidRDefault="00000000">
            <w:r>
              <w:rPr>
                <w:color w:val="000000"/>
                <w:sz w:val="18"/>
                <w:szCs w:val="18"/>
              </w:rPr>
              <w:t>Mortuary formalization; cross-strata consistency</w:t>
            </w:r>
          </w:p>
        </w:tc>
      </w:tr>
      <w:tr w:rsidR="00A6415D" w14:paraId="593FA317" w14:textId="77777777">
        <w:tc>
          <w:tcPr>
            <w:tcW w:w="14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1B2FD054" w14:textId="77777777" w:rsidR="00A6415D" w:rsidRDefault="00000000">
            <w:r>
              <w:rPr>
                <w:color w:val="000000"/>
                <w:sz w:val="18"/>
                <w:szCs w:val="18"/>
              </w:rPr>
              <w:t>3,500 BCE</w:t>
            </w:r>
          </w:p>
        </w:tc>
        <w:tc>
          <w:tcPr>
            <w:tcW w:w="18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1457EDC7" w14:textId="77777777" w:rsidR="00A6415D" w:rsidRDefault="00000000">
            <w:r>
              <w:rPr>
                <w:color w:val="000000"/>
                <w:sz w:val="18"/>
                <w:szCs w:val="18"/>
              </w:rPr>
              <w:t>Hierakonpolis enclosures</w:t>
            </w:r>
          </w:p>
        </w:tc>
        <w:tc>
          <w:tcPr>
            <w:tcW w:w="28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0C4994CF" w14:textId="77777777" w:rsidR="00A6415D" w:rsidRDefault="00000000">
            <w:r>
              <w:rPr>
                <w:color w:val="000000"/>
                <w:sz w:val="18"/>
                <w:szCs w:val="18"/>
              </w:rPr>
              <w:t>Communal ritual spaces</w:t>
            </w:r>
          </w:p>
        </w:tc>
        <w:tc>
          <w:tcPr>
            <w:tcW w:w="32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7DDE6E6F" w14:textId="77777777" w:rsidR="00A6415D" w:rsidRDefault="00000000">
            <w:r>
              <w:rPr>
                <w:color w:val="000000"/>
                <w:sz w:val="18"/>
                <w:szCs w:val="18"/>
              </w:rPr>
              <w:t>Repeated spatial configurations; ritual grammar</w:t>
            </w:r>
          </w:p>
        </w:tc>
      </w:tr>
      <w:tr w:rsidR="00A6415D" w14:paraId="045427CC" w14:textId="77777777">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7960927A" w14:textId="77777777" w:rsidR="00A6415D" w:rsidRDefault="00000000">
            <w:r>
              <w:rPr>
                <w:color w:val="000000"/>
                <w:sz w:val="18"/>
                <w:szCs w:val="18"/>
              </w:rPr>
              <w:lastRenderedPageBreak/>
              <w:t>3,200–3,100 BCE</w:t>
            </w:r>
          </w:p>
        </w:tc>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08E04C75" w14:textId="77777777" w:rsidR="00A6415D" w:rsidRDefault="00000000">
            <w:proofErr w:type="spellStart"/>
            <w:r>
              <w:rPr>
                <w:color w:val="000000"/>
                <w:sz w:val="18"/>
                <w:szCs w:val="18"/>
              </w:rPr>
              <w:t>Naqada</w:t>
            </w:r>
            <w:proofErr w:type="spellEnd"/>
            <w:r>
              <w:rPr>
                <w:color w:val="000000"/>
                <w:sz w:val="18"/>
                <w:szCs w:val="18"/>
              </w:rPr>
              <w:t xml:space="preserve"> III, Narmer Palette</w:t>
            </w:r>
          </w:p>
        </w:tc>
        <w:tc>
          <w:tcPr>
            <w:tcW w:w="28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1FE1DAD4" w14:textId="77777777" w:rsidR="00A6415D" w:rsidRDefault="00000000">
            <w:r>
              <w:rPr>
                <w:color w:val="000000"/>
                <w:sz w:val="18"/>
                <w:szCs w:val="18"/>
              </w:rPr>
              <w:t>Early hieroglyphics</w:t>
            </w:r>
          </w:p>
        </w:tc>
        <w:tc>
          <w:tcPr>
            <w:tcW w:w="32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3694C4F1" w14:textId="77777777" w:rsidR="00A6415D" w:rsidRDefault="00000000">
            <w:r>
              <w:rPr>
                <w:color w:val="000000"/>
                <w:sz w:val="18"/>
                <w:szCs w:val="18"/>
              </w:rPr>
              <w:t>Codification of stabilized symbolic patterns</w:t>
            </w:r>
          </w:p>
        </w:tc>
      </w:tr>
      <w:tr w:rsidR="00A6415D" w14:paraId="7DF10513" w14:textId="77777777">
        <w:tc>
          <w:tcPr>
            <w:tcW w:w="14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2B877336" w14:textId="77777777" w:rsidR="00A6415D" w:rsidRDefault="00000000">
            <w:r>
              <w:rPr>
                <w:color w:val="000000"/>
                <w:sz w:val="18"/>
                <w:szCs w:val="18"/>
              </w:rPr>
              <w:t>2,650 BCE</w:t>
            </w:r>
          </w:p>
        </w:tc>
        <w:tc>
          <w:tcPr>
            <w:tcW w:w="18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065B97A4" w14:textId="77777777" w:rsidR="00A6415D" w:rsidRDefault="00000000">
            <w:r>
              <w:rPr>
                <w:color w:val="000000"/>
                <w:sz w:val="18"/>
                <w:szCs w:val="18"/>
              </w:rPr>
              <w:t>Djoser's Step Pyramid</w:t>
            </w:r>
          </w:p>
        </w:tc>
        <w:tc>
          <w:tcPr>
            <w:tcW w:w="28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02D52AD3" w14:textId="77777777" w:rsidR="00A6415D" w:rsidRDefault="00000000">
            <w:r>
              <w:rPr>
                <w:color w:val="000000"/>
                <w:sz w:val="18"/>
                <w:szCs w:val="18"/>
              </w:rPr>
              <w:t>Monumental complex</w:t>
            </w:r>
          </w:p>
        </w:tc>
        <w:tc>
          <w:tcPr>
            <w:tcW w:w="32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46D895A0" w14:textId="77777777" w:rsidR="00A6415D" w:rsidRDefault="00000000">
            <w:r>
              <w:rPr>
                <w:color w:val="000000"/>
                <w:sz w:val="18"/>
                <w:szCs w:val="18"/>
              </w:rPr>
              <w:t>Externalization of long-stabilized symbolic load; repeated axes and enclosures</w:t>
            </w:r>
          </w:p>
        </w:tc>
      </w:tr>
    </w:tbl>
    <w:p w14:paraId="225C949A" w14:textId="77777777" w:rsidR="00A6415D" w:rsidRDefault="00A6415D">
      <w:pPr>
        <w:spacing w:before="120"/>
      </w:pPr>
    </w:p>
    <w:p w14:paraId="54BDA499" w14:textId="77777777" w:rsidR="00A6415D" w:rsidRDefault="00A6415D">
      <w:pPr>
        <w:pBdr>
          <w:bottom w:val="single" w:sz="3" w:space="1" w:color="CCCCCC"/>
        </w:pBdr>
        <w:spacing w:before="200" w:after="200"/>
      </w:pPr>
    </w:p>
    <w:p w14:paraId="0A605475" w14:textId="77777777" w:rsidR="00A6415D" w:rsidRDefault="00000000">
      <w:pPr>
        <w:pStyle w:val="Heading1"/>
      </w:pPr>
      <w:r>
        <w:t>5. Scoring and Observation Log</w:t>
      </w:r>
    </w:p>
    <w:p w14:paraId="2C94BBEF" w14:textId="77777777" w:rsidR="00A6415D" w:rsidRDefault="00000000">
      <w:pPr>
        <w:spacing w:before="60" w:after="100"/>
        <w:jc w:val="both"/>
      </w:pPr>
      <w:r>
        <w:rPr>
          <w:color w:val="000000"/>
        </w:rPr>
        <w:t>Use one row per stratigraphic layer or analytical unit. Extend as needed.</w:t>
      </w:r>
    </w:p>
    <w:p w14:paraId="60FA98D6" w14:textId="77777777" w:rsidR="00A6415D" w:rsidRDefault="00A6415D">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40"/>
        <w:gridCol w:w="1200"/>
        <w:gridCol w:w="1680"/>
        <w:gridCol w:w="840"/>
        <w:gridCol w:w="1800"/>
        <w:gridCol w:w="1800"/>
        <w:gridCol w:w="1200"/>
      </w:tblGrid>
      <w:tr w:rsidR="00A6415D" w14:paraId="5368F890" w14:textId="77777777">
        <w:trPr>
          <w:tblHeader/>
        </w:trPr>
        <w:tc>
          <w:tcPr>
            <w:tcW w:w="84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08C641DB" w14:textId="77777777" w:rsidR="00A6415D" w:rsidRDefault="00000000">
            <w:pPr>
              <w:jc w:val="center"/>
            </w:pPr>
            <w:r>
              <w:rPr>
                <w:b/>
                <w:bCs/>
                <w:color w:val="FFFFFF"/>
                <w:sz w:val="20"/>
                <w:szCs w:val="20"/>
              </w:rPr>
              <w:t>Layer</w:t>
            </w:r>
          </w:p>
        </w:tc>
        <w:tc>
          <w:tcPr>
            <w:tcW w:w="120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38D9288E" w14:textId="77777777" w:rsidR="00A6415D" w:rsidRDefault="00000000">
            <w:pPr>
              <w:jc w:val="center"/>
            </w:pPr>
            <w:r>
              <w:rPr>
                <w:b/>
                <w:bCs/>
                <w:color w:val="FFFFFF"/>
                <w:sz w:val="20"/>
                <w:szCs w:val="20"/>
              </w:rPr>
              <w:t>Hearth</w:t>
            </w:r>
          </w:p>
        </w:tc>
        <w:tc>
          <w:tcPr>
            <w:tcW w:w="168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7DF599B0" w14:textId="77777777" w:rsidR="00A6415D" w:rsidRDefault="00000000">
            <w:pPr>
              <w:jc w:val="center"/>
            </w:pPr>
            <w:r>
              <w:rPr>
                <w:b/>
                <w:bCs/>
                <w:color w:val="FFFFFF"/>
                <w:sz w:val="20"/>
                <w:szCs w:val="20"/>
              </w:rPr>
              <w:t>Figurine Cache</w:t>
            </w:r>
          </w:p>
        </w:tc>
        <w:tc>
          <w:tcPr>
            <w:tcW w:w="84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5215E76D" w14:textId="77777777" w:rsidR="00A6415D" w:rsidRDefault="00000000">
            <w:pPr>
              <w:jc w:val="center"/>
            </w:pPr>
            <w:r>
              <w:rPr>
                <w:b/>
                <w:bCs/>
                <w:color w:val="FFFFFF"/>
                <w:sz w:val="20"/>
                <w:szCs w:val="20"/>
              </w:rPr>
              <w:t>Pit</w:t>
            </w:r>
          </w:p>
        </w:tc>
        <w:tc>
          <w:tcPr>
            <w:tcW w:w="180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2D5C2F6B" w14:textId="77777777" w:rsidR="00A6415D" w:rsidRDefault="00000000">
            <w:pPr>
              <w:jc w:val="center"/>
            </w:pPr>
            <w:r>
              <w:rPr>
                <w:b/>
                <w:bCs/>
                <w:color w:val="FFFFFF"/>
                <w:sz w:val="20"/>
                <w:szCs w:val="20"/>
              </w:rPr>
              <w:t>Mnemonic Architecture (0–2)</w:t>
            </w:r>
          </w:p>
        </w:tc>
        <w:tc>
          <w:tcPr>
            <w:tcW w:w="180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4493E826" w14:textId="77777777" w:rsidR="00A6415D" w:rsidRDefault="00000000">
            <w:pPr>
              <w:jc w:val="center"/>
            </w:pPr>
            <w:r>
              <w:rPr>
                <w:b/>
                <w:bCs/>
                <w:color w:val="FFFFFF"/>
                <w:sz w:val="20"/>
                <w:szCs w:val="20"/>
              </w:rPr>
              <w:t>Symbolic Regulation (0–2)</w:t>
            </w:r>
          </w:p>
        </w:tc>
        <w:tc>
          <w:tcPr>
            <w:tcW w:w="120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793DD032" w14:textId="77777777" w:rsidR="00A6415D" w:rsidRDefault="00000000">
            <w:r>
              <w:rPr>
                <w:b/>
                <w:bCs/>
                <w:color w:val="FFFFFF"/>
                <w:sz w:val="20"/>
                <w:szCs w:val="20"/>
              </w:rPr>
              <w:t>Notes</w:t>
            </w:r>
          </w:p>
        </w:tc>
      </w:tr>
      <w:tr w:rsidR="00A6415D" w14:paraId="3650E660" w14:textId="77777777">
        <w:tc>
          <w:tcPr>
            <w:tcW w:w="84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7D148373" w14:textId="77777777" w:rsidR="00A6415D" w:rsidRDefault="00000000">
            <w:pPr>
              <w:jc w:val="center"/>
            </w:pPr>
            <w:r>
              <w:rPr>
                <w:b/>
                <w:bCs/>
                <w:color w:val="000000"/>
                <w:sz w:val="20"/>
                <w:szCs w:val="20"/>
              </w:rPr>
              <w:t>3</w:t>
            </w:r>
          </w:p>
        </w:tc>
        <w:tc>
          <w:tcPr>
            <w:tcW w:w="12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1703DC80" w14:textId="77777777" w:rsidR="00A6415D" w:rsidRDefault="00A6415D">
            <w:pPr>
              <w:jc w:val="center"/>
            </w:pPr>
          </w:p>
        </w:tc>
        <w:tc>
          <w:tcPr>
            <w:tcW w:w="16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0A2EC86F" w14:textId="77777777" w:rsidR="00A6415D" w:rsidRDefault="00A6415D">
            <w:pPr>
              <w:jc w:val="center"/>
            </w:pPr>
          </w:p>
        </w:tc>
        <w:tc>
          <w:tcPr>
            <w:tcW w:w="84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3FCC0B10" w14:textId="77777777" w:rsidR="00A6415D" w:rsidRDefault="00A6415D">
            <w:pPr>
              <w:jc w:val="center"/>
            </w:pPr>
          </w:p>
        </w:tc>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11D13C42" w14:textId="77777777" w:rsidR="00A6415D" w:rsidRDefault="00A6415D">
            <w:pPr>
              <w:jc w:val="center"/>
            </w:pPr>
          </w:p>
        </w:tc>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2301627B" w14:textId="77777777" w:rsidR="00A6415D" w:rsidRDefault="00A6415D">
            <w:pPr>
              <w:jc w:val="center"/>
            </w:pPr>
          </w:p>
        </w:tc>
        <w:tc>
          <w:tcPr>
            <w:tcW w:w="12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072BCC7F" w14:textId="77777777" w:rsidR="00A6415D" w:rsidRDefault="00A6415D"/>
        </w:tc>
      </w:tr>
      <w:tr w:rsidR="00A6415D" w14:paraId="0B8183B5" w14:textId="77777777">
        <w:tc>
          <w:tcPr>
            <w:tcW w:w="84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58A2BA3B" w14:textId="77777777" w:rsidR="00A6415D" w:rsidRDefault="00000000">
            <w:pPr>
              <w:jc w:val="center"/>
            </w:pPr>
            <w:r>
              <w:rPr>
                <w:b/>
                <w:bCs/>
                <w:color w:val="000000"/>
                <w:sz w:val="20"/>
                <w:szCs w:val="20"/>
              </w:rPr>
              <w:t>2</w:t>
            </w:r>
          </w:p>
        </w:tc>
        <w:tc>
          <w:tcPr>
            <w:tcW w:w="12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75CF3C9A" w14:textId="77777777" w:rsidR="00A6415D" w:rsidRDefault="00A6415D">
            <w:pPr>
              <w:jc w:val="center"/>
            </w:pPr>
          </w:p>
        </w:tc>
        <w:tc>
          <w:tcPr>
            <w:tcW w:w="16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2A54D19D" w14:textId="77777777" w:rsidR="00A6415D" w:rsidRDefault="00A6415D">
            <w:pPr>
              <w:jc w:val="center"/>
            </w:pPr>
          </w:p>
        </w:tc>
        <w:tc>
          <w:tcPr>
            <w:tcW w:w="84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12FA3CA5" w14:textId="77777777" w:rsidR="00A6415D" w:rsidRDefault="00A6415D">
            <w:pPr>
              <w:jc w:val="center"/>
            </w:pPr>
          </w:p>
        </w:tc>
        <w:tc>
          <w:tcPr>
            <w:tcW w:w="18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24F539CB" w14:textId="77777777" w:rsidR="00A6415D" w:rsidRDefault="00A6415D">
            <w:pPr>
              <w:jc w:val="center"/>
            </w:pPr>
          </w:p>
        </w:tc>
        <w:tc>
          <w:tcPr>
            <w:tcW w:w="18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6EB6EEE5" w14:textId="77777777" w:rsidR="00A6415D" w:rsidRDefault="00A6415D">
            <w:pPr>
              <w:jc w:val="center"/>
            </w:pPr>
          </w:p>
        </w:tc>
        <w:tc>
          <w:tcPr>
            <w:tcW w:w="12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7AF7B256" w14:textId="77777777" w:rsidR="00A6415D" w:rsidRDefault="00A6415D"/>
        </w:tc>
      </w:tr>
      <w:tr w:rsidR="00A6415D" w14:paraId="56907ACF" w14:textId="77777777">
        <w:tc>
          <w:tcPr>
            <w:tcW w:w="84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02A670FA" w14:textId="77777777" w:rsidR="00A6415D" w:rsidRDefault="00000000">
            <w:pPr>
              <w:jc w:val="center"/>
            </w:pPr>
            <w:r>
              <w:rPr>
                <w:b/>
                <w:bCs/>
                <w:color w:val="000000"/>
                <w:sz w:val="20"/>
                <w:szCs w:val="20"/>
              </w:rPr>
              <w:t>1</w:t>
            </w:r>
          </w:p>
        </w:tc>
        <w:tc>
          <w:tcPr>
            <w:tcW w:w="12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4648DF77" w14:textId="77777777" w:rsidR="00A6415D" w:rsidRDefault="00A6415D">
            <w:pPr>
              <w:jc w:val="center"/>
            </w:pPr>
          </w:p>
        </w:tc>
        <w:tc>
          <w:tcPr>
            <w:tcW w:w="16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74B1BE5B" w14:textId="77777777" w:rsidR="00A6415D" w:rsidRDefault="00A6415D">
            <w:pPr>
              <w:jc w:val="center"/>
            </w:pPr>
          </w:p>
        </w:tc>
        <w:tc>
          <w:tcPr>
            <w:tcW w:w="84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61E0B001" w14:textId="77777777" w:rsidR="00A6415D" w:rsidRDefault="00A6415D">
            <w:pPr>
              <w:jc w:val="center"/>
            </w:pPr>
          </w:p>
        </w:tc>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03CCF574" w14:textId="77777777" w:rsidR="00A6415D" w:rsidRDefault="00A6415D">
            <w:pPr>
              <w:jc w:val="center"/>
            </w:pPr>
          </w:p>
        </w:tc>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68F10382" w14:textId="77777777" w:rsidR="00A6415D" w:rsidRDefault="00A6415D">
            <w:pPr>
              <w:jc w:val="center"/>
            </w:pPr>
          </w:p>
        </w:tc>
        <w:tc>
          <w:tcPr>
            <w:tcW w:w="12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01207E0D" w14:textId="77777777" w:rsidR="00A6415D" w:rsidRDefault="00A6415D"/>
        </w:tc>
      </w:tr>
    </w:tbl>
    <w:p w14:paraId="7FC438FA" w14:textId="77777777" w:rsidR="00A6415D" w:rsidRDefault="00A6415D">
      <w:pPr>
        <w:pBdr>
          <w:bottom w:val="single" w:sz="3" w:space="1" w:color="CCCCCC"/>
        </w:pBdr>
        <w:spacing w:before="200" w:after="200"/>
      </w:pPr>
    </w:p>
    <w:p w14:paraId="25CADC10" w14:textId="77777777" w:rsidR="00A6415D" w:rsidRDefault="00000000">
      <w:r>
        <w:br w:type="page"/>
      </w:r>
    </w:p>
    <w:p w14:paraId="7269146C" w14:textId="77777777" w:rsidR="00A6415D" w:rsidRDefault="00000000">
      <w:pPr>
        <w:pStyle w:val="Heading1"/>
      </w:pPr>
      <w:r>
        <w:lastRenderedPageBreak/>
        <w:t xml:space="preserve">6. How to Use This </w:t>
      </w:r>
      <w:proofErr w:type="gramStart"/>
      <w:r>
        <w:t>Toolkit</w:t>
      </w:r>
      <w:r>
        <w:rPr>
          <w:b w:val="0"/>
          <w:bCs w:val="0"/>
          <w:i/>
          <w:iCs/>
          <w:color w:val="7B1FA2"/>
          <w:sz w:val="24"/>
          <w:szCs w:val="24"/>
        </w:rPr>
        <w:t xml:space="preserve">  [</w:t>
      </w:r>
      <w:proofErr w:type="gramEnd"/>
      <w:r>
        <w:rPr>
          <w:b w:val="0"/>
          <w:bCs w:val="0"/>
          <w:i/>
          <w:iCs/>
          <w:color w:val="7B1FA2"/>
          <w:sz w:val="24"/>
          <w:szCs w:val="24"/>
        </w:rPr>
        <w:t>v1.1]</w:t>
      </w:r>
    </w:p>
    <w:p w14:paraId="44415F6E" w14:textId="77777777" w:rsidR="00A6415D" w:rsidRDefault="00000000">
      <w:pPr>
        <w:pBdr>
          <w:top w:val="single" w:sz="3" w:space="4" w:color="7B1FA2"/>
          <w:left w:val="thick" w:sz="12" w:space="4" w:color="7B1FA2"/>
          <w:bottom w:val="single" w:sz="3" w:space="4" w:color="7B1FA2"/>
          <w:right w:val="single" w:sz="3" w:space="4" w:color="7B1FA2"/>
        </w:pBdr>
        <w:spacing w:before="100" w:after="100"/>
        <w:ind w:left="360" w:right="360"/>
      </w:pPr>
      <w:r>
        <w:rPr>
          <w:i/>
          <w:iCs/>
          <w:color w:val="4A148C"/>
          <w:sz w:val="20"/>
          <w:szCs w:val="20"/>
        </w:rPr>
        <w:t>New in v1.1. This section did not exist in v1.0.</w:t>
      </w:r>
    </w:p>
    <w:p w14:paraId="1AF6E3E4" w14:textId="77777777" w:rsidR="00A6415D" w:rsidRDefault="00A6415D">
      <w:pPr>
        <w:spacing w:before="120"/>
      </w:pPr>
    </w:p>
    <w:p w14:paraId="0C916F02" w14:textId="77777777" w:rsidR="00A6415D" w:rsidRDefault="00000000">
      <w:pPr>
        <w:spacing w:before="60" w:after="100"/>
        <w:jc w:val="both"/>
      </w:pPr>
      <w:r>
        <w:rPr>
          <w:color w:val="000000"/>
        </w:rPr>
        <w:t>The FCP is designed to be applied by any researcher with access to primary archaeological or historical evidence. No prior knowledge of the DSSM is required to score a case — the criteria are operationally defined and the scale is fixed. The following steps cover the complete scoring procedure from case definition to published output.</w:t>
      </w:r>
    </w:p>
    <w:p w14:paraId="425C56A6" w14:textId="77777777" w:rsidR="00A6415D" w:rsidRDefault="00A6415D">
      <w:pPr>
        <w:spacing w:before="120"/>
      </w:pPr>
    </w:p>
    <w:p w14:paraId="6B74FD9C" w14:textId="77777777" w:rsidR="00A6415D" w:rsidRDefault="00000000">
      <w:pPr>
        <w:pStyle w:val="Heading2"/>
      </w:pPr>
      <w:r>
        <w:t>6.1 The Scoring Scale</w:t>
      </w:r>
    </w:p>
    <w:p w14:paraId="02324BAD" w14:textId="77777777" w:rsidR="00A6415D" w:rsidRDefault="00000000">
      <w:pPr>
        <w:spacing w:before="60" w:after="100"/>
        <w:jc w:val="both"/>
      </w:pPr>
      <w:r>
        <w:rPr>
          <w:color w:val="000000"/>
        </w:rPr>
        <w:t>Apply this scale to E and S independently for every criterion. Do not average E and S in your head — score them separately, then calculate min(</w:t>
      </w:r>
      <w:proofErr w:type="gramStart"/>
      <w:r>
        <w:rPr>
          <w:color w:val="000000"/>
        </w:rPr>
        <w:t>E,S</w:t>
      </w:r>
      <w:proofErr w:type="gramEnd"/>
      <w:r>
        <w:rPr>
          <w:color w:val="000000"/>
        </w:rPr>
        <w:t>).</w:t>
      </w:r>
    </w:p>
    <w:p w14:paraId="5E8DE504" w14:textId="77777777" w:rsidR="00A6415D" w:rsidRDefault="00A6415D">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0"/>
        <w:gridCol w:w="2200"/>
        <w:gridCol w:w="3100"/>
        <w:gridCol w:w="3100"/>
      </w:tblGrid>
      <w:tr w:rsidR="00A6415D" w14:paraId="66FEB3FB" w14:textId="77777777">
        <w:trPr>
          <w:tblHeader/>
        </w:trPr>
        <w:tc>
          <w:tcPr>
            <w:tcW w:w="96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0497BB00" w14:textId="77777777" w:rsidR="00A6415D" w:rsidRDefault="00000000">
            <w:pPr>
              <w:jc w:val="center"/>
            </w:pPr>
            <w:r>
              <w:rPr>
                <w:b/>
                <w:bCs/>
                <w:color w:val="FFFFFF"/>
                <w:sz w:val="20"/>
                <w:szCs w:val="20"/>
              </w:rPr>
              <w:t>Score</w:t>
            </w:r>
          </w:p>
        </w:tc>
        <w:tc>
          <w:tcPr>
            <w:tcW w:w="220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4BEDB2BC" w14:textId="77777777" w:rsidR="00A6415D" w:rsidRDefault="00000000">
            <w:r>
              <w:rPr>
                <w:b/>
                <w:bCs/>
                <w:color w:val="FFFFFF"/>
                <w:sz w:val="20"/>
                <w:szCs w:val="20"/>
              </w:rPr>
              <w:t>Label</w:t>
            </w:r>
          </w:p>
        </w:tc>
        <w:tc>
          <w:tcPr>
            <w:tcW w:w="310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78EEB7ED" w14:textId="77777777" w:rsidR="00A6415D" w:rsidRDefault="00000000">
            <w:r>
              <w:rPr>
                <w:b/>
                <w:bCs/>
                <w:color w:val="FFFFFF"/>
                <w:sz w:val="20"/>
                <w:szCs w:val="20"/>
              </w:rPr>
              <w:t>Evidence Strength (E)</w:t>
            </w:r>
          </w:p>
        </w:tc>
        <w:tc>
          <w:tcPr>
            <w:tcW w:w="310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7912F2EF" w14:textId="77777777" w:rsidR="00A6415D" w:rsidRDefault="00000000">
            <w:r>
              <w:rPr>
                <w:b/>
                <w:bCs/>
                <w:color w:val="FFFFFF"/>
                <w:sz w:val="20"/>
                <w:szCs w:val="20"/>
              </w:rPr>
              <w:t>Symbolic Specificity (S)</w:t>
            </w:r>
          </w:p>
        </w:tc>
      </w:tr>
      <w:tr w:rsidR="00A6415D" w14:paraId="1F616486" w14:textId="77777777">
        <w:tc>
          <w:tcPr>
            <w:tcW w:w="96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544B9972" w14:textId="77777777" w:rsidR="00A6415D" w:rsidRDefault="00000000">
            <w:pPr>
              <w:jc w:val="center"/>
            </w:pPr>
            <w:r>
              <w:rPr>
                <w:b/>
                <w:bCs/>
                <w:color w:val="000000"/>
                <w:sz w:val="20"/>
                <w:szCs w:val="20"/>
              </w:rPr>
              <w:t>0</w:t>
            </w:r>
          </w:p>
        </w:tc>
        <w:tc>
          <w:tcPr>
            <w:tcW w:w="22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734A8E84" w14:textId="77777777" w:rsidR="00A6415D" w:rsidRDefault="00000000">
            <w:r>
              <w:rPr>
                <w:color w:val="000000"/>
                <w:sz w:val="20"/>
                <w:szCs w:val="20"/>
              </w:rPr>
              <w:t>Absent</w:t>
            </w:r>
          </w:p>
        </w:tc>
        <w:tc>
          <w:tcPr>
            <w:tcW w:w="31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0E4A5192" w14:textId="77777777" w:rsidR="00A6415D" w:rsidRDefault="00000000">
            <w:r>
              <w:rPr>
                <w:color w:val="000000"/>
                <w:sz w:val="20"/>
                <w:szCs w:val="20"/>
              </w:rPr>
              <w:t>No archaeological or textual evidence exists</w:t>
            </w:r>
          </w:p>
        </w:tc>
        <w:tc>
          <w:tcPr>
            <w:tcW w:w="31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54280C01" w14:textId="77777777" w:rsidR="00A6415D" w:rsidRDefault="00000000">
            <w:r>
              <w:rPr>
                <w:color w:val="000000"/>
                <w:sz w:val="20"/>
                <w:szCs w:val="20"/>
              </w:rPr>
              <w:t>No symbolic character — purely functional or absent</w:t>
            </w:r>
          </w:p>
        </w:tc>
      </w:tr>
      <w:tr w:rsidR="00A6415D" w14:paraId="2DE663A2" w14:textId="77777777">
        <w:tc>
          <w:tcPr>
            <w:tcW w:w="96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765A1A34" w14:textId="77777777" w:rsidR="00A6415D" w:rsidRDefault="00000000">
            <w:pPr>
              <w:jc w:val="center"/>
            </w:pPr>
            <w:r>
              <w:rPr>
                <w:b/>
                <w:bCs/>
                <w:color w:val="000000"/>
                <w:sz w:val="20"/>
                <w:szCs w:val="20"/>
              </w:rPr>
              <w:t>1</w:t>
            </w:r>
          </w:p>
        </w:tc>
        <w:tc>
          <w:tcPr>
            <w:tcW w:w="22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79AC3F90" w14:textId="77777777" w:rsidR="00A6415D" w:rsidRDefault="00000000">
            <w:r>
              <w:rPr>
                <w:color w:val="000000"/>
                <w:sz w:val="20"/>
                <w:szCs w:val="20"/>
              </w:rPr>
              <w:t>Present but limited</w:t>
            </w:r>
          </w:p>
        </w:tc>
        <w:tc>
          <w:tcPr>
            <w:tcW w:w="31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600F6F1F" w14:textId="77777777" w:rsidR="00A6415D" w:rsidRDefault="00000000">
            <w:r>
              <w:rPr>
                <w:color w:val="000000"/>
                <w:sz w:val="20"/>
                <w:szCs w:val="20"/>
              </w:rPr>
              <w:t>Some evidence but sparse, ambiguous, or poorly preserved</w:t>
            </w:r>
          </w:p>
        </w:tc>
        <w:tc>
          <w:tcPr>
            <w:tcW w:w="31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4B26E32F" w14:textId="77777777" w:rsidR="00A6415D" w:rsidRDefault="00000000">
            <w:r>
              <w:rPr>
                <w:color w:val="000000"/>
                <w:sz w:val="20"/>
                <w:szCs w:val="20"/>
              </w:rPr>
              <w:t>Symbolic character plausible but not clearly demonstrated</w:t>
            </w:r>
          </w:p>
        </w:tc>
      </w:tr>
      <w:tr w:rsidR="00A6415D" w14:paraId="0B52AFE0" w14:textId="77777777">
        <w:tc>
          <w:tcPr>
            <w:tcW w:w="96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7A89045B" w14:textId="77777777" w:rsidR="00A6415D" w:rsidRDefault="00000000">
            <w:pPr>
              <w:jc w:val="center"/>
            </w:pPr>
            <w:r>
              <w:rPr>
                <w:b/>
                <w:bCs/>
                <w:color w:val="000000"/>
                <w:sz w:val="20"/>
                <w:szCs w:val="20"/>
              </w:rPr>
              <w:t>2</w:t>
            </w:r>
          </w:p>
        </w:tc>
        <w:tc>
          <w:tcPr>
            <w:tcW w:w="22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75791456" w14:textId="77777777" w:rsidR="00A6415D" w:rsidRDefault="00000000">
            <w:r>
              <w:rPr>
                <w:color w:val="000000"/>
                <w:sz w:val="20"/>
                <w:szCs w:val="20"/>
              </w:rPr>
              <w:t>Strong and clear</w:t>
            </w:r>
          </w:p>
        </w:tc>
        <w:tc>
          <w:tcPr>
            <w:tcW w:w="31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410E1C0E" w14:textId="77777777" w:rsidR="00A6415D" w:rsidRDefault="00000000">
            <w:r>
              <w:rPr>
                <w:color w:val="000000"/>
                <w:sz w:val="20"/>
                <w:szCs w:val="20"/>
              </w:rPr>
              <w:t>Multiple independent, well-documented lines of evidence</w:t>
            </w:r>
          </w:p>
        </w:tc>
        <w:tc>
          <w:tcPr>
            <w:tcW w:w="31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555725D1" w14:textId="77777777" w:rsidR="00A6415D" w:rsidRDefault="00000000">
            <w:r>
              <w:rPr>
                <w:color w:val="000000"/>
                <w:sz w:val="20"/>
                <w:szCs w:val="20"/>
              </w:rPr>
              <w:t>Clearly symbolic: repeated, intentional, socially meaningful</w:t>
            </w:r>
          </w:p>
        </w:tc>
      </w:tr>
    </w:tbl>
    <w:p w14:paraId="7E31DBE5" w14:textId="77777777" w:rsidR="00A6415D" w:rsidRDefault="00A6415D">
      <w:pPr>
        <w:spacing w:before="120"/>
      </w:pPr>
    </w:p>
    <w:p w14:paraId="59CDD0E2" w14:textId="77777777" w:rsidR="00A6415D" w:rsidRDefault="00000000">
      <w:pPr>
        <w:pStyle w:val="Heading2"/>
      </w:pPr>
      <w:r>
        <w:t>6.2 The Saturation Rule</w:t>
      </w:r>
    </w:p>
    <w:p w14:paraId="47D34F22" w14:textId="77777777" w:rsidR="00A6415D" w:rsidRDefault="00000000">
      <w:pPr>
        <w:spacing w:before="60" w:after="100"/>
        <w:jc w:val="both"/>
      </w:pPr>
      <w:r>
        <w:rPr>
          <w:color w:val="000000"/>
        </w:rPr>
        <w:t>The saturation threshold is not a simple total-score cutoff. It has two conditions that must both be met:</w:t>
      </w:r>
    </w:p>
    <w:p w14:paraId="108FADD0" w14:textId="77777777" w:rsidR="00A6415D" w:rsidRDefault="00000000">
      <w:pPr>
        <w:pStyle w:val="ListParagraph"/>
        <w:numPr>
          <w:ilvl w:val="0"/>
          <w:numId w:val="2"/>
        </w:numPr>
        <w:spacing w:before="50" w:after="50"/>
      </w:pPr>
      <w:r>
        <w:t>Total ≥7 out of 12</w:t>
      </w:r>
    </w:p>
    <w:p w14:paraId="730BAB99" w14:textId="77777777" w:rsidR="00A6415D" w:rsidRDefault="00000000">
      <w:pPr>
        <w:pStyle w:val="ListParagraph"/>
        <w:numPr>
          <w:ilvl w:val="0"/>
          <w:numId w:val="2"/>
        </w:numPr>
        <w:spacing w:before="50" w:after="50"/>
      </w:pPr>
      <w:r>
        <w:t>No criterion at zero — a zero means the system has a structural absence in that dimension</w:t>
      </w:r>
    </w:p>
    <w:p w14:paraId="21C2FEC6" w14:textId="77777777" w:rsidR="00A6415D" w:rsidRDefault="00000000">
      <w:pPr>
        <w:spacing w:before="60" w:after="100"/>
        <w:jc w:val="both"/>
      </w:pPr>
      <w:r>
        <w:rPr>
          <w:color w:val="000000"/>
        </w:rPr>
        <w:t>A system scoring 11/12 with one zero is not saturated. A system scoring 7/12 with no zeros is. The no-zero condition is the more important of the two: it prevents a system from being called fully saturated when it lacks an entire category of symbolic infrastructure.</w:t>
      </w:r>
    </w:p>
    <w:p w14:paraId="50B4C4E0" w14:textId="77777777" w:rsidR="00A6415D" w:rsidRDefault="00A6415D">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2400"/>
        <w:gridCol w:w="4560"/>
      </w:tblGrid>
      <w:tr w:rsidR="00A6415D" w14:paraId="333D8795" w14:textId="77777777">
        <w:trPr>
          <w:tblHeader/>
        </w:trPr>
        <w:tc>
          <w:tcPr>
            <w:tcW w:w="240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41F1A223" w14:textId="77777777" w:rsidR="00A6415D" w:rsidRDefault="00000000">
            <w:r>
              <w:rPr>
                <w:b/>
                <w:bCs/>
                <w:color w:val="FFFFFF"/>
                <w:sz w:val="20"/>
                <w:szCs w:val="20"/>
              </w:rPr>
              <w:t>Total score</w:t>
            </w:r>
          </w:p>
        </w:tc>
        <w:tc>
          <w:tcPr>
            <w:tcW w:w="240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6DE5ED9B" w14:textId="77777777" w:rsidR="00A6415D" w:rsidRDefault="00000000">
            <w:r>
              <w:rPr>
                <w:b/>
                <w:bCs/>
                <w:color w:val="FFFFFF"/>
                <w:sz w:val="20"/>
                <w:szCs w:val="20"/>
              </w:rPr>
              <w:t>Any zeros?</w:t>
            </w:r>
          </w:p>
        </w:tc>
        <w:tc>
          <w:tcPr>
            <w:tcW w:w="456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28D94BCC" w14:textId="77777777" w:rsidR="00A6415D" w:rsidRDefault="00000000">
            <w:r>
              <w:rPr>
                <w:b/>
                <w:bCs/>
                <w:color w:val="FFFFFF"/>
                <w:sz w:val="20"/>
                <w:szCs w:val="20"/>
              </w:rPr>
              <w:t>Classification</w:t>
            </w:r>
          </w:p>
        </w:tc>
      </w:tr>
      <w:tr w:rsidR="00A6415D" w14:paraId="2CC78DEC" w14:textId="77777777">
        <w:tc>
          <w:tcPr>
            <w:tcW w:w="2400" w:type="dxa"/>
            <w:tcBorders>
              <w:top w:val="single" w:sz="1" w:space="0" w:color="BBBBBB"/>
              <w:left w:val="single" w:sz="1" w:space="0" w:color="BBBBBB"/>
              <w:bottom w:val="single" w:sz="1" w:space="0" w:color="BBBBBB"/>
              <w:right w:val="single" w:sz="1" w:space="0" w:color="BBBBBB"/>
            </w:tcBorders>
            <w:shd w:val="clear" w:color="auto" w:fill="E8F5E9"/>
            <w:tcMar>
              <w:top w:w="90" w:type="dxa"/>
              <w:left w:w="120" w:type="dxa"/>
              <w:bottom w:w="90" w:type="dxa"/>
              <w:right w:w="120" w:type="dxa"/>
            </w:tcMar>
            <w:vAlign w:val="center"/>
          </w:tcPr>
          <w:p w14:paraId="5A873AFD" w14:textId="77777777" w:rsidR="00A6415D" w:rsidRDefault="00000000">
            <w:r>
              <w:rPr>
                <w:b/>
                <w:bCs/>
                <w:color w:val="000000"/>
                <w:sz w:val="20"/>
                <w:szCs w:val="20"/>
              </w:rPr>
              <w:t>≥10/12</w:t>
            </w:r>
          </w:p>
        </w:tc>
        <w:tc>
          <w:tcPr>
            <w:tcW w:w="2400" w:type="dxa"/>
            <w:tcBorders>
              <w:top w:val="single" w:sz="1" w:space="0" w:color="BBBBBB"/>
              <w:left w:val="single" w:sz="1" w:space="0" w:color="BBBBBB"/>
              <w:bottom w:val="single" w:sz="1" w:space="0" w:color="BBBBBB"/>
              <w:right w:val="single" w:sz="1" w:space="0" w:color="BBBBBB"/>
            </w:tcBorders>
            <w:shd w:val="clear" w:color="auto" w:fill="E8F5E9"/>
            <w:tcMar>
              <w:top w:w="90" w:type="dxa"/>
              <w:left w:w="120" w:type="dxa"/>
              <w:bottom w:w="90" w:type="dxa"/>
              <w:right w:w="120" w:type="dxa"/>
            </w:tcMar>
            <w:vAlign w:val="center"/>
          </w:tcPr>
          <w:p w14:paraId="10EEF047" w14:textId="77777777" w:rsidR="00A6415D" w:rsidRDefault="00000000">
            <w:r>
              <w:rPr>
                <w:color w:val="000000"/>
                <w:sz w:val="20"/>
                <w:szCs w:val="20"/>
              </w:rPr>
              <w:t>No</w:t>
            </w:r>
          </w:p>
        </w:tc>
        <w:tc>
          <w:tcPr>
            <w:tcW w:w="4560" w:type="dxa"/>
            <w:tcBorders>
              <w:top w:val="single" w:sz="1" w:space="0" w:color="BBBBBB"/>
              <w:left w:val="single" w:sz="1" w:space="0" w:color="BBBBBB"/>
              <w:bottom w:val="single" w:sz="1" w:space="0" w:color="BBBBBB"/>
              <w:right w:val="single" w:sz="1" w:space="0" w:color="BBBBBB"/>
            </w:tcBorders>
            <w:shd w:val="clear" w:color="auto" w:fill="E8F5E9"/>
            <w:tcMar>
              <w:top w:w="90" w:type="dxa"/>
              <w:left w:w="120" w:type="dxa"/>
              <w:bottom w:w="90" w:type="dxa"/>
              <w:right w:w="120" w:type="dxa"/>
            </w:tcMar>
            <w:vAlign w:val="center"/>
          </w:tcPr>
          <w:p w14:paraId="39848AA4" w14:textId="77777777" w:rsidR="00A6415D" w:rsidRDefault="00000000">
            <w:r>
              <w:rPr>
                <w:color w:val="000000"/>
                <w:sz w:val="20"/>
                <w:szCs w:val="20"/>
              </w:rPr>
              <w:t>Full saturation — Stage 4</w:t>
            </w:r>
          </w:p>
        </w:tc>
      </w:tr>
      <w:tr w:rsidR="00A6415D" w14:paraId="20467E8C" w14:textId="77777777">
        <w:tc>
          <w:tcPr>
            <w:tcW w:w="2400" w:type="dxa"/>
            <w:tcBorders>
              <w:top w:val="single" w:sz="1" w:space="0" w:color="BBBBBB"/>
              <w:left w:val="single" w:sz="1" w:space="0" w:color="BBBBBB"/>
              <w:bottom w:val="single" w:sz="1" w:space="0" w:color="BBBBBB"/>
              <w:right w:val="single" w:sz="1" w:space="0" w:color="BBBBBB"/>
            </w:tcBorders>
            <w:shd w:val="clear" w:color="auto" w:fill="E8F5E9"/>
            <w:tcMar>
              <w:top w:w="90" w:type="dxa"/>
              <w:left w:w="120" w:type="dxa"/>
              <w:bottom w:w="90" w:type="dxa"/>
              <w:right w:w="120" w:type="dxa"/>
            </w:tcMar>
            <w:vAlign w:val="center"/>
          </w:tcPr>
          <w:p w14:paraId="7E9C5020" w14:textId="77777777" w:rsidR="00A6415D" w:rsidRDefault="00000000">
            <w:r>
              <w:rPr>
                <w:b/>
                <w:bCs/>
                <w:color w:val="000000"/>
                <w:sz w:val="20"/>
                <w:szCs w:val="20"/>
              </w:rPr>
              <w:t>7–9/12</w:t>
            </w:r>
          </w:p>
        </w:tc>
        <w:tc>
          <w:tcPr>
            <w:tcW w:w="2400" w:type="dxa"/>
            <w:tcBorders>
              <w:top w:val="single" w:sz="1" w:space="0" w:color="BBBBBB"/>
              <w:left w:val="single" w:sz="1" w:space="0" w:color="BBBBBB"/>
              <w:bottom w:val="single" w:sz="1" w:space="0" w:color="BBBBBB"/>
              <w:right w:val="single" w:sz="1" w:space="0" w:color="BBBBBB"/>
            </w:tcBorders>
            <w:shd w:val="clear" w:color="auto" w:fill="E8F5E9"/>
            <w:tcMar>
              <w:top w:w="90" w:type="dxa"/>
              <w:left w:w="120" w:type="dxa"/>
              <w:bottom w:w="90" w:type="dxa"/>
              <w:right w:w="120" w:type="dxa"/>
            </w:tcMar>
            <w:vAlign w:val="center"/>
          </w:tcPr>
          <w:p w14:paraId="4DBAE112" w14:textId="77777777" w:rsidR="00A6415D" w:rsidRDefault="00000000">
            <w:r>
              <w:rPr>
                <w:color w:val="000000"/>
                <w:sz w:val="20"/>
                <w:szCs w:val="20"/>
              </w:rPr>
              <w:t>No</w:t>
            </w:r>
          </w:p>
        </w:tc>
        <w:tc>
          <w:tcPr>
            <w:tcW w:w="4560" w:type="dxa"/>
            <w:tcBorders>
              <w:top w:val="single" w:sz="1" w:space="0" w:color="BBBBBB"/>
              <w:left w:val="single" w:sz="1" w:space="0" w:color="BBBBBB"/>
              <w:bottom w:val="single" w:sz="1" w:space="0" w:color="BBBBBB"/>
              <w:right w:val="single" w:sz="1" w:space="0" w:color="BBBBBB"/>
            </w:tcBorders>
            <w:shd w:val="clear" w:color="auto" w:fill="E8F5E9"/>
            <w:tcMar>
              <w:top w:w="90" w:type="dxa"/>
              <w:left w:w="120" w:type="dxa"/>
              <w:bottom w:w="90" w:type="dxa"/>
              <w:right w:w="120" w:type="dxa"/>
            </w:tcMar>
            <w:vAlign w:val="center"/>
          </w:tcPr>
          <w:p w14:paraId="15595CB6" w14:textId="77777777" w:rsidR="00A6415D" w:rsidRDefault="00000000">
            <w:r>
              <w:rPr>
                <w:color w:val="000000"/>
                <w:sz w:val="20"/>
                <w:szCs w:val="20"/>
              </w:rPr>
              <w:t>Saturation — Stage 3–4 transition</w:t>
            </w:r>
          </w:p>
        </w:tc>
      </w:tr>
      <w:tr w:rsidR="00A6415D" w14:paraId="2AE58DAB" w14:textId="77777777">
        <w:tc>
          <w:tcPr>
            <w:tcW w:w="2400" w:type="dxa"/>
            <w:tcBorders>
              <w:top w:val="single" w:sz="1" w:space="0" w:color="BBBBBB"/>
              <w:left w:val="single" w:sz="1" w:space="0" w:color="BBBBBB"/>
              <w:bottom w:val="single" w:sz="1" w:space="0" w:color="BBBBBB"/>
              <w:right w:val="single" w:sz="1" w:space="0" w:color="BBBBBB"/>
            </w:tcBorders>
            <w:shd w:val="clear" w:color="auto" w:fill="FFFDE7"/>
            <w:tcMar>
              <w:top w:w="90" w:type="dxa"/>
              <w:left w:w="120" w:type="dxa"/>
              <w:bottom w:w="90" w:type="dxa"/>
              <w:right w:w="120" w:type="dxa"/>
            </w:tcMar>
            <w:vAlign w:val="center"/>
          </w:tcPr>
          <w:p w14:paraId="4B717ED3" w14:textId="77777777" w:rsidR="00A6415D" w:rsidRDefault="00000000">
            <w:r>
              <w:rPr>
                <w:b/>
                <w:bCs/>
                <w:color w:val="000000"/>
                <w:sz w:val="20"/>
                <w:szCs w:val="20"/>
              </w:rPr>
              <w:t>7–12/12</w:t>
            </w:r>
          </w:p>
        </w:tc>
        <w:tc>
          <w:tcPr>
            <w:tcW w:w="2400" w:type="dxa"/>
            <w:tcBorders>
              <w:top w:val="single" w:sz="1" w:space="0" w:color="BBBBBB"/>
              <w:left w:val="single" w:sz="1" w:space="0" w:color="BBBBBB"/>
              <w:bottom w:val="single" w:sz="1" w:space="0" w:color="BBBBBB"/>
              <w:right w:val="single" w:sz="1" w:space="0" w:color="BBBBBB"/>
            </w:tcBorders>
            <w:shd w:val="clear" w:color="auto" w:fill="FFFDE7"/>
            <w:tcMar>
              <w:top w:w="90" w:type="dxa"/>
              <w:left w:w="120" w:type="dxa"/>
              <w:bottom w:w="90" w:type="dxa"/>
              <w:right w:w="120" w:type="dxa"/>
            </w:tcMar>
            <w:vAlign w:val="center"/>
          </w:tcPr>
          <w:p w14:paraId="5C1B46CF" w14:textId="77777777" w:rsidR="00A6415D" w:rsidRDefault="00000000">
            <w:r>
              <w:rPr>
                <w:color w:val="000000"/>
                <w:sz w:val="20"/>
                <w:szCs w:val="20"/>
              </w:rPr>
              <w:t>Yes</w:t>
            </w:r>
          </w:p>
        </w:tc>
        <w:tc>
          <w:tcPr>
            <w:tcW w:w="4560" w:type="dxa"/>
            <w:tcBorders>
              <w:top w:val="single" w:sz="1" w:space="0" w:color="BBBBBB"/>
              <w:left w:val="single" w:sz="1" w:space="0" w:color="BBBBBB"/>
              <w:bottom w:val="single" w:sz="1" w:space="0" w:color="BBBBBB"/>
              <w:right w:val="single" w:sz="1" w:space="0" w:color="BBBBBB"/>
            </w:tcBorders>
            <w:shd w:val="clear" w:color="auto" w:fill="FFFDE7"/>
            <w:tcMar>
              <w:top w:w="90" w:type="dxa"/>
              <w:left w:w="120" w:type="dxa"/>
              <w:bottom w:w="90" w:type="dxa"/>
              <w:right w:w="120" w:type="dxa"/>
            </w:tcMar>
            <w:vAlign w:val="center"/>
          </w:tcPr>
          <w:p w14:paraId="1D784B18" w14:textId="77777777" w:rsidR="00A6415D" w:rsidRDefault="00000000">
            <w:r>
              <w:rPr>
                <w:color w:val="000000"/>
                <w:sz w:val="20"/>
                <w:szCs w:val="20"/>
              </w:rPr>
              <w:t>Partial — structural absence in at least one dimension. Cannot be classified as saturated regardless of total.</w:t>
            </w:r>
          </w:p>
        </w:tc>
      </w:tr>
      <w:tr w:rsidR="00A6415D" w14:paraId="0AB7D3B3" w14:textId="77777777">
        <w:tc>
          <w:tcPr>
            <w:tcW w:w="2400" w:type="dxa"/>
            <w:tcBorders>
              <w:top w:val="single" w:sz="1" w:space="0" w:color="BBBBBB"/>
              <w:left w:val="single" w:sz="1" w:space="0" w:color="BBBBBB"/>
              <w:bottom w:val="single" w:sz="1" w:space="0" w:color="BBBBBB"/>
              <w:right w:val="single" w:sz="1" w:space="0" w:color="BBBBBB"/>
            </w:tcBorders>
            <w:shd w:val="clear" w:color="auto" w:fill="FFEBEE"/>
            <w:tcMar>
              <w:top w:w="90" w:type="dxa"/>
              <w:left w:w="120" w:type="dxa"/>
              <w:bottom w:w="90" w:type="dxa"/>
              <w:right w:w="120" w:type="dxa"/>
            </w:tcMar>
            <w:vAlign w:val="center"/>
          </w:tcPr>
          <w:p w14:paraId="4378AA91" w14:textId="77777777" w:rsidR="00A6415D" w:rsidRDefault="00000000">
            <w:r>
              <w:rPr>
                <w:b/>
                <w:bCs/>
                <w:color w:val="000000"/>
                <w:sz w:val="20"/>
                <w:szCs w:val="20"/>
              </w:rPr>
              <w:t>Below 7</w:t>
            </w:r>
          </w:p>
        </w:tc>
        <w:tc>
          <w:tcPr>
            <w:tcW w:w="2400" w:type="dxa"/>
            <w:tcBorders>
              <w:top w:val="single" w:sz="1" w:space="0" w:color="BBBBBB"/>
              <w:left w:val="single" w:sz="1" w:space="0" w:color="BBBBBB"/>
              <w:bottom w:val="single" w:sz="1" w:space="0" w:color="BBBBBB"/>
              <w:right w:val="single" w:sz="1" w:space="0" w:color="BBBBBB"/>
            </w:tcBorders>
            <w:shd w:val="clear" w:color="auto" w:fill="FFEBEE"/>
            <w:tcMar>
              <w:top w:w="90" w:type="dxa"/>
              <w:left w:w="120" w:type="dxa"/>
              <w:bottom w:w="90" w:type="dxa"/>
              <w:right w:w="120" w:type="dxa"/>
            </w:tcMar>
            <w:vAlign w:val="center"/>
          </w:tcPr>
          <w:p w14:paraId="07346787" w14:textId="77777777" w:rsidR="00A6415D" w:rsidRDefault="00000000">
            <w:r>
              <w:rPr>
                <w:color w:val="000000"/>
                <w:sz w:val="20"/>
                <w:szCs w:val="20"/>
              </w:rPr>
              <w:t>Any</w:t>
            </w:r>
          </w:p>
        </w:tc>
        <w:tc>
          <w:tcPr>
            <w:tcW w:w="4560" w:type="dxa"/>
            <w:tcBorders>
              <w:top w:val="single" w:sz="1" w:space="0" w:color="BBBBBB"/>
              <w:left w:val="single" w:sz="1" w:space="0" w:color="BBBBBB"/>
              <w:bottom w:val="single" w:sz="1" w:space="0" w:color="BBBBBB"/>
              <w:right w:val="single" w:sz="1" w:space="0" w:color="BBBBBB"/>
            </w:tcBorders>
            <w:shd w:val="clear" w:color="auto" w:fill="FFEBEE"/>
            <w:tcMar>
              <w:top w:w="90" w:type="dxa"/>
              <w:left w:w="120" w:type="dxa"/>
              <w:bottom w:w="90" w:type="dxa"/>
              <w:right w:w="120" w:type="dxa"/>
            </w:tcMar>
            <w:vAlign w:val="center"/>
          </w:tcPr>
          <w:p w14:paraId="00745A46" w14:textId="77777777" w:rsidR="00A6415D" w:rsidRDefault="00000000">
            <w:r>
              <w:rPr>
                <w:color w:val="000000"/>
                <w:sz w:val="20"/>
                <w:szCs w:val="20"/>
              </w:rPr>
              <w:t>Not saturated — Stage 1–3 depending on profile</w:t>
            </w:r>
          </w:p>
        </w:tc>
      </w:tr>
    </w:tbl>
    <w:p w14:paraId="49412A35" w14:textId="77777777" w:rsidR="00A6415D" w:rsidRDefault="00A6415D">
      <w:pPr>
        <w:spacing w:before="120"/>
      </w:pPr>
    </w:p>
    <w:p w14:paraId="63FD10BA" w14:textId="77777777" w:rsidR="00A6415D" w:rsidRDefault="00000000">
      <w:pPr>
        <w:pStyle w:val="Heading2"/>
      </w:pPr>
      <w:r>
        <w:t>6.3 Step-by-Step Procedure</w:t>
      </w:r>
    </w:p>
    <w:p w14:paraId="7E778D27" w14:textId="77777777" w:rsidR="00A6415D" w:rsidRDefault="00A6415D">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74"/>
        <w:gridCol w:w="2063"/>
        <w:gridCol w:w="6623"/>
      </w:tblGrid>
      <w:tr w:rsidR="00A6415D" w14:paraId="7D3ECCDE" w14:textId="77777777">
        <w:trPr>
          <w:tblHeader/>
        </w:trPr>
        <w:tc>
          <w:tcPr>
            <w:tcW w:w="48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4B6F0C5A" w14:textId="77777777" w:rsidR="00A6415D" w:rsidRDefault="00000000">
            <w:pPr>
              <w:jc w:val="center"/>
            </w:pPr>
            <w:r>
              <w:rPr>
                <w:b/>
                <w:bCs/>
                <w:color w:val="FFFFFF"/>
                <w:sz w:val="20"/>
                <w:szCs w:val="20"/>
              </w:rPr>
              <w:t>Step</w:t>
            </w:r>
          </w:p>
        </w:tc>
        <w:tc>
          <w:tcPr>
            <w:tcW w:w="208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7E39A3D8" w14:textId="77777777" w:rsidR="00A6415D" w:rsidRDefault="00000000">
            <w:r>
              <w:rPr>
                <w:b/>
                <w:bCs/>
                <w:color w:val="FFFFFF"/>
                <w:sz w:val="20"/>
                <w:szCs w:val="20"/>
              </w:rPr>
              <w:t>Action</w:t>
            </w:r>
          </w:p>
        </w:tc>
        <w:tc>
          <w:tcPr>
            <w:tcW w:w="680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044F9CCB" w14:textId="77777777" w:rsidR="00A6415D" w:rsidRDefault="00000000">
            <w:r>
              <w:rPr>
                <w:b/>
                <w:bCs/>
                <w:color w:val="FFFFFF"/>
                <w:sz w:val="20"/>
                <w:szCs w:val="20"/>
              </w:rPr>
              <w:t>What to do</w:t>
            </w:r>
          </w:p>
        </w:tc>
      </w:tr>
      <w:tr w:rsidR="00A6415D" w14:paraId="11D1893A" w14:textId="77777777">
        <w:tc>
          <w:tcPr>
            <w:tcW w:w="4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6D465888" w14:textId="77777777" w:rsidR="00A6415D" w:rsidRDefault="00000000">
            <w:pPr>
              <w:jc w:val="center"/>
            </w:pPr>
            <w:r>
              <w:rPr>
                <w:b/>
                <w:bCs/>
                <w:color w:val="000000"/>
                <w:sz w:val="24"/>
                <w:szCs w:val="24"/>
              </w:rPr>
              <w:t>1</w:t>
            </w:r>
          </w:p>
        </w:tc>
        <w:tc>
          <w:tcPr>
            <w:tcW w:w="20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3EBF4B39" w14:textId="77777777" w:rsidR="00A6415D" w:rsidRDefault="00000000">
            <w:r>
              <w:rPr>
                <w:b/>
                <w:bCs/>
                <w:color w:val="000000"/>
                <w:sz w:val="20"/>
                <w:szCs w:val="20"/>
              </w:rPr>
              <w:t>Define your case</w:t>
            </w:r>
          </w:p>
        </w:tc>
        <w:tc>
          <w:tcPr>
            <w:tcW w:w="68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4BB5A040" w14:textId="77777777" w:rsidR="00A6415D" w:rsidRDefault="00000000">
            <w:r>
              <w:rPr>
                <w:color w:val="000000"/>
                <w:sz w:val="20"/>
                <w:szCs w:val="20"/>
              </w:rPr>
              <w:t>Name the site, region, and period. Decide whether you are scoring a single ruler, a dynasty, an archaeological horizon, or a site.</w:t>
            </w:r>
          </w:p>
        </w:tc>
      </w:tr>
      <w:tr w:rsidR="00A6415D" w14:paraId="1C33ADBC" w14:textId="77777777">
        <w:tc>
          <w:tcPr>
            <w:tcW w:w="4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2E8A1E9C" w14:textId="77777777" w:rsidR="00A6415D" w:rsidRDefault="00000000">
            <w:pPr>
              <w:jc w:val="center"/>
            </w:pPr>
            <w:r>
              <w:rPr>
                <w:b/>
                <w:bCs/>
                <w:color w:val="000000"/>
                <w:sz w:val="24"/>
                <w:szCs w:val="24"/>
              </w:rPr>
              <w:t>2</w:t>
            </w:r>
          </w:p>
        </w:tc>
        <w:tc>
          <w:tcPr>
            <w:tcW w:w="20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03C5046B" w14:textId="77777777" w:rsidR="00A6415D" w:rsidRDefault="00000000">
            <w:r>
              <w:rPr>
                <w:b/>
                <w:bCs/>
                <w:color w:val="000000"/>
                <w:sz w:val="20"/>
                <w:szCs w:val="20"/>
              </w:rPr>
              <w:t>Gather your evidence</w:t>
            </w:r>
          </w:p>
        </w:tc>
        <w:tc>
          <w:tcPr>
            <w:tcW w:w="68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384723C2" w14:textId="77777777" w:rsidR="00A6415D" w:rsidRDefault="00000000">
            <w:r>
              <w:rPr>
                <w:color w:val="000000"/>
                <w:sz w:val="20"/>
                <w:szCs w:val="20"/>
              </w:rPr>
              <w:t>Compile all primary sources: excavation reports, artifact inventories, published analyses, textual sources. Do not include secondary interpretations as evidence — go to primary records where possible.</w:t>
            </w:r>
          </w:p>
        </w:tc>
      </w:tr>
      <w:tr w:rsidR="00A6415D" w14:paraId="31272B1E" w14:textId="77777777">
        <w:tc>
          <w:tcPr>
            <w:tcW w:w="4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059CBA20" w14:textId="77777777" w:rsidR="00A6415D" w:rsidRDefault="00000000">
            <w:pPr>
              <w:jc w:val="center"/>
            </w:pPr>
            <w:r>
              <w:rPr>
                <w:b/>
                <w:bCs/>
                <w:color w:val="000000"/>
                <w:sz w:val="24"/>
                <w:szCs w:val="24"/>
              </w:rPr>
              <w:t>3</w:t>
            </w:r>
          </w:p>
        </w:tc>
        <w:tc>
          <w:tcPr>
            <w:tcW w:w="20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689D1346" w14:textId="77777777" w:rsidR="00A6415D" w:rsidRDefault="00000000">
            <w:r>
              <w:rPr>
                <w:b/>
                <w:bCs/>
                <w:color w:val="000000"/>
                <w:sz w:val="20"/>
                <w:szCs w:val="20"/>
              </w:rPr>
              <w:t>Check for regional extensions</w:t>
            </w:r>
          </w:p>
        </w:tc>
        <w:tc>
          <w:tcPr>
            <w:tcW w:w="68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6CF9405D" w14:textId="77777777" w:rsidR="00A6415D" w:rsidRDefault="00000000">
            <w:r>
              <w:rPr>
                <w:color w:val="000000"/>
                <w:sz w:val="20"/>
                <w:szCs w:val="20"/>
              </w:rPr>
              <w:t>Read Section 7. If your case involves ambiguous writing evidence, a compressed timeline, or a maintenance-vs-builder question, consider applying the relevant optional sub-criteria before scoring.</w:t>
            </w:r>
          </w:p>
        </w:tc>
      </w:tr>
      <w:tr w:rsidR="00A6415D" w14:paraId="0CEA9844" w14:textId="77777777">
        <w:tc>
          <w:tcPr>
            <w:tcW w:w="4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46ADF6FD" w14:textId="77777777" w:rsidR="00A6415D" w:rsidRDefault="00000000">
            <w:pPr>
              <w:jc w:val="center"/>
            </w:pPr>
            <w:r>
              <w:rPr>
                <w:b/>
                <w:bCs/>
                <w:color w:val="000000"/>
                <w:sz w:val="24"/>
                <w:szCs w:val="24"/>
              </w:rPr>
              <w:t>4</w:t>
            </w:r>
          </w:p>
        </w:tc>
        <w:tc>
          <w:tcPr>
            <w:tcW w:w="20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1AE920A1" w14:textId="77777777" w:rsidR="00A6415D" w:rsidRDefault="00000000">
            <w:r>
              <w:rPr>
                <w:b/>
                <w:bCs/>
                <w:color w:val="000000"/>
                <w:sz w:val="20"/>
                <w:szCs w:val="20"/>
              </w:rPr>
              <w:t>Score E and S independently for each observable</w:t>
            </w:r>
          </w:p>
        </w:tc>
        <w:tc>
          <w:tcPr>
            <w:tcW w:w="68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7C95765C" w14:textId="77777777" w:rsidR="00A6415D" w:rsidRDefault="00000000">
            <w:r>
              <w:rPr>
                <w:color w:val="000000"/>
                <w:sz w:val="20"/>
                <w:szCs w:val="20"/>
              </w:rPr>
              <w:t xml:space="preserve">For each of the six criteria, assign E (Evidence Strength) and S (Symbolic Specificity) on a 0–2 scale. Score these separately — do not average them in your </w:t>
            </w:r>
            <w:proofErr w:type="gramStart"/>
            <w:r>
              <w:rPr>
                <w:color w:val="000000"/>
                <w:sz w:val="20"/>
                <w:szCs w:val="20"/>
              </w:rPr>
              <w:t>head first</w:t>
            </w:r>
            <w:proofErr w:type="gramEnd"/>
            <w:r>
              <w:rPr>
                <w:color w:val="000000"/>
                <w:sz w:val="20"/>
                <w:szCs w:val="20"/>
              </w:rPr>
              <w:t>.</w:t>
            </w:r>
          </w:p>
        </w:tc>
      </w:tr>
      <w:tr w:rsidR="00A6415D" w14:paraId="0A8C11AF" w14:textId="77777777">
        <w:tc>
          <w:tcPr>
            <w:tcW w:w="4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1EE03150" w14:textId="77777777" w:rsidR="00A6415D" w:rsidRDefault="00000000">
            <w:pPr>
              <w:jc w:val="center"/>
            </w:pPr>
            <w:r>
              <w:rPr>
                <w:b/>
                <w:bCs/>
                <w:color w:val="000000"/>
                <w:sz w:val="24"/>
                <w:szCs w:val="24"/>
              </w:rPr>
              <w:t>5</w:t>
            </w:r>
          </w:p>
        </w:tc>
        <w:tc>
          <w:tcPr>
            <w:tcW w:w="20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19D07DEA" w14:textId="77777777" w:rsidR="00A6415D" w:rsidRDefault="00000000">
            <w:r>
              <w:rPr>
                <w:b/>
                <w:bCs/>
                <w:color w:val="000000"/>
                <w:sz w:val="20"/>
                <w:szCs w:val="20"/>
              </w:rPr>
              <w:t>Calculate min(</w:t>
            </w:r>
            <w:proofErr w:type="gramStart"/>
            <w:r>
              <w:rPr>
                <w:b/>
                <w:bCs/>
                <w:color w:val="000000"/>
                <w:sz w:val="20"/>
                <w:szCs w:val="20"/>
              </w:rPr>
              <w:t>E,S</w:t>
            </w:r>
            <w:proofErr w:type="gramEnd"/>
            <w:r>
              <w:rPr>
                <w:b/>
                <w:bCs/>
                <w:color w:val="000000"/>
                <w:sz w:val="20"/>
                <w:szCs w:val="20"/>
              </w:rPr>
              <w:t>) for each row</w:t>
            </w:r>
          </w:p>
        </w:tc>
        <w:tc>
          <w:tcPr>
            <w:tcW w:w="68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6E7B4828" w14:textId="77777777" w:rsidR="00A6415D" w:rsidRDefault="00000000">
            <w:r>
              <w:rPr>
                <w:color w:val="000000"/>
                <w:sz w:val="20"/>
                <w:szCs w:val="20"/>
              </w:rPr>
              <w:t xml:space="preserve">The final score for each observable is the lower of E and S. This is non-negotiable: a criterion where evidence is strong but symbolic character is weak scores the same as one where symbolic character is </w:t>
            </w:r>
            <w:proofErr w:type="gramStart"/>
            <w:r>
              <w:rPr>
                <w:color w:val="000000"/>
                <w:sz w:val="20"/>
                <w:szCs w:val="20"/>
              </w:rPr>
              <w:t>clear</w:t>
            </w:r>
            <w:proofErr w:type="gramEnd"/>
            <w:r>
              <w:rPr>
                <w:color w:val="000000"/>
                <w:sz w:val="20"/>
                <w:szCs w:val="20"/>
              </w:rPr>
              <w:t xml:space="preserve"> but evidence is thin.</w:t>
            </w:r>
          </w:p>
        </w:tc>
      </w:tr>
      <w:tr w:rsidR="00A6415D" w14:paraId="2F492B7F" w14:textId="77777777">
        <w:tc>
          <w:tcPr>
            <w:tcW w:w="4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3A8F104F" w14:textId="77777777" w:rsidR="00A6415D" w:rsidRDefault="00000000">
            <w:pPr>
              <w:jc w:val="center"/>
            </w:pPr>
            <w:r>
              <w:rPr>
                <w:b/>
                <w:bCs/>
                <w:color w:val="000000"/>
                <w:sz w:val="24"/>
                <w:szCs w:val="24"/>
              </w:rPr>
              <w:t>6</w:t>
            </w:r>
          </w:p>
        </w:tc>
        <w:tc>
          <w:tcPr>
            <w:tcW w:w="20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1D718736" w14:textId="77777777" w:rsidR="00A6415D" w:rsidRDefault="00000000">
            <w:r>
              <w:rPr>
                <w:b/>
                <w:bCs/>
                <w:color w:val="000000"/>
                <w:sz w:val="20"/>
                <w:szCs w:val="20"/>
              </w:rPr>
              <w:t>Sum the six min scores</w:t>
            </w:r>
          </w:p>
        </w:tc>
        <w:tc>
          <w:tcPr>
            <w:tcW w:w="68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275CD44C" w14:textId="77777777" w:rsidR="00A6415D" w:rsidRDefault="00000000">
            <w:r>
              <w:rPr>
                <w:color w:val="000000"/>
                <w:sz w:val="20"/>
                <w:szCs w:val="20"/>
              </w:rPr>
              <w:t>Total = sum of all six min(</w:t>
            </w:r>
            <w:proofErr w:type="gramStart"/>
            <w:r>
              <w:rPr>
                <w:color w:val="000000"/>
                <w:sz w:val="20"/>
                <w:szCs w:val="20"/>
              </w:rPr>
              <w:t>E,S</w:t>
            </w:r>
            <w:proofErr w:type="gramEnd"/>
            <w:r>
              <w:rPr>
                <w:color w:val="000000"/>
                <w:sz w:val="20"/>
                <w:szCs w:val="20"/>
              </w:rPr>
              <w:t>) values. Maximum = 12.</w:t>
            </w:r>
          </w:p>
        </w:tc>
      </w:tr>
      <w:tr w:rsidR="00A6415D" w14:paraId="4E418378" w14:textId="77777777">
        <w:tc>
          <w:tcPr>
            <w:tcW w:w="4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25167058" w14:textId="77777777" w:rsidR="00A6415D" w:rsidRDefault="00000000">
            <w:pPr>
              <w:jc w:val="center"/>
            </w:pPr>
            <w:r>
              <w:rPr>
                <w:b/>
                <w:bCs/>
                <w:color w:val="000000"/>
                <w:sz w:val="24"/>
                <w:szCs w:val="24"/>
              </w:rPr>
              <w:t>7</w:t>
            </w:r>
          </w:p>
        </w:tc>
        <w:tc>
          <w:tcPr>
            <w:tcW w:w="20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68E0A533" w14:textId="77777777" w:rsidR="00A6415D" w:rsidRDefault="00000000">
            <w:r>
              <w:rPr>
                <w:b/>
                <w:bCs/>
                <w:color w:val="000000"/>
                <w:sz w:val="20"/>
                <w:szCs w:val="20"/>
              </w:rPr>
              <w:t>Apply the saturation rule</w:t>
            </w:r>
          </w:p>
        </w:tc>
        <w:tc>
          <w:tcPr>
            <w:tcW w:w="68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0D2E8F70" w14:textId="77777777" w:rsidR="00A6415D" w:rsidRDefault="00000000">
            <w:r>
              <w:rPr>
                <w:color w:val="000000"/>
                <w:sz w:val="20"/>
                <w:szCs w:val="20"/>
              </w:rPr>
              <w:t>Saturation = total ≥7 AND no criterion at 0. A zero in any row means the system has a structural absence — it cannot be called fully saturated regardless of total score.</w:t>
            </w:r>
          </w:p>
        </w:tc>
      </w:tr>
      <w:tr w:rsidR="00A6415D" w14:paraId="45FDF2FC" w14:textId="77777777">
        <w:tc>
          <w:tcPr>
            <w:tcW w:w="4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425D6CE2" w14:textId="77777777" w:rsidR="00A6415D" w:rsidRDefault="00000000">
            <w:pPr>
              <w:jc w:val="center"/>
            </w:pPr>
            <w:r>
              <w:rPr>
                <w:b/>
                <w:bCs/>
                <w:color w:val="000000"/>
                <w:sz w:val="24"/>
                <w:szCs w:val="24"/>
              </w:rPr>
              <w:t>8</w:t>
            </w:r>
          </w:p>
        </w:tc>
        <w:tc>
          <w:tcPr>
            <w:tcW w:w="20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1526EF39" w14:textId="77777777" w:rsidR="00A6415D" w:rsidRDefault="00000000">
            <w:r>
              <w:rPr>
                <w:b/>
                <w:bCs/>
                <w:color w:val="000000"/>
                <w:sz w:val="20"/>
                <w:szCs w:val="20"/>
              </w:rPr>
              <w:t>Record your reasoning</w:t>
            </w:r>
          </w:p>
        </w:tc>
        <w:tc>
          <w:tcPr>
            <w:tcW w:w="68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11B41E60" w14:textId="77777777" w:rsidR="00A6415D" w:rsidRDefault="00000000">
            <w:r>
              <w:rPr>
                <w:color w:val="000000"/>
                <w:sz w:val="20"/>
                <w:szCs w:val="20"/>
              </w:rPr>
              <w:t>For every score, note which specific evidence items drove your decision. This is mandatory for any publication — it allows reviewers and future raters to audit your scoring logic.</w:t>
            </w:r>
          </w:p>
        </w:tc>
      </w:tr>
      <w:tr w:rsidR="00A6415D" w14:paraId="60EE6120" w14:textId="77777777">
        <w:tc>
          <w:tcPr>
            <w:tcW w:w="4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3A5F8A89" w14:textId="77777777" w:rsidR="00A6415D" w:rsidRDefault="00000000">
            <w:pPr>
              <w:jc w:val="center"/>
            </w:pPr>
            <w:r>
              <w:rPr>
                <w:b/>
                <w:bCs/>
                <w:color w:val="000000"/>
                <w:sz w:val="24"/>
                <w:szCs w:val="24"/>
              </w:rPr>
              <w:t>9</w:t>
            </w:r>
          </w:p>
        </w:tc>
        <w:tc>
          <w:tcPr>
            <w:tcW w:w="20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7E526D34" w14:textId="77777777" w:rsidR="00A6415D" w:rsidRDefault="00000000">
            <w:r>
              <w:rPr>
                <w:b/>
                <w:bCs/>
                <w:color w:val="000000"/>
                <w:sz w:val="20"/>
                <w:szCs w:val="20"/>
              </w:rPr>
              <w:t>If using optional extensions, note them separately</w:t>
            </w:r>
          </w:p>
        </w:tc>
        <w:tc>
          <w:tcPr>
            <w:tcW w:w="68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3B345003" w14:textId="77777777" w:rsidR="00A6415D" w:rsidRDefault="00000000">
            <w:r>
              <w:rPr>
                <w:color w:val="000000"/>
                <w:sz w:val="20"/>
                <w:szCs w:val="20"/>
              </w:rPr>
              <w:t>Record any EC sub-criteria or capital source flags in an appendix to your scoring sheet. The core 12-point total remains the published score; extensions are supplementary.</w:t>
            </w:r>
          </w:p>
        </w:tc>
      </w:tr>
      <w:tr w:rsidR="00A6415D" w14:paraId="02410BAC" w14:textId="77777777">
        <w:tc>
          <w:tcPr>
            <w:tcW w:w="4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3410E0E4" w14:textId="77777777" w:rsidR="00A6415D" w:rsidRDefault="00000000">
            <w:pPr>
              <w:jc w:val="center"/>
            </w:pPr>
            <w:r>
              <w:rPr>
                <w:b/>
                <w:bCs/>
                <w:color w:val="000000"/>
                <w:sz w:val="24"/>
                <w:szCs w:val="24"/>
              </w:rPr>
              <w:t>10</w:t>
            </w:r>
          </w:p>
        </w:tc>
        <w:tc>
          <w:tcPr>
            <w:tcW w:w="20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0690639F" w14:textId="77777777" w:rsidR="00A6415D" w:rsidRDefault="00000000">
            <w:r>
              <w:rPr>
                <w:b/>
                <w:bCs/>
                <w:color w:val="000000"/>
                <w:sz w:val="20"/>
                <w:szCs w:val="20"/>
              </w:rPr>
              <w:t>Assign the stage diagnostic (optional)</w:t>
            </w:r>
          </w:p>
        </w:tc>
        <w:tc>
          <w:tcPr>
            <w:tcW w:w="68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6C4A879A" w14:textId="77777777" w:rsidR="00A6415D" w:rsidRDefault="00000000">
            <w:r>
              <w:rPr>
                <w:color w:val="000000"/>
                <w:sz w:val="20"/>
                <w:szCs w:val="20"/>
              </w:rPr>
              <w:t xml:space="preserve">See the Stage Diagnostic </w:t>
            </w:r>
            <w:proofErr w:type="gramStart"/>
            <w:r>
              <w:rPr>
                <w:color w:val="000000"/>
                <w:sz w:val="20"/>
                <w:szCs w:val="20"/>
              </w:rPr>
              <w:t>table</w:t>
            </w:r>
            <w:proofErr w:type="gramEnd"/>
            <w:r>
              <w:rPr>
                <w:color w:val="000000"/>
                <w:sz w:val="20"/>
                <w:szCs w:val="20"/>
              </w:rPr>
              <w:t xml:space="preserve"> in Section 7. This converts your score into a DSSM stage assignment. Record as supplementary output, not as a replacement for the numeric score.</w:t>
            </w:r>
          </w:p>
        </w:tc>
      </w:tr>
    </w:tbl>
    <w:p w14:paraId="1469682E" w14:textId="77777777" w:rsidR="00A6415D" w:rsidRDefault="00A6415D">
      <w:pPr>
        <w:spacing w:before="120"/>
      </w:pPr>
    </w:p>
    <w:p w14:paraId="2ACE6403" w14:textId="77777777" w:rsidR="00A6415D" w:rsidRDefault="00000000">
      <w:pPr>
        <w:pStyle w:val="Heading2"/>
      </w:pPr>
      <w:r>
        <w:t>6.4 What to Record</w:t>
      </w:r>
    </w:p>
    <w:p w14:paraId="4ADF9384" w14:textId="77777777" w:rsidR="00A6415D" w:rsidRDefault="00000000">
      <w:pPr>
        <w:spacing w:before="60" w:after="100"/>
        <w:jc w:val="both"/>
      </w:pPr>
      <w:r>
        <w:rPr>
          <w:color w:val="000000"/>
        </w:rPr>
        <w:t>For every criterion, your scoring record must include:</w:t>
      </w:r>
    </w:p>
    <w:p w14:paraId="7E2B1347" w14:textId="77777777" w:rsidR="00A6415D" w:rsidRDefault="00000000">
      <w:pPr>
        <w:pStyle w:val="ListParagraph"/>
        <w:numPr>
          <w:ilvl w:val="0"/>
          <w:numId w:val="2"/>
        </w:numPr>
        <w:spacing w:before="50" w:after="50"/>
      </w:pPr>
      <w:r>
        <w:t>The E score and the specific evidence items that drove it</w:t>
      </w:r>
    </w:p>
    <w:p w14:paraId="558F9350" w14:textId="77777777" w:rsidR="00A6415D" w:rsidRDefault="00000000">
      <w:pPr>
        <w:pStyle w:val="ListParagraph"/>
        <w:numPr>
          <w:ilvl w:val="0"/>
          <w:numId w:val="2"/>
        </w:numPr>
        <w:spacing w:before="50" w:after="50"/>
      </w:pPr>
      <w:r>
        <w:t>The S score and your reasoning for the symbolic specificity assessment</w:t>
      </w:r>
    </w:p>
    <w:p w14:paraId="00133BF5" w14:textId="77777777" w:rsidR="00A6415D" w:rsidRDefault="00000000">
      <w:pPr>
        <w:pStyle w:val="ListParagraph"/>
        <w:numPr>
          <w:ilvl w:val="0"/>
          <w:numId w:val="2"/>
        </w:numPr>
        <w:spacing w:before="50" w:after="50"/>
      </w:pPr>
      <w:r>
        <w:t>The final min(</w:t>
      </w:r>
      <w:proofErr w:type="gramStart"/>
      <w:r>
        <w:t>E,S</w:t>
      </w:r>
      <w:proofErr w:type="gramEnd"/>
      <w:r>
        <w:t>) score</w:t>
      </w:r>
    </w:p>
    <w:p w14:paraId="7CEFDBF3" w14:textId="77777777" w:rsidR="00A6415D" w:rsidRDefault="00000000">
      <w:pPr>
        <w:pStyle w:val="ListParagraph"/>
        <w:numPr>
          <w:ilvl w:val="0"/>
          <w:numId w:val="2"/>
        </w:numPr>
        <w:spacing w:before="50" w:after="50"/>
      </w:pPr>
      <w:r>
        <w:t>A confidence level: High (evidence is unambiguous), Medium (some ambiguity), Low (inferred or indirect)</w:t>
      </w:r>
    </w:p>
    <w:p w14:paraId="18D5F117" w14:textId="77777777" w:rsidR="00A6415D" w:rsidRDefault="00000000">
      <w:pPr>
        <w:spacing w:before="60" w:after="100"/>
        <w:jc w:val="both"/>
      </w:pPr>
      <w:r>
        <w:rPr>
          <w:color w:val="000000"/>
        </w:rPr>
        <w:lastRenderedPageBreak/>
        <w:t>Low-confidence scores are valid — they reflect the state of the evidence, not a scoring error. Record them honestly and note what additional evidence would resolve the uncertainty.</w:t>
      </w:r>
    </w:p>
    <w:p w14:paraId="628ED18D" w14:textId="77777777" w:rsidR="00A6415D" w:rsidRDefault="00A6415D">
      <w:pPr>
        <w:spacing w:before="120"/>
      </w:pPr>
    </w:p>
    <w:p w14:paraId="1C09F208" w14:textId="77777777" w:rsidR="00A6415D" w:rsidRDefault="00000000">
      <w:pPr>
        <w:pStyle w:val="Heading2"/>
      </w:pPr>
      <w:r>
        <w:t>6.5 Common Scoring Errors</w:t>
      </w:r>
    </w:p>
    <w:p w14:paraId="4496CE49" w14:textId="77777777" w:rsidR="00A6415D" w:rsidRDefault="00000000">
      <w:pPr>
        <w:pStyle w:val="ListParagraph"/>
        <w:numPr>
          <w:ilvl w:val="0"/>
          <w:numId w:val="2"/>
        </w:numPr>
        <w:spacing w:before="50" w:after="50"/>
      </w:pPr>
      <w:r>
        <w:t>Conflating E and S: scoring E=2 because the symbolic character is obvious, rather than because the evidence is strong. Keep them separate.</w:t>
      </w:r>
    </w:p>
    <w:p w14:paraId="687494E4" w14:textId="77777777" w:rsidR="00A6415D" w:rsidRDefault="00000000">
      <w:pPr>
        <w:pStyle w:val="ListParagraph"/>
        <w:numPr>
          <w:ilvl w:val="0"/>
          <w:numId w:val="2"/>
        </w:numPr>
        <w:spacing w:before="50" w:after="50"/>
      </w:pPr>
      <w:r>
        <w:t>Leaving a criterion blank instead of scoring it 0: a blank is not the same as a zero and prevents the saturation rule from being applied correctly.</w:t>
      </w:r>
    </w:p>
    <w:p w14:paraId="5B80EEE1" w14:textId="77777777" w:rsidR="00A6415D" w:rsidRDefault="00000000">
      <w:pPr>
        <w:pStyle w:val="ListParagraph"/>
        <w:numPr>
          <w:ilvl w:val="0"/>
          <w:numId w:val="2"/>
        </w:numPr>
        <w:spacing w:before="50" w:after="50"/>
      </w:pPr>
      <w:r>
        <w:t>Treating the total score as the only output: the profile shape — which criteria score high or low — is often as informative as the total.</w:t>
      </w:r>
    </w:p>
    <w:p w14:paraId="7C5917D5" w14:textId="77777777" w:rsidR="00A6415D" w:rsidRDefault="00000000">
      <w:pPr>
        <w:pStyle w:val="ListParagraph"/>
        <w:numPr>
          <w:ilvl w:val="0"/>
          <w:numId w:val="2"/>
        </w:numPr>
        <w:spacing w:before="50" w:after="50"/>
      </w:pPr>
      <w:r>
        <w:t>Applying the framework to the wrong unit: the FCP scores a symbolic system, not a ruler, a site, or a culture. Define your unit before scoring.</w:t>
      </w:r>
    </w:p>
    <w:p w14:paraId="00F44E61" w14:textId="77777777" w:rsidR="00A6415D" w:rsidRDefault="00A6415D">
      <w:pPr>
        <w:pBdr>
          <w:bottom w:val="single" w:sz="3" w:space="1" w:color="CCCCCC"/>
        </w:pBdr>
        <w:spacing w:before="200" w:after="200"/>
      </w:pPr>
    </w:p>
    <w:p w14:paraId="376F866D" w14:textId="77777777" w:rsidR="00A6415D" w:rsidRDefault="00000000">
      <w:r>
        <w:br w:type="page"/>
      </w:r>
    </w:p>
    <w:p w14:paraId="4C84DD5D" w14:textId="77777777" w:rsidR="00A6415D" w:rsidRDefault="00000000">
      <w:pPr>
        <w:pStyle w:val="Heading1"/>
      </w:pPr>
      <w:r>
        <w:lastRenderedPageBreak/>
        <w:t xml:space="preserve">7. Regional and Contextual </w:t>
      </w:r>
      <w:proofErr w:type="gramStart"/>
      <w:r>
        <w:t>Extensions</w:t>
      </w:r>
      <w:r>
        <w:rPr>
          <w:b w:val="0"/>
          <w:bCs w:val="0"/>
          <w:i/>
          <w:iCs/>
          <w:color w:val="7B1FA2"/>
          <w:sz w:val="24"/>
          <w:szCs w:val="24"/>
        </w:rPr>
        <w:t xml:space="preserve">  [</w:t>
      </w:r>
      <w:proofErr w:type="gramEnd"/>
      <w:r>
        <w:rPr>
          <w:b w:val="0"/>
          <w:bCs w:val="0"/>
          <w:i/>
          <w:iCs/>
          <w:color w:val="7B1FA2"/>
          <w:sz w:val="24"/>
          <w:szCs w:val="24"/>
        </w:rPr>
        <w:t>v1.1]</w:t>
      </w:r>
    </w:p>
    <w:p w14:paraId="202D0EF4" w14:textId="77777777" w:rsidR="00A6415D" w:rsidRDefault="00000000">
      <w:pPr>
        <w:pBdr>
          <w:top w:val="single" w:sz="3" w:space="4" w:color="7B1FA2"/>
          <w:left w:val="thick" w:sz="12" w:space="4" w:color="7B1FA2"/>
          <w:bottom w:val="single" w:sz="3" w:space="4" w:color="7B1FA2"/>
          <w:right w:val="single" w:sz="3" w:space="4" w:color="7B1FA2"/>
        </w:pBdr>
        <w:spacing w:before="100" w:after="100"/>
        <w:ind w:left="360" w:right="360"/>
      </w:pPr>
      <w:r>
        <w:rPr>
          <w:i/>
          <w:iCs/>
          <w:color w:val="4A148C"/>
          <w:sz w:val="20"/>
          <w:szCs w:val="20"/>
        </w:rPr>
        <w:t>New in v1.1. All extensions are optional supplements to the core FCP. They do not replace or modify the six core criteria or the 12-point total. Papers scored against v1.0 do not require revision.</w:t>
      </w:r>
    </w:p>
    <w:p w14:paraId="7BA37C21" w14:textId="77777777" w:rsidR="00A6415D" w:rsidRDefault="00A6415D">
      <w:pPr>
        <w:spacing w:before="120"/>
      </w:pPr>
    </w:p>
    <w:p w14:paraId="49DE07DB" w14:textId="77777777" w:rsidR="00A6415D" w:rsidRDefault="00000000">
      <w:pPr>
        <w:spacing w:before="60" w:after="100"/>
        <w:jc w:val="both"/>
      </w:pPr>
      <w:r>
        <w:rPr>
          <w:color w:val="000000"/>
        </w:rPr>
        <w:t>The six core FCP criteria are universal baselines designed to apply across all regions, periods, and social scales. In practice, certain evidence types, regional patterns, or analytical situations create interpretive challenges that the core criteria do not fully resolve. This section provides optional extensions that a researcher may apply when the situation warrants.</w:t>
      </w:r>
    </w:p>
    <w:p w14:paraId="65E03ECA" w14:textId="77777777" w:rsidR="00A6415D" w:rsidRDefault="00000000">
      <w:pPr>
        <w:spacing w:before="60" w:after="100"/>
        <w:jc w:val="both"/>
      </w:pPr>
      <w:r>
        <w:rPr>
          <w:color w:val="000000"/>
        </w:rPr>
        <w:t>Extensions are recorded as supplementary fields alongside the standard scoring sheet. They do not affect the published FCP total. When used, they should be cited as: "FCP scored per Vondoom (2026), with regional extensions per Vondoom (2026, Section 7)."</w:t>
      </w:r>
    </w:p>
    <w:p w14:paraId="66D5AA3D" w14:textId="77777777" w:rsidR="00A6415D" w:rsidRDefault="00A6415D">
      <w:pPr>
        <w:spacing w:before="120"/>
      </w:pPr>
    </w:p>
    <w:p w14:paraId="2DF0E4B7" w14:textId="77777777" w:rsidR="00A6415D" w:rsidRDefault="00000000">
      <w:pPr>
        <w:pStyle w:val="Heading2"/>
      </w:pPr>
      <w:r>
        <w:t>7.1 When to Apply Extensions</w:t>
      </w:r>
    </w:p>
    <w:p w14:paraId="0D83124E" w14:textId="77777777" w:rsidR="00A6415D" w:rsidRDefault="00A6415D">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2400"/>
        <w:gridCol w:w="2960"/>
        <w:gridCol w:w="2000"/>
      </w:tblGrid>
      <w:tr w:rsidR="00A6415D" w14:paraId="1A0D93EF" w14:textId="77777777">
        <w:trPr>
          <w:tblHeader/>
        </w:trPr>
        <w:tc>
          <w:tcPr>
            <w:tcW w:w="200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7861FB4C" w14:textId="77777777" w:rsidR="00A6415D" w:rsidRDefault="00000000">
            <w:r>
              <w:rPr>
                <w:b/>
                <w:bCs/>
                <w:color w:val="FFFFFF"/>
                <w:sz w:val="20"/>
                <w:szCs w:val="20"/>
              </w:rPr>
              <w:t>Situation</w:t>
            </w:r>
          </w:p>
        </w:tc>
        <w:tc>
          <w:tcPr>
            <w:tcW w:w="240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61F27EF4" w14:textId="77777777" w:rsidR="00A6415D" w:rsidRDefault="00000000">
            <w:r>
              <w:rPr>
                <w:b/>
                <w:bCs/>
                <w:color w:val="FFFFFF"/>
                <w:sz w:val="20"/>
                <w:szCs w:val="20"/>
              </w:rPr>
              <w:t>Relevant extension</w:t>
            </w:r>
          </w:p>
        </w:tc>
        <w:tc>
          <w:tcPr>
            <w:tcW w:w="296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2EFD4982" w14:textId="77777777" w:rsidR="00A6415D" w:rsidRDefault="00000000">
            <w:r>
              <w:rPr>
                <w:b/>
                <w:bCs/>
                <w:color w:val="FFFFFF"/>
                <w:sz w:val="20"/>
                <w:szCs w:val="20"/>
              </w:rPr>
              <w:t>What to do</w:t>
            </w:r>
          </w:p>
        </w:tc>
        <w:tc>
          <w:tcPr>
            <w:tcW w:w="200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45F9C529" w14:textId="77777777" w:rsidR="00A6415D" w:rsidRDefault="00000000">
            <w:r>
              <w:rPr>
                <w:b/>
                <w:bCs/>
                <w:color w:val="FFFFFF"/>
                <w:sz w:val="20"/>
                <w:szCs w:val="20"/>
              </w:rPr>
              <w:t>Applicable regions / periods</w:t>
            </w:r>
          </w:p>
        </w:tc>
      </w:tr>
      <w:tr w:rsidR="00A6415D" w14:paraId="359EB8E3" w14:textId="77777777">
        <w:tc>
          <w:tcPr>
            <w:tcW w:w="20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15F0E9BB" w14:textId="77777777" w:rsidR="00A6415D" w:rsidRDefault="00000000">
            <w:r>
              <w:rPr>
                <w:b/>
                <w:bCs/>
                <w:color w:val="000000"/>
                <w:sz w:val="20"/>
                <w:szCs w:val="20"/>
              </w:rPr>
              <w:t>Writing is absent but material accounting systems are documented</w:t>
            </w:r>
          </w:p>
        </w:tc>
        <w:tc>
          <w:tcPr>
            <w:tcW w:w="24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56435D5C" w14:textId="77777777" w:rsidR="00A6415D" w:rsidRPr="003E53A8" w:rsidRDefault="00000000">
            <w:pPr>
              <w:rPr>
                <w:lang w:val="it-IT"/>
              </w:rPr>
            </w:pPr>
            <w:r w:rsidRPr="003E53A8">
              <w:rPr>
                <w:color w:val="000000"/>
                <w:sz w:val="20"/>
                <w:szCs w:val="20"/>
                <w:lang w:val="it-IT"/>
              </w:rPr>
              <w:t>EC sub-</w:t>
            </w:r>
            <w:proofErr w:type="spellStart"/>
            <w:r w:rsidRPr="003E53A8">
              <w:rPr>
                <w:color w:val="000000"/>
                <w:sz w:val="20"/>
                <w:szCs w:val="20"/>
                <w:lang w:val="it-IT"/>
              </w:rPr>
              <w:t>criteria</w:t>
            </w:r>
            <w:proofErr w:type="spellEnd"/>
            <w:r w:rsidRPr="003E53A8">
              <w:rPr>
                <w:color w:val="000000"/>
                <w:sz w:val="20"/>
                <w:szCs w:val="20"/>
                <w:lang w:val="it-IT"/>
              </w:rPr>
              <w:t xml:space="preserve"> (EC-1 / EC-2)</w:t>
            </w:r>
          </w:p>
        </w:tc>
        <w:tc>
          <w:tcPr>
            <w:tcW w:w="296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716175A0" w14:textId="77777777" w:rsidR="00A6415D" w:rsidRDefault="00000000">
            <w:r>
              <w:rPr>
                <w:color w:val="000000"/>
                <w:sz w:val="20"/>
                <w:szCs w:val="20"/>
              </w:rPr>
              <w:t xml:space="preserve">Score EC-1 (material records) and EC-2 (symbolic encoding) separately. Final EC = </w:t>
            </w:r>
            <w:proofErr w:type="gramStart"/>
            <w:r>
              <w:rPr>
                <w:color w:val="000000"/>
                <w:sz w:val="20"/>
                <w:szCs w:val="20"/>
              </w:rPr>
              <w:t>min(</w:t>
            </w:r>
            <w:proofErr w:type="gramEnd"/>
            <w:r>
              <w:rPr>
                <w:color w:val="000000"/>
                <w:sz w:val="20"/>
                <w:szCs w:val="20"/>
              </w:rPr>
              <w:t xml:space="preserve">EC-1, EC-2). This prevents a pre-literate society from being </w:t>
            </w:r>
            <w:proofErr w:type="spellStart"/>
            <w:r>
              <w:rPr>
                <w:color w:val="000000"/>
                <w:sz w:val="20"/>
                <w:szCs w:val="20"/>
              </w:rPr>
              <w:t>penalised</w:t>
            </w:r>
            <w:proofErr w:type="spellEnd"/>
            <w:r>
              <w:rPr>
                <w:color w:val="000000"/>
                <w:sz w:val="20"/>
                <w:szCs w:val="20"/>
              </w:rPr>
              <w:t xml:space="preserve"> for the absence of a technology it did not need.</w:t>
            </w:r>
          </w:p>
        </w:tc>
        <w:tc>
          <w:tcPr>
            <w:tcW w:w="20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42EA67D9" w14:textId="77777777" w:rsidR="00A6415D" w:rsidRDefault="00000000">
            <w:r>
              <w:rPr>
                <w:i/>
                <w:iCs/>
                <w:color w:val="000000"/>
                <w:sz w:val="18"/>
                <w:szCs w:val="18"/>
              </w:rPr>
              <w:t xml:space="preserve">Indus Valley, pre-writing Mesopotamia, </w:t>
            </w:r>
            <w:proofErr w:type="spellStart"/>
            <w:r>
              <w:rPr>
                <w:i/>
                <w:iCs/>
                <w:color w:val="000000"/>
                <w:sz w:val="18"/>
                <w:szCs w:val="18"/>
              </w:rPr>
              <w:t>Çatalhöyük</w:t>
            </w:r>
            <w:proofErr w:type="spellEnd"/>
            <w:r>
              <w:rPr>
                <w:i/>
                <w:iCs/>
                <w:color w:val="000000"/>
                <w:sz w:val="18"/>
                <w:szCs w:val="18"/>
              </w:rPr>
              <w:t>, Neolithic Europe, pre-contact Pacific</w:t>
            </w:r>
          </w:p>
        </w:tc>
      </w:tr>
      <w:tr w:rsidR="00A6415D" w:rsidRPr="004E3B54" w14:paraId="02E47C96" w14:textId="77777777">
        <w:tc>
          <w:tcPr>
            <w:tcW w:w="20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2527BA21" w14:textId="77777777" w:rsidR="00A6415D" w:rsidRDefault="00000000">
            <w:r>
              <w:rPr>
                <w:b/>
                <w:bCs/>
                <w:color w:val="000000"/>
                <w:sz w:val="20"/>
                <w:szCs w:val="20"/>
              </w:rPr>
              <w:t>A candidate script exists but is undeciphered</w:t>
            </w:r>
          </w:p>
        </w:tc>
        <w:tc>
          <w:tcPr>
            <w:tcW w:w="24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001C396B" w14:textId="77777777" w:rsidR="00A6415D" w:rsidRPr="003E53A8" w:rsidRDefault="00000000">
            <w:pPr>
              <w:rPr>
                <w:lang w:val="it-IT"/>
              </w:rPr>
            </w:pPr>
            <w:r w:rsidRPr="003E53A8">
              <w:rPr>
                <w:color w:val="000000"/>
                <w:sz w:val="20"/>
                <w:szCs w:val="20"/>
                <w:lang w:val="it-IT"/>
              </w:rPr>
              <w:t>EC sub-</w:t>
            </w:r>
            <w:proofErr w:type="spellStart"/>
            <w:r w:rsidRPr="003E53A8">
              <w:rPr>
                <w:color w:val="000000"/>
                <w:sz w:val="20"/>
                <w:szCs w:val="20"/>
                <w:lang w:val="it-IT"/>
              </w:rPr>
              <w:t>criteria</w:t>
            </w:r>
            <w:proofErr w:type="spellEnd"/>
            <w:r w:rsidRPr="003E53A8">
              <w:rPr>
                <w:color w:val="000000"/>
                <w:sz w:val="20"/>
                <w:szCs w:val="20"/>
                <w:lang w:val="it-IT"/>
              </w:rPr>
              <w:t xml:space="preserve"> (EC-2 conservative scoring)</w:t>
            </w:r>
          </w:p>
        </w:tc>
        <w:tc>
          <w:tcPr>
            <w:tcW w:w="296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55D35E8A" w14:textId="77777777" w:rsidR="00A6415D" w:rsidRDefault="00000000">
            <w:r>
              <w:rPr>
                <w:color w:val="000000"/>
                <w:sz w:val="20"/>
                <w:szCs w:val="20"/>
              </w:rPr>
              <w:t>Score EC-2 = E maximum 1 until decipherment is confirmed. Note explicitly in scoring record that the score is contingent. If decipherment is later confirmed, the score may be revised in a follow-up paper.</w:t>
            </w:r>
          </w:p>
        </w:tc>
        <w:tc>
          <w:tcPr>
            <w:tcW w:w="20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28DEB578" w14:textId="77777777" w:rsidR="00A6415D" w:rsidRPr="003E53A8" w:rsidRDefault="00000000">
            <w:pPr>
              <w:rPr>
                <w:lang w:val="it-IT"/>
              </w:rPr>
            </w:pPr>
            <w:r w:rsidRPr="003E53A8">
              <w:rPr>
                <w:i/>
                <w:iCs/>
                <w:color w:val="000000"/>
                <w:sz w:val="18"/>
                <w:szCs w:val="18"/>
                <w:lang w:val="it-IT"/>
              </w:rPr>
              <w:t xml:space="preserve">Rapa </w:t>
            </w:r>
            <w:proofErr w:type="spellStart"/>
            <w:r w:rsidRPr="003E53A8">
              <w:rPr>
                <w:i/>
                <w:iCs/>
                <w:color w:val="000000"/>
                <w:sz w:val="18"/>
                <w:szCs w:val="18"/>
                <w:lang w:val="it-IT"/>
              </w:rPr>
              <w:t>Nui</w:t>
            </w:r>
            <w:proofErr w:type="spellEnd"/>
            <w:r w:rsidRPr="003E53A8">
              <w:rPr>
                <w:i/>
                <w:iCs/>
                <w:color w:val="000000"/>
                <w:sz w:val="18"/>
                <w:szCs w:val="18"/>
                <w:lang w:val="it-IT"/>
              </w:rPr>
              <w:t xml:space="preserve"> (</w:t>
            </w:r>
            <w:proofErr w:type="spellStart"/>
            <w:r w:rsidRPr="003E53A8">
              <w:rPr>
                <w:i/>
                <w:iCs/>
                <w:color w:val="000000"/>
                <w:sz w:val="18"/>
                <w:szCs w:val="18"/>
                <w:lang w:val="it-IT"/>
              </w:rPr>
              <w:t>Rongorongo</w:t>
            </w:r>
            <w:proofErr w:type="spellEnd"/>
            <w:r w:rsidRPr="003E53A8">
              <w:rPr>
                <w:i/>
                <w:iCs/>
                <w:color w:val="000000"/>
                <w:sz w:val="18"/>
                <w:szCs w:val="18"/>
                <w:lang w:val="it-IT"/>
              </w:rPr>
              <w:t xml:space="preserve">), </w:t>
            </w:r>
            <w:proofErr w:type="spellStart"/>
            <w:r w:rsidRPr="003E53A8">
              <w:rPr>
                <w:i/>
                <w:iCs/>
                <w:color w:val="000000"/>
                <w:sz w:val="18"/>
                <w:szCs w:val="18"/>
                <w:lang w:val="it-IT"/>
              </w:rPr>
              <w:t>Indus</w:t>
            </w:r>
            <w:proofErr w:type="spellEnd"/>
            <w:r w:rsidRPr="003E53A8">
              <w:rPr>
                <w:i/>
                <w:iCs/>
                <w:color w:val="000000"/>
                <w:sz w:val="18"/>
                <w:szCs w:val="18"/>
                <w:lang w:val="it-IT"/>
              </w:rPr>
              <w:t xml:space="preserve"> script, Proto-Elamite, Linear A</w:t>
            </w:r>
          </w:p>
        </w:tc>
      </w:tr>
      <w:tr w:rsidR="00A6415D" w14:paraId="04878F7B" w14:textId="77777777">
        <w:tc>
          <w:tcPr>
            <w:tcW w:w="20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128C3E9E" w14:textId="77777777" w:rsidR="00A6415D" w:rsidRDefault="00000000">
            <w:r>
              <w:rPr>
                <w:b/>
                <w:bCs/>
                <w:color w:val="000000"/>
                <w:sz w:val="20"/>
                <w:szCs w:val="20"/>
              </w:rPr>
              <w:t>The subject is maintaining or deploying an inherited system rather than building a new one</w:t>
            </w:r>
          </w:p>
        </w:tc>
        <w:tc>
          <w:tcPr>
            <w:tcW w:w="24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294AE8C0" w14:textId="77777777" w:rsidR="00A6415D" w:rsidRDefault="00000000">
            <w:r>
              <w:rPr>
                <w:color w:val="000000"/>
                <w:sz w:val="20"/>
                <w:szCs w:val="20"/>
              </w:rPr>
              <w:t>Capital Source flag (B/M/I)</w:t>
            </w:r>
          </w:p>
        </w:tc>
        <w:tc>
          <w:tcPr>
            <w:tcW w:w="296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39CFE4D1" w14:textId="77777777" w:rsidR="00A6415D" w:rsidRDefault="00000000">
            <w:r>
              <w:rPr>
                <w:color w:val="000000"/>
                <w:sz w:val="20"/>
                <w:szCs w:val="20"/>
              </w:rPr>
              <w:t>Assign the appropriate flag. Record in the supplementary field on the scoring sheet. Do not adjust the FCP total — the flag is interpretive, not scoring.</w:t>
            </w:r>
          </w:p>
        </w:tc>
        <w:tc>
          <w:tcPr>
            <w:tcW w:w="20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778A024F" w14:textId="77777777" w:rsidR="00A6415D" w:rsidRDefault="00000000">
            <w:r>
              <w:rPr>
                <w:i/>
                <w:iCs/>
                <w:color w:val="000000"/>
                <w:sz w:val="18"/>
                <w:szCs w:val="18"/>
              </w:rPr>
              <w:t>Late-period rulers, colonial-era administrations, successor dynasties</w:t>
            </w:r>
          </w:p>
        </w:tc>
      </w:tr>
      <w:tr w:rsidR="00A6415D" w14:paraId="61B1C7A3" w14:textId="77777777">
        <w:tc>
          <w:tcPr>
            <w:tcW w:w="20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5F98220C" w14:textId="77777777" w:rsidR="00A6415D" w:rsidRDefault="00000000">
            <w:r>
              <w:rPr>
                <w:b/>
                <w:bCs/>
                <w:color w:val="000000"/>
                <w:sz w:val="20"/>
                <w:szCs w:val="20"/>
              </w:rPr>
              <w:t xml:space="preserve">The symbolic system is household-distributed with </w:t>
            </w:r>
            <w:r>
              <w:rPr>
                <w:b/>
                <w:bCs/>
                <w:color w:val="000000"/>
                <w:sz w:val="20"/>
                <w:szCs w:val="20"/>
              </w:rPr>
              <w:lastRenderedPageBreak/>
              <w:t>no identifiable central authority</w:t>
            </w:r>
          </w:p>
        </w:tc>
        <w:tc>
          <w:tcPr>
            <w:tcW w:w="24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6A5F0152" w14:textId="77777777" w:rsidR="00A6415D" w:rsidRDefault="00000000">
            <w:r>
              <w:rPr>
                <w:color w:val="000000"/>
                <w:sz w:val="20"/>
                <w:szCs w:val="20"/>
              </w:rPr>
              <w:lastRenderedPageBreak/>
              <w:t>Symbolic Regulation scoring guidance</w:t>
            </w:r>
          </w:p>
        </w:tc>
        <w:tc>
          <w:tcPr>
            <w:tcW w:w="296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59C29442" w14:textId="77777777" w:rsidR="00A6415D" w:rsidRDefault="00000000">
            <w:r>
              <w:rPr>
                <w:color w:val="000000"/>
                <w:sz w:val="20"/>
                <w:szCs w:val="20"/>
              </w:rPr>
              <w:t xml:space="preserve">Score Symbolic Regulation = 0 if no evidence of </w:t>
            </w:r>
            <w:proofErr w:type="spellStart"/>
            <w:r>
              <w:rPr>
                <w:color w:val="000000"/>
                <w:sz w:val="20"/>
                <w:szCs w:val="20"/>
              </w:rPr>
              <w:t>suprahousehold</w:t>
            </w:r>
            <w:proofErr w:type="spellEnd"/>
            <w:r>
              <w:rPr>
                <w:color w:val="000000"/>
                <w:sz w:val="20"/>
                <w:szCs w:val="20"/>
              </w:rPr>
              <w:t xml:space="preserve"> control over symbolic production. Do not infer regulation from </w:t>
            </w:r>
            <w:r>
              <w:rPr>
                <w:color w:val="000000"/>
                <w:sz w:val="20"/>
                <w:szCs w:val="20"/>
              </w:rPr>
              <w:lastRenderedPageBreak/>
              <w:t>consistency alone — consistent practice can emerge without top-down control. Note the distinction in your reasoning column.</w:t>
            </w:r>
          </w:p>
        </w:tc>
        <w:tc>
          <w:tcPr>
            <w:tcW w:w="20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18BE9048" w14:textId="77777777" w:rsidR="00A6415D" w:rsidRDefault="00000000">
            <w:r>
              <w:rPr>
                <w:i/>
                <w:iCs/>
                <w:color w:val="000000"/>
                <w:sz w:val="18"/>
                <w:szCs w:val="18"/>
              </w:rPr>
              <w:lastRenderedPageBreak/>
              <w:t xml:space="preserve">Neolithic Europe, </w:t>
            </w:r>
            <w:proofErr w:type="spellStart"/>
            <w:r>
              <w:rPr>
                <w:i/>
                <w:iCs/>
                <w:color w:val="000000"/>
                <w:sz w:val="18"/>
                <w:szCs w:val="18"/>
              </w:rPr>
              <w:t>Çatalhöyük</w:t>
            </w:r>
            <w:proofErr w:type="spellEnd"/>
            <w:r>
              <w:rPr>
                <w:i/>
                <w:iCs/>
                <w:color w:val="000000"/>
                <w:sz w:val="18"/>
                <w:szCs w:val="18"/>
              </w:rPr>
              <w:t>, early Mesoamerican villages, Australian Aboriginal societies</w:t>
            </w:r>
          </w:p>
        </w:tc>
      </w:tr>
      <w:tr w:rsidR="00A6415D" w14:paraId="166AAD3B" w14:textId="77777777">
        <w:tc>
          <w:tcPr>
            <w:tcW w:w="20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7C449BDE" w14:textId="77777777" w:rsidR="00A6415D" w:rsidRDefault="00000000">
            <w:r>
              <w:rPr>
                <w:b/>
                <w:bCs/>
                <w:color w:val="000000"/>
                <w:sz w:val="20"/>
                <w:szCs w:val="20"/>
              </w:rPr>
              <w:t>The case covers a very long period (500+ years) with multiple sub-phases</w:t>
            </w:r>
          </w:p>
        </w:tc>
        <w:tc>
          <w:tcPr>
            <w:tcW w:w="24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6F1C83D0" w14:textId="77777777" w:rsidR="00A6415D" w:rsidRDefault="00000000">
            <w:r>
              <w:rPr>
                <w:color w:val="000000"/>
                <w:sz w:val="20"/>
                <w:szCs w:val="20"/>
              </w:rPr>
              <w:t>Period segmentation</w:t>
            </w:r>
          </w:p>
        </w:tc>
        <w:tc>
          <w:tcPr>
            <w:tcW w:w="296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33F9BF9E" w14:textId="77777777" w:rsidR="00A6415D" w:rsidRDefault="00000000">
            <w:r>
              <w:rPr>
                <w:color w:val="000000"/>
                <w:sz w:val="20"/>
                <w:szCs w:val="20"/>
              </w:rPr>
              <w:t xml:space="preserve">Consider scoring the case at its peak rather than across the full </w:t>
            </w:r>
            <w:proofErr w:type="gramStart"/>
            <w:r>
              <w:rPr>
                <w:color w:val="000000"/>
                <w:sz w:val="20"/>
                <w:szCs w:val="20"/>
              </w:rPr>
              <w:t>span, or</w:t>
            </w:r>
            <w:proofErr w:type="gramEnd"/>
            <w:r>
              <w:rPr>
                <w:color w:val="000000"/>
                <w:sz w:val="20"/>
                <w:szCs w:val="20"/>
              </w:rPr>
              <w:t xml:space="preserve"> score separately by phase and report the trajectory. A system that reaches Stage 4 at peak and collapses is a different analytical object from one that maintains Stage 4 continuously.</w:t>
            </w:r>
          </w:p>
        </w:tc>
        <w:tc>
          <w:tcPr>
            <w:tcW w:w="200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0F38F063" w14:textId="77777777" w:rsidR="00A6415D" w:rsidRDefault="00000000">
            <w:r>
              <w:rPr>
                <w:i/>
                <w:iCs/>
                <w:color w:val="000000"/>
                <w:sz w:val="18"/>
                <w:szCs w:val="18"/>
              </w:rPr>
              <w:t>Old Kingdom Egypt (Dynasties 3–6), Mesopotamia (</w:t>
            </w:r>
            <w:proofErr w:type="spellStart"/>
            <w:r>
              <w:rPr>
                <w:i/>
                <w:iCs/>
                <w:color w:val="000000"/>
                <w:sz w:val="18"/>
                <w:szCs w:val="18"/>
              </w:rPr>
              <w:t>Uruk</w:t>
            </w:r>
            <w:proofErr w:type="spellEnd"/>
            <w:r>
              <w:rPr>
                <w:i/>
                <w:iCs/>
                <w:color w:val="000000"/>
                <w:sz w:val="18"/>
                <w:szCs w:val="18"/>
              </w:rPr>
              <w:t>–Akkadian), Mesoamerica (Olmec–Classic Maya)</w:t>
            </w:r>
          </w:p>
        </w:tc>
      </w:tr>
      <w:tr w:rsidR="00A6415D" w14:paraId="210A04DF" w14:textId="77777777">
        <w:tc>
          <w:tcPr>
            <w:tcW w:w="20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15846ACE" w14:textId="77777777" w:rsidR="00A6415D" w:rsidRDefault="00000000">
            <w:r>
              <w:rPr>
                <w:b/>
                <w:bCs/>
                <w:color w:val="000000"/>
                <w:sz w:val="20"/>
                <w:szCs w:val="20"/>
              </w:rPr>
              <w:t>The symbolic system is primarily oral or performative with limited material trace</w:t>
            </w:r>
          </w:p>
        </w:tc>
        <w:tc>
          <w:tcPr>
            <w:tcW w:w="24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1402276C" w14:textId="77777777" w:rsidR="00A6415D" w:rsidRDefault="00000000">
            <w:r>
              <w:rPr>
                <w:color w:val="000000"/>
                <w:sz w:val="20"/>
                <w:szCs w:val="20"/>
              </w:rPr>
              <w:t>Evidence Strength scoring guidance</w:t>
            </w:r>
          </w:p>
        </w:tc>
        <w:tc>
          <w:tcPr>
            <w:tcW w:w="296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31AF11C2" w14:textId="77777777" w:rsidR="00A6415D" w:rsidRDefault="00000000">
            <w:r>
              <w:rPr>
                <w:color w:val="000000"/>
                <w:sz w:val="20"/>
                <w:szCs w:val="20"/>
              </w:rPr>
              <w:t>Score E conservatively — oral systems leave indirect material traces at best. S may legitimately exceed E in these cases. Note explicitly that the E score reflects preservation bias, not the absence of a symbolic system.</w:t>
            </w:r>
          </w:p>
        </w:tc>
        <w:tc>
          <w:tcPr>
            <w:tcW w:w="200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244909CF" w14:textId="77777777" w:rsidR="00A6415D" w:rsidRDefault="00000000">
            <w:r>
              <w:rPr>
                <w:i/>
                <w:iCs/>
                <w:color w:val="000000"/>
                <w:sz w:val="18"/>
                <w:szCs w:val="18"/>
              </w:rPr>
              <w:t>Sub-Saharan Africa, early Pacific societies, prehistoric Europe before monumental construction</w:t>
            </w:r>
          </w:p>
        </w:tc>
      </w:tr>
    </w:tbl>
    <w:p w14:paraId="18699B1B" w14:textId="77777777" w:rsidR="00A6415D" w:rsidRDefault="00A6415D">
      <w:pPr>
        <w:spacing w:before="120"/>
      </w:pPr>
    </w:p>
    <w:p w14:paraId="26702836" w14:textId="77777777" w:rsidR="00A6415D" w:rsidRDefault="00000000">
      <w:pPr>
        <w:pStyle w:val="Heading2"/>
      </w:pPr>
      <w:r>
        <w:t>7.2 Externalized Cognition Sub-Criteria (EC-1 / EC-2)</w:t>
      </w:r>
    </w:p>
    <w:p w14:paraId="37C36B72" w14:textId="77777777" w:rsidR="00A6415D" w:rsidRDefault="00000000">
      <w:pPr>
        <w:spacing w:before="60" w:after="100"/>
        <w:jc w:val="both"/>
      </w:pPr>
      <w:r>
        <w:rPr>
          <w:color w:val="000000"/>
        </w:rPr>
        <w:t>The core Externalized Cognition criterion covers the full range from tally marks to writing systems. In cases where the distinction between material record-keeping and symbolic encoding is analytically significant — particularly when one is present and the other absent or uncertain — the following sub-criteria may be applied.</w:t>
      </w:r>
    </w:p>
    <w:p w14:paraId="5EFDC75C" w14:textId="77777777" w:rsidR="00A6415D" w:rsidRDefault="00A6415D">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05"/>
        <w:gridCol w:w="3993"/>
        <w:gridCol w:w="2239"/>
        <w:gridCol w:w="2023"/>
      </w:tblGrid>
      <w:tr w:rsidR="00A6415D" w14:paraId="5E3997C9" w14:textId="77777777">
        <w:trPr>
          <w:tblHeader/>
        </w:trPr>
        <w:tc>
          <w:tcPr>
            <w:tcW w:w="120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48D5F12F" w14:textId="77777777" w:rsidR="00A6415D" w:rsidRDefault="00000000">
            <w:r>
              <w:rPr>
                <w:b/>
                <w:bCs/>
                <w:color w:val="FFFFFF"/>
                <w:sz w:val="20"/>
                <w:szCs w:val="20"/>
              </w:rPr>
              <w:t>Sub-criterion</w:t>
            </w:r>
          </w:p>
        </w:tc>
        <w:tc>
          <w:tcPr>
            <w:tcW w:w="200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52926CF8" w14:textId="77777777" w:rsidR="00A6415D" w:rsidRDefault="00000000">
            <w:r>
              <w:rPr>
                <w:b/>
                <w:bCs/>
                <w:color w:val="FFFFFF"/>
                <w:sz w:val="20"/>
                <w:szCs w:val="20"/>
              </w:rPr>
              <w:t>Label</w:t>
            </w:r>
          </w:p>
        </w:tc>
        <w:tc>
          <w:tcPr>
            <w:tcW w:w="336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566B3837" w14:textId="77777777" w:rsidR="00A6415D" w:rsidRDefault="00000000">
            <w:r>
              <w:rPr>
                <w:b/>
                <w:bCs/>
                <w:color w:val="FFFFFF"/>
                <w:sz w:val="20"/>
                <w:szCs w:val="20"/>
              </w:rPr>
              <w:t>What to look for</w:t>
            </w:r>
          </w:p>
        </w:tc>
        <w:tc>
          <w:tcPr>
            <w:tcW w:w="280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6A5872D0" w14:textId="77777777" w:rsidR="00A6415D" w:rsidRDefault="00000000">
            <w:r>
              <w:rPr>
                <w:b/>
                <w:bCs/>
                <w:color w:val="FFFFFF"/>
                <w:sz w:val="20"/>
                <w:szCs w:val="20"/>
              </w:rPr>
              <w:t>When to apply</w:t>
            </w:r>
          </w:p>
        </w:tc>
      </w:tr>
      <w:tr w:rsidR="00A6415D" w14:paraId="14A899EF" w14:textId="77777777">
        <w:tc>
          <w:tcPr>
            <w:tcW w:w="1200" w:type="dxa"/>
            <w:tcBorders>
              <w:top w:val="single" w:sz="1" w:space="0" w:color="BBBBBB"/>
              <w:left w:val="single" w:sz="1" w:space="0" w:color="BBBBBB"/>
              <w:bottom w:val="single" w:sz="1" w:space="0" w:color="BBBBBB"/>
              <w:right w:val="single" w:sz="1" w:space="0" w:color="BBBBBB"/>
            </w:tcBorders>
            <w:shd w:val="clear" w:color="auto" w:fill="EDE7F6"/>
            <w:tcMar>
              <w:top w:w="90" w:type="dxa"/>
              <w:left w:w="120" w:type="dxa"/>
              <w:bottom w:w="90" w:type="dxa"/>
              <w:right w:w="120" w:type="dxa"/>
            </w:tcMar>
            <w:vAlign w:val="center"/>
          </w:tcPr>
          <w:p w14:paraId="6280EE62" w14:textId="77777777" w:rsidR="00A6415D" w:rsidRDefault="00000000">
            <w:r>
              <w:rPr>
                <w:b/>
                <w:bCs/>
                <w:color w:val="000000"/>
                <w:sz w:val="20"/>
                <w:szCs w:val="20"/>
              </w:rPr>
              <w:t>EC-1</w:t>
            </w:r>
          </w:p>
        </w:tc>
        <w:tc>
          <w:tcPr>
            <w:tcW w:w="2000" w:type="dxa"/>
            <w:tcBorders>
              <w:top w:val="single" w:sz="1" w:space="0" w:color="BBBBBB"/>
              <w:left w:val="single" w:sz="1" w:space="0" w:color="BBBBBB"/>
              <w:bottom w:val="single" w:sz="1" w:space="0" w:color="BBBBBB"/>
              <w:right w:val="single" w:sz="1" w:space="0" w:color="BBBBBB"/>
            </w:tcBorders>
            <w:shd w:val="clear" w:color="auto" w:fill="EDE7F6"/>
            <w:tcMar>
              <w:top w:w="90" w:type="dxa"/>
              <w:left w:w="120" w:type="dxa"/>
              <w:bottom w:w="90" w:type="dxa"/>
              <w:right w:w="120" w:type="dxa"/>
            </w:tcMar>
            <w:vAlign w:val="center"/>
          </w:tcPr>
          <w:p w14:paraId="074602D1" w14:textId="77777777" w:rsidR="00A6415D" w:rsidRDefault="00000000">
            <w:r>
              <w:rPr>
                <w:color w:val="000000"/>
                <w:sz w:val="20"/>
                <w:szCs w:val="20"/>
              </w:rPr>
              <w:t>Material Record Systems</w:t>
            </w:r>
          </w:p>
        </w:tc>
        <w:tc>
          <w:tcPr>
            <w:tcW w:w="3360" w:type="dxa"/>
            <w:tcBorders>
              <w:top w:val="single" w:sz="1" w:space="0" w:color="BBBBBB"/>
              <w:left w:val="single" w:sz="1" w:space="0" w:color="BBBBBB"/>
              <w:bottom w:val="single" w:sz="1" w:space="0" w:color="BBBBBB"/>
              <w:right w:val="single" w:sz="1" w:space="0" w:color="BBBBBB"/>
            </w:tcBorders>
            <w:shd w:val="clear" w:color="auto" w:fill="EDE7F6"/>
            <w:tcMar>
              <w:top w:w="90" w:type="dxa"/>
              <w:left w:w="120" w:type="dxa"/>
              <w:bottom w:w="90" w:type="dxa"/>
              <w:right w:w="120" w:type="dxa"/>
            </w:tcMar>
            <w:vAlign w:val="center"/>
          </w:tcPr>
          <w:p w14:paraId="23E6BDE8" w14:textId="77777777" w:rsidR="00A6415D" w:rsidRDefault="00000000">
            <w:r>
              <w:rPr>
                <w:color w:val="000000"/>
                <w:sz w:val="20"/>
                <w:szCs w:val="20"/>
              </w:rPr>
              <w:t>Administrative records, tally systems, counting devices, standardized notches, inventory lists, controlled storage — any system that offloads cognitive load into durable material form, regardless of whether writing is present.</w:t>
            </w:r>
          </w:p>
        </w:tc>
        <w:tc>
          <w:tcPr>
            <w:tcW w:w="2800" w:type="dxa"/>
            <w:tcBorders>
              <w:top w:val="single" w:sz="1" w:space="0" w:color="BBBBBB"/>
              <w:left w:val="single" w:sz="1" w:space="0" w:color="BBBBBB"/>
              <w:bottom w:val="single" w:sz="1" w:space="0" w:color="BBBBBB"/>
              <w:right w:val="single" w:sz="1" w:space="0" w:color="BBBBBB"/>
            </w:tcBorders>
            <w:shd w:val="clear" w:color="auto" w:fill="EDE7F6"/>
            <w:tcMar>
              <w:top w:w="90" w:type="dxa"/>
              <w:left w:w="120" w:type="dxa"/>
              <w:bottom w:w="90" w:type="dxa"/>
              <w:right w:w="120" w:type="dxa"/>
            </w:tcMar>
            <w:vAlign w:val="center"/>
          </w:tcPr>
          <w:p w14:paraId="661026AD" w14:textId="77777777" w:rsidR="00A6415D" w:rsidRDefault="00000000">
            <w:r>
              <w:rPr>
                <w:color w:val="000000"/>
                <w:sz w:val="20"/>
                <w:szCs w:val="20"/>
              </w:rPr>
              <w:t xml:space="preserve">Always applicable. Use when the case predates writing or when writing is </w:t>
            </w:r>
            <w:proofErr w:type="gramStart"/>
            <w:r>
              <w:rPr>
                <w:color w:val="000000"/>
                <w:sz w:val="20"/>
                <w:szCs w:val="20"/>
              </w:rPr>
              <w:t>absent</w:t>
            </w:r>
            <w:proofErr w:type="gramEnd"/>
            <w:r>
              <w:rPr>
                <w:color w:val="000000"/>
                <w:sz w:val="20"/>
                <w:szCs w:val="20"/>
              </w:rPr>
              <w:t xml:space="preserve"> but material record-keeping is documented.</w:t>
            </w:r>
          </w:p>
        </w:tc>
      </w:tr>
      <w:tr w:rsidR="00A6415D" w14:paraId="56352764" w14:textId="77777777">
        <w:tc>
          <w:tcPr>
            <w:tcW w:w="1200" w:type="dxa"/>
            <w:tcBorders>
              <w:top w:val="single" w:sz="1" w:space="0" w:color="BBBBBB"/>
              <w:left w:val="single" w:sz="1" w:space="0" w:color="BBBBBB"/>
              <w:bottom w:val="single" w:sz="1" w:space="0" w:color="BBBBBB"/>
              <w:right w:val="single" w:sz="1" w:space="0" w:color="BBBBBB"/>
            </w:tcBorders>
            <w:shd w:val="clear" w:color="auto" w:fill="EDE7F6"/>
            <w:tcMar>
              <w:top w:w="90" w:type="dxa"/>
              <w:left w:w="120" w:type="dxa"/>
              <w:bottom w:w="90" w:type="dxa"/>
              <w:right w:w="120" w:type="dxa"/>
            </w:tcMar>
            <w:vAlign w:val="center"/>
          </w:tcPr>
          <w:p w14:paraId="23262C8F" w14:textId="77777777" w:rsidR="00A6415D" w:rsidRDefault="00000000">
            <w:r>
              <w:rPr>
                <w:b/>
                <w:bCs/>
                <w:color w:val="000000"/>
                <w:sz w:val="20"/>
                <w:szCs w:val="20"/>
              </w:rPr>
              <w:lastRenderedPageBreak/>
              <w:t>EC-2</w:t>
            </w:r>
          </w:p>
        </w:tc>
        <w:tc>
          <w:tcPr>
            <w:tcW w:w="2000" w:type="dxa"/>
            <w:tcBorders>
              <w:top w:val="single" w:sz="1" w:space="0" w:color="BBBBBB"/>
              <w:left w:val="single" w:sz="1" w:space="0" w:color="BBBBBB"/>
              <w:bottom w:val="single" w:sz="1" w:space="0" w:color="BBBBBB"/>
              <w:right w:val="single" w:sz="1" w:space="0" w:color="BBBBBB"/>
            </w:tcBorders>
            <w:shd w:val="clear" w:color="auto" w:fill="EDE7F6"/>
            <w:tcMar>
              <w:top w:w="90" w:type="dxa"/>
              <w:left w:w="120" w:type="dxa"/>
              <w:bottom w:w="90" w:type="dxa"/>
              <w:right w:w="120" w:type="dxa"/>
            </w:tcMar>
            <w:vAlign w:val="center"/>
          </w:tcPr>
          <w:p w14:paraId="0A882F69" w14:textId="77777777" w:rsidR="00A6415D" w:rsidRDefault="00000000">
            <w:r>
              <w:rPr>
                <w:color w:val="000000"/>
                <w:sz w:val="20"/>
                <w:szCs w:val="20"/>
              </w:rPr>
              <w:t>Symbolic Encoding Systems</w:t>
            </w:r>
          </w:p>
        </w:tc>
        <w:tc>
          <w:tcPr>
            <w:tcW w:w="3360" w:type="dxa"/>
            <w:tcBorders>
              <w:top w:val="single" w:sz="1" w:space="0" w:color="BBBBBB"/>
              <w:left w:val="single" w:sz="1" w:space="0" w:color="BBBBBB"/>
              <w:bottom w:val="single" w:sz="1" w:space="0" w:color="BBBBBB"/>
              <w:right w:val="single" w:sz="1" w:space="0" w:color="BBBBBB"/>
            </w:tcBorders>
            <w:shd w:val="clear" w:color="auto" w:fill="EDE7F6"/>
            <w:tcMar>
              <w:top w:w="90" w:type="dxa"/>
              <w:left w:w="120" w:type="dxa"/>
              <w:bottom w:w="90" w:type="dxa"/>
              <w:right w:w="120" w:type="dxa"/>
            </w:tcMar>
            <w:vAlign w:val="center"/>
          </w:tcPr>
          <w:p w14:paraId="258F913C" w14:textId="77777777" w:rsidR="00A6415D" w:rsidRDefault="00000000">
            <w:r>
              <w:rPr>
                <w:color w:val="000000"/>
                <w:sz w:val="20"/>
                <w:szCs w:val="20"/>
              </w:rPr>
              <w:t>Writing, script, canonical notation, glyphic systems — any encoding system where symbols carry semantic content independent of the object they are inscribed on. Undeciphered scripts score E=1 maximum until function is confirmed.</w:t>
            </w:r>
          </w:p>
        </w:tc>
        <w:tc>
          <w:tcPr>
            <w:tcW w:w="2800" w:type="dxa"/>
            <w:tcBorders>
              <w:top w:val="single" w:sz="1" w:space="0" w:color="BBBBBB"/>
              <w:left w:val="single" w:sz="1" w:space="0" w:color="BBBBBB"/>
              <w:bottom w:val="single" w:sz="1" w:space="0" w:color="BBBBBB"/>
              <w:right w:val="single" w:sz="1" w:space="0" w:color="BBBBBB"/>
            </w:tcBorders>
            <w:shd w:val="clear" w:color="auto" w:fill="EDE7F6"/>
            <w:tcMar>
              <w:top w:w="90" w:type="dxa"/>
              <w:left w:w="120" w:type="dxa"/>
              <w:bottom w:w="90" w:type="dxa"/>
              <w:right w:w="120" w:type="dxa"/>
            </w:tcMar>
            <w:vAlign w:val="center"/>
          </w:tcPr>
          <w:p w14:paraId="0FC36638" w14:textId="77777777" w:rsidR="00A6415D" w:rsidRDefault="00000000">
            <w:r>
              <w:rPr>
                <w:color w:val="000000"/>
                <w:sz w:val="20"/>
                <w:szCs w:val="20"/>
              </w:rPr>
              <w:t>Apply when writing or a candidate script is present. Do not assume EC-2 = 2 for an undeciphered system. Score conservatively until decipherment is confirmed.</w:t>
            </w:r>
          </w:p>
        </w:tc>
      </w:tr>
      <w:tr w:rsidR="00A6415D" w14:paraId="2B75AD75" w14:textId="77777777">
        <w:tc>
          <w:tcPr>
            <w:tcW w:w="1200" w:type="dxa"/>
            <w:tcBorders>
              <w:top w:val="single" w:sz="1" w:space="0" w:color="BBBBBB"/>
              <w:left w:val="single" w:sz="1" w:space="0" w:color="BBBBBB"/>
              <w:bottom w:val="single" w:sz="1" w:space="0" w:color="BBBBBB"/>
              <w:right w:val="single" w:sz="1" w:space="0" w:color="BBBBBB"/>
            </w:tcBorders>
            <w:shd w:val="clear" w:color="auto" w:fill="D5E8F0"/>
            <w:tcMar>
              <w:top w:w="90" w:type="dxa"/>
              <w:left w:w="120" w:type="dxa"/>
              <w:bottom w:w="90" w:type="dxa"/>
              <w:right w:w="120" w:type="dxa"/>
            </w:tcMar>
            <w:vAlign w:val="center"/>
          </w:tcPr>
          <w:p w14:paraId="5035183F" w14:textId="77777777" w:rsidR="00A6415D" w:rsidRDefault="00000000">
            <w:r>
              <w:rPr>
                <w:b/>
                <w:bCs/>
                <w:color w:val="000000"/>
                <w:sz w:val="20"/>
                <w:szCs w:val="20"/>
              </w:rPr>
              <w:t>How to use</w:t>
            </w:r>
          </w:p>
        </w:tc>
        <w:tc>
          <w:tcPr>
            <w:tcW w:w="8160" w:type="dxa"/>
            <w:tcBorders>
              <w:top w:val="single" w:sz="1" w:space="0" w:color="BBBBBB"/>
              <w:left w:val="single" w:sz="1" w:space="0" w:color="BBBBBB"/>
              <w:bottom w:val="single" w:sz="1" w:space="0" w:color="BBBBBB"/>
              <w:right w:val="single" w:sz="1" w:space="0" w:color="BBBBBB"/>
            </w:tcBorders>
            <w:shd w:val="clear" w:color="auto" w:fill="D5E8F0"/>
            <w:tcMar>
              <w:top w:w="90" w:type="dxa"/>
              <w:left w:w="120" w:type="dxa"/>
              <w:bottom w:w="90" w:type="dxa"/>
              <w:right w:w="120" w:type="dxa"/>
            </w:tcMar>
            <w:vAlign w:val="center"/>
          </w:tcPr>
          <w:p w14:paraId="1FEFF876" w14:textId="77777777" w:rsidR="00A6415D" w:rsidRDefault="00000000">
            <w:r>
              <w:rPr>
                <w:b/>
                <w:bCs/>
                <w:color w:val="000000"/>
                <w:sz w:val="20"/>
                <w:szCs w:val="20"/>
              </w:rPr>
              <w:t xml:space="preserve">Score EC-1 and EC-2 separately (0–2 each). Final EC score = </w:t>
            </w:r>
            <w:proofErr w:type="gramStart"/>
            <w:r>
              <w:rPr>
                <w:b/>
                <w:bCs/>
                <w:color w:val="000000"/>
                <w:sz w:val="20"/>
                <w:szCs w:val="20"/>
              </w:rPr>
              <w:t>min(</w:t>
            </w:r>
            <w:proofErr w:type="gramEnd"/>
            <w:r>
              <w:rPr>
                <w:b/>
                <w:bCs/>
                <w:color w:val="000000"/>
                <w:sz w:val="20"/>
                <w:szCs w:val="20"/>
              </w:rPr>
              <w:t>EC-1, EC-2).</w:t>
            </w:r>
          </w:p>
        </w:tc>
        <w:tc>
          <w:tcPr>
            <w:tcW w:w="1872" w:type="dxa"/>
            <w:tcBorders>
              <w:top w:val="single" w:sz="1" w:space="0" w:color="BBBBBB"/>
              <w:left w:val="single" w:sz="1" w:space="0" w:color="BBBBBB"/>
              <w:bottom w:val="single" w:sz="1" w:space="0" w:color="BBBBBB"/>
              <w:right w:val="single" w:sz="1" w:space="0" w:color="BBBBBB"/>
            </w:tcBorders>
            <w:shd w:val="clear" w:color="auto" w:fill="D5E8F0"/>
            <w:tcMar>
              <w:top w:w="90" w:type="dxa"/>
              <w:left w:w="120" w:type="dxa"/>
              <w:bottom w:w="90" w:type="dxa"/>
              <w:right w:w="120" w:type="dxa"/>
            </w:tcMar>
            <w:vAlign w:val="center"/>
          </w:tcPr>
          <w:p w14:paraId="541B9CF5" w14:textId="77777777" w:rsidR="00A6415D" w:rsidRDefault="00A6415D"/>
        </w:tc>
        <w:tc>
          <w:tcPr>
            <w:tcW w:w="1872" w:type="dxa"/>
            <w:tcBorders>
              <w:top w:val="single" w:sz="1" w:space="0" w:color="BBBBBB"/>
              <w:left w:val="single" w:sz="1" w:space="0" w:color="BBBBBB"/>
              <w:bottom w:val="single" w:sz="1" w:space="0" w:color="BBBBBB"/>
              <w:right w:val="single" w:sz="1" w:space="0" w:color="BBBBBB"/>
            </w:tcBorders>
            <w:shd w:val="clear" w:color="auto" w:fill="D5E8F0"/>
            <w:tcMar>
              <w:top w:w="90" w:type="dxa"/>
              <w:left w:w="120" w:type="dxa"/>
              <w:bottom w:w="90" w:type="dxa"/>
              <w:right w:w="120" w:type="dxa"/>
            </w:tcMar>
            <w:vAlign w:val="center"/>
          </w:tcPr>
          <w:p w14:paraId="426157E4" w14:textId="77777777" w:rsidR="00A6415D" w:rsidRDefault="00A6415D"/>
        </w:tc>
      </w:tr>
    </w:tbl>
    <w:p w14:paraId="5C8C1CFF" w14:textId="77777777" w:rsidR="00A6415D" w:rsidRDefault="00A6415D">
      <w:pPr>
        <w:spacing w:before="120"/>
      </w:pPr>
    </w:p>
    <w:p w14:paraId="06414505" w14:textId="77777777" w:rsidR="00A6415D" w:rsidRDefault="00000000">
      <w:pPr>
        <w:pBdr>
          <w:top w:val="single" w:sz="3" w:space="4" w:color="2E4057"/>
          <w:left w:val="thick" w:sz="12" w:space="4" w:color="2E4057"/>
          <w:bottom w:val="single" w:sz="3" w:space="4" w:color="2E4057"/>
          <w:right w:val="single" w:sz="3" w:space="4" w:color="2E4057"/>
        </w:pBdr>
        <w:spacing w:before="100" w:after="100"/>
        <w:ind w:left="360" w:right="360"/>
      </w:pPr>
      <w:r>
        <w:rPr>
          <w:i/>
          <w:iCs/>
          <w:color w:val="2E4057"/>
          <w:sz w:val="20"/>
          <w:szCs w:val="20"/>
        </w:rPr>
        <w:t xml:space="preserve">Example application: Rapa Nui. EC-1 (material record systems) = </w:t>
      </w:r>
      <w:proofErr w:type="gramStart"/>
      <w:r>
        <w:rPr>
          <w:i/>
          <w:iCs/>
          <w:color w:val="2E4057"/>
          <w:sz w:val="20"/>
          <w:szCs w:val="20"/>
        </w:rPr>
        <w:t>min(</w:t>
      </w:r>
      <w:proofErr w:type="gramEnd"/>
      <w:r>
        <w:rPr>
          <w:i/>
          <w:iCs/>
          <w:color w:val="2E4057"/>
          <w:sz w:val="20"/>
          <w:szCs w:val="20"/>
        </w:rPr>
        <w:t xml:space="preserve">1,0) = 0 — no documented administrative record system. EC-2 (symbolic encoding) = </w:t>
      </w:r>
      <w:proofErr w:type="gramStart"/>
      <w:r>
        <w:rPr>
          <w:i/>
          <w:iCs/>
          <w:color w:val="2E4057"/>
          <w:sz w:val="20"/>
          <w:szCs w:val="20"/>
        </w:rPr>
        <w:t>min(</w:t>
      </w:r>
      <w:proofErr w:type="gramEnd"/>
      <w:r>
        <w:rPr>
          <w:i/>
          <w:iCs/>
          <w:color w:val="2E4057"/>
          <w:sz w:val="20"/>
          <w:szCs w:val="20"/>
        </w:rPr>
        <w:t>1,0) = 0 — Rongorongo undeciphered, E capped at 1, S = 0 pending confirmation. Final EC = 0 under either approach. The sub-criteria add transparency to the reasoning without changing the score.</w:t>
      </w:r>
    </w:p>
    <w:p w14:paraId="11019741" w14:textId="77777777" w:rsidR="00A6415D" w:rsidRDefault="00A6415D">
      <w:pPr>
        <w:spacing w:before="80"/>
      </w:pPr>
    </w:p>
    <w:p w14:paraId="05144234" w14:textId="77777777" w:rsidR="00A6415D" w:rsidRDefault="00000000">
      <w:pPr>
        <w:pBdr>
          <w:top w:val="single" w:sz="3" w:space="4" w:color="2E4057"/>
          <w:left w:val="thick" w:sz="12" w:space="4" w:color="2E4057"/>
          <w:bottom w:val="single" w:sz="3" w:space="4" w:color="2E4057"/>
          <w:right w:val="single" w:sz="3" w:space="4" w:color="2E4057"/>
        </w:pBdr>
        <w:spacing w:before="100" w:after="100"/>
        <w:ind w:left="360" w:right="360"/>
      </w:pPr>
      <w:r>
        <w:rPr>
          <w:i/>
          <w:iCs/>
          <w:color w:val="2E4057"/>
          <w:sz w:val="20"/>
          <w:szCs w:val="20"/>
        </w:rPr>
        <w:t xml:space="preserve">Example application: Indus Valley. EC-1 (material record systems) = </w:t>
      </w:r>
      <w:proofErr w:type="gramStart"/>
      <w:r>
        <w:rPr>
          <w:i/>
          <w:iCs/>
          <w:color w:val="2E4057"/>
          <w:sz w:val="20"/>
          <w:szCs w:val="20"/>
        </w:rPr>
        <w:t>min(</w:t>
      </w:r>
      <w:proofErr w:type="gramEnd"/>
      <w:r>
        <w:rPr>
          <w:i/>
          <w:iCs/>
          <w:color w:val="2E4057"/>
          <w:sz w:val="20"/>
          <w:szCs w:val="20"/>
        </w:rPr>
        <w:t xml:space="preserve">2,2) = 2 — </w:t>
      </w:r>
      <w:proofErr w:type="spellStart"/>
      <w:r>
        <w:rPr>
          <w:i/>
          <w:iCs/>
          <w:color w:val="2E4057"/>
          <w:sz w:val="20"/>
          <w:szCs w:val="20"/>
        </w:rPr>
        <w:t>standardised</w:t>
      </w:r>
      <w:proofErr w:type="spellEnd"/>
      <w:r>
        <w:rPr>
          <w:i/>
          <w:iCs/>
          <w:color w:val="2E4057"/>
          <w:sz w:val="20"/>
          <w:szCs w:val="20"/>
        </w:rPr>
        <w:t xml:space="preserve"> weights, orthogonal urban planning, controlled brick production document systematic cognitive offloading. EC-2 (symbolic encoding) = </w:t>
      </w:r>
      <w:proofErr w:type="gramStart"/>
      <w:r>
        <w:rPr>
          <w:i/>
          <w:iCs/>
          <w:color w:val="2E4057"/>
          <w:sz w:val="20"/>
          <w:szCs w:val="20"/>
        </w:rPr>
        <w:t>min(</w:t>
      </w:r>
      <w:proofErr w:type="gramEnd"/>
      <w:r>
        <w:rPr>
          <w:i/>
          <w:iCs/>
          <w:color w:val="2E4057"/>
          <w:sz w:val="20"/>
          <w:szCs w:val="20"/>
        </w:rPr>
        <w:t xml:space="preserve">1,1) = 1 — Harappan script undeciphered. Final EC = </w:t>
      </w:r>
      <w:proofErr w:type="gramStart"/>
      <w:r>
        <w:rPr>
          <w:i/>
          <w:iCs/>
          <w:color w:val="2E4057"/>
          <w:sz w:val="20"/>
          <w:szCs w:val="20"/>
        </w:rPr>
        <w:t>min(</w:t>
      </w:r>
      <w:proofErr w:type="gramEnd"/>
      <w:r>
        <w:rPr>
          <w:i/>
          <w:iCs/>
          <w:color w:val="2E4057"/>
          <w:sz w:val="20"/>
          <w:szCs w:val="20"/>
        </w:rPr>
        <w:t>2,1) = 1 under sub-criteria approach. Without sub-criteria, EC might be scored 1 or 2 depending on how the researcher weighs the script. Sub-criteria make the reasoning explicit.</w:t>
      </w:r>
    </w:p>
    <w:p w14:paraId="753C7118" w14:textId="77777777" w:rsidR="00A6415D" w:rsidRDefault="00A6415D">
      <w:pPr>
        <w:spacing w:before="120"/>
      </w:pPr>
    </w:p>
    <w:p w14:paraId="2ACBAC5E" w14:textId="77777777" w:rsidR="00A6415D" w:rsidRDefault="00000000">
      <w:pPr>
        <w:pStyle w:val="Heading2"/>
      </w:pPr>
      <w:r>
        <w:t>7.3 Capital Source Flag (B / M / I)</w:t>
      </w:r>
    </w:p>
    <w:p w14:paraId="62A0555B" w14:textId="77777777" w:rsidR="00A6415D" w:rsidRDefault="00000000">
      <w:pPr>
        <w:spacing w:before="60" w:after="100"/>
        <w:jc w:val="both"/>
      </w:pPr>
      <w:r>
        <w:rPr>
          <w:color w:val="000000"/>
        </w:rPr>
        <w:t>In cases where two or more subjects score identically on the FCP but occupy structurally different positions relative to the symbolic system they deployed, the Capital Source flag provides interpretive context without altering the numeric score.</w:t>
      </w:r>
    </w:p>
    <w:p w14:paraId="3BF781A4" w14:textId="77777777" w:rsidR="00A6415D" w:rsidRDefault="00A6415D">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5"/>
        <w:gridCol w:w="4351"/>
        <w:gridCol w:w="2173"/>
        <w:gridCol w:w="1831"/>
      </w:tblGrid>
      <w:tr w:rsidR="00A6415D" w14:paraId="2931754F" w14:textId="77777777">
        <w:trPr>
          <w:tblHeader/>
        </w:trPr>
        <w:tc>
          <w:tcPr>
            <w:tcW w:w="144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2135348A" w14:textId="77777777" w:rsidR="00A6415D" w:rsidRDefault="00000000">
            <w:r>
              <w:rPr>
                <w:b/>
                <w:bCs/>
                <w:color w:val="FFFFFF"/>
                <w:sz w:val="20"/>
                <w:szCs w:val="20"/>
              </w:rPr>
              <w:t>Flag</w:t>
            </w:r>
          </w:p>
        </w:tc>
        <w:tc>
          <w:tcPr>
            <w:tcW w:w="240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112D624F" w14:textId="77777777" w:rsidR="00A6415D" w:rsidRDefault="00000000">
            <w:r>
              <w:rPr>
                <w:b/>
                <w:bCs/>
                <w:color w:val="FFFFFF"/>
                <w:sz w:val="20"/>
                <w:szCs w:val="20"/>
              </w:rPr>
              <w:t>Label</w:t>
            </w:r>
          </w:p>
        </w:tc>
        <w:tc>
          <w:tcPr>
            <w:tcW w:w="312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152131D1" w14:textId="77777777" w:rsidR="00A6415D" w:rsidRDefault="00000000">
            <w:r>
              <w:rPr>
                <w:b/>
                <w:bCs/>
                <w:color w:val="FFFFFF"/>
                <w:sz w:val="20"/>
                <w:szCs w:val="20"/>
              </w:rPr>
              <w:t>Definition</w:t>
            </w:r>
          </w:p>
        </w:tc>
        <w:tc>
          <w:tcPr>
            <w:tcW w:w="240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3580CC7C" w14:textId="77777777" w:rsidR="00A6415D" w:rsidRDefault="00000000">
            <w:r>
              <w:rPr>
                <w:b/>
                <w:bCs/>
                <w:color w:val="FFFFFF"/>
                <w:sz w:val="20"/>
                <w:szCs w:val="20"/>
              </w:rPr>
              <w:t>Examples</w:t>
            </w:r>
          </w:p>
        </w:tc>
      </w:tr>
      <w:tr w:rsidR="00A6415D" w14:paraId="7876F819" w14:textId="77777777">
        <w:tc>
          <w:tcPr>
            <w:tcW w:w="1440" w:type="dxa"/>
            <w:tcBorders>
              <w:top w:val="single" w:sz="1" w:space="0" w:color="BBBBBB"/>
              <w:left w:val="single" w:sz="1" w:space="0" w:color="BBBBBB"/>
              <w:bottom w:val="single" w:sz="1" w:space="0" w:color="BBBBBB"/>
              <w:right w:val="single" w:sz="1" w:space="0" w:color="BBBBBB"/>
            </w:tcBorders>
            <w:shd w:val="clear" w:color="auto" w:fill="EDE7F6"/>
            <w:tcMar>
              <w:top w:w="90" w:type="dxa"/>
              <w:left w:w="120" w:type="dxa"/>
              <w:bottom w:w="90" w:type="dxa"/>
              <w:right w:w="120" w:type="dxa"/>
            </w:tcMar>
            <w:vAlign w:val="center"/>
          </w:tcPr>
          <w:p w14:paraId="696E1D61" w14:textId="77777777" w:rsidR="00A6415D" w:rsidRDefault="00000000">
            <w:pPr>
              <w:jc w:val="center"/>
            </w:pPr>
            <w:r>
              <w:rPr>
                <w:b/>
                <w:bCs/>
                <w:color w:val="000000"/>
                <w:sz w:val="20"/>
                <w:szCs w:val="20"/>
              </w:rPr>
              <w:t>B</w:t>
            </w:r>
          </w:p>
        </w:tc>
        <w:tc>
          <w:tcPr>
            <w:tcW w:w="2400" w:type="dxa"/>
            <w:tcBorders>
              <w:top w:val="single" w:sz="1" w:space="0" w:color="BBBBBB"/>
              <w:left w:val="single" w:sz="1" w:space="0" w:color="BBBBBB"/>
              <w:bottom w:val="single" w:sz="1" w:space="0" w:color="BBBBBB"/>
              <w:right w:val="single" w:sz="1" w:space="0" w:color="BBBBBB"/>
            </w:tcBorders>
            <w:shd w:val="clear" w:color="auto" w:fill="EDE7F6"/>
            <w:tcMar>
              <w:top w:w="90" w:type="dxa"/>
              <w:left w:w="120" w:type="dxa"/>
              <w:bottom w:w="90" w:type="dxa"/>
              <w:right w:w="120" w:type="dxa"/>
            </w:tcMar>
            <w:vAlign w:val="center"/>
          </w:tcPr>
          <w:p w14:paraId="406A0F98" w14:textId="77777777" w:rsidR="00A6415D" w:rsidRDefault="00000000">
            <w:r>
              <w:rPr>
                <w:color w:val="000000"/>
                <w:sz w:val="20"/>
                <w:szCs w:val="20"/>
              </w:rPr>
              <w:t>Builder</w:t>
            </w:r>
          </w:p>
        </w:tc>
        <w:tc>
          <w:tcPr>
            <w:tcW w:w="3120" w:type="dxa"/>
            <w:tcBorders>
              <w:top w:val="single" w:sz="1" w:space="0" w:color="BBBBBB"/>
              <w:left w:val="single" w:sz="1" w:space="0" w:color="BBBBBB"/>
              <w:bottom w:val="single" w:sz="1" w:space="0" w:color="BBBBBB"/>
              <w:right w:val="single" w:sz="1" w:space="0" w:color="BBBBBB"/>
            </w:tcBorders>
            <w:shd w:val="clear" w:color="auto" w:fill="EDE7F6"/>
            <w:tcMar>
              <w:top w:w="90" w:type="dxa"/>
              <w:left w:w="120" w:type="dxa"/>
              <w:bottom w:w="90" w:type="dxa"/>
              <w:right w:w="120" w:type="dxa"/>
            </w:tcMar>
            <w:vAlign w:val="center"/>
          </w:tcPr>
          <w:p w14:paraId="3FE50FA3" w14:textId="77777777" w:rsidR="00A6415D" w:rsidRDefault="00000000">
            <w:r>
              <w:rPr>
                <w:color w:val="000000"/>
                <w:sz w:val="20"/>
                <w:szCs w:val="20"/>
              </w:rPr>
              <w:t xml:space="preserve">The subject constructed the symbolic system from new or substantially reconfigured prior systems. New institutions, new canonical forms, new spatial </w:t>
            </w:r>
            <w:proofErr w:type="spellStart"/>
            <w:r>
              <w:rPr>
                <w:color w:val="000000"/>
                <w:sz w:val="20"/>
                <w:szCs w:val="20"/>
              </w:rPr>
              <w:t>programmes</w:t>
            </w:r>
            <w:proofErr w:type="spellEnd"/>
            <w:r>
              <w:rPr>
                <w:color w:val="000000"/>
                <w:sz w:val="20"/>
                <w:szCs w:val="20"/>
              </w:rPr>
              <w:t xml:space="preserve"> </w:t>
            </w:r>
            <w:r>
              <w:rPr>
                <w:color w:val="000000"/>
                <w:sz w:val="20"/>
                <w:szCs w:val="20"/>
              </w:rPr>
              <w:lastRenderedPageBreak/>
              <w:t xml:space="preserve">originating within the </w:t>
            </w:r>
            <w:proofErr w:type="spellStart"/>
            <w:r>
              <w:rPr>
                <w:color w:val="000000"/>
                <w:sz w:val="20"/>
                <w:szCs w:val="20"/>
              </w:rPr>
              <w:t>reign</w:t>
            </w:r>
            <w:proofErr w:type="spellEnd"/>
            <w:r>
              <w:rPr>
                <w:color w:val="000000"/>
                <w:sz w:val="20"/>
                <w:szCs w:val="20"/>
              </w:rPr>
              <w:t xml:space="preserve"> or period.</w:t>
            </w:r>
          </w:p>
        </w:tc>
        <w:tc>
          <w:tcPr>
            <w:tcW w:w="2400" w:type="dxa"/>
            <w:tcBorders>
              <w:top w:val="single" w:sz="1" w:space="0" w:color="BBBBBB"/>
              <w:left w:val="single" w:sz="1" w:space="0" w:color="BBBBBB"/>
              <w:bottom w:val="single" w:sz="1" w:space="0" w:color="BBBBBB"/>
              <w:right w:val="single" w:sz="1" w:space="0" w:color="BBBBBB"/>
            </w:tcBorders>
            <w:shd w:val="clear" w:color="auto" w:fill="EDE7F6"/>
            <w:tcMar>
              <w:top w:w="90" w:type="dxa"/>
              <w:left w:w="120" w:type="dxa"/>
              <w:bottom w:w="90" w:type="dxa"/>
              <w:right w:w="120" w:type="dxa"/>
            </w:tcMar>
            <w:vAlign w:val="center"/>
          </w:tcPr>
          <w:p w14:paraId="5195BCC0" w14:textId="77777777" w:rsidR="00A6415D" w:rsidRDefault="00000000">
            <w:r>
              <w:rPr>
                <w:color w:val="000000"/>
                <w:sz w:val="20"/>
                <w:szCs w:val="20"/>
              </w:rPr>
              <w:lastRenderedPageBreak/>
              <w:t xml:space="preserve">Akhenaten (Aten </w:t>
            </w:r>
            <w:proofErr w:type="spellStart"/>
            <w:r>
              <w:rPr>
                <w:color w:val="000000"/>
                <w:sz w:val="20"/>
                <w:szCs w:val="20"/>
              </w:rPr>
              <w:t>programme</w:t>
            </w:r>
            <w:proofErr w:type="spellEnd"/>
            <w:r>
              <w:rPr>
                <w:color w:val="000000"/>
                <w:sz w:val="20"/>
                <w:szCs w:val="20"/>
              </w:rPr>
              <w:t>), Djoser (Step Pyramid complex)</w:t>
            </w:r>
          </w:p>
        </w:tc>
      </w:tr>
      <w:tr w:rsidR="00A6415D" w14:paraId="6E1AE960" w14:textId="77777777">
        <w:tc>
          <w:tcPr>
            <w:tcW w:w="1440" w:type="dxa"/>
            <w:tcBorders>
              <w:top w:val="single" w:sz="1" w:space="0" w:color="BBBBBB"/>
              <w:left w:val="single" w:sz="1" w:space="0" w:color="BBBBBB"/>
              <w:bottom w:val="single" w:sz="1" w:space="0" w:color="BBBBBB"/>
              <w:right w:val="single" w:sz="1" w:space="0" w:color="BBBBBB"/>
            </w:tcBorders>
            <w:shd w:val="clear" w:color="auto" w:fill="EDE7F6"/>
            <w:tcMar>
              <w:top w:w="90" w:type="dxa"/>
              <w:left w:w="120" w:type="dxa"/>
              <w:bottom w:w="90" w:type="dxa"/>
              <w:right w:w="120" w:type="dxa"/>
            </w:tcMar>
            <w:vAlign w:val="center"/>
          </w:tcPr>
          <w:p w14:paraId="0718DBEF" w14:textId="77777777" w:rsidR="00A6415D" w:rsidRDefault="00000000">
            <w:pPr>
              <w:jc w:val="center"/>
            </w:pPr>
            <w:r>
              <w:rPr>
                <w:b/>
                <w:bCs/>
                <w:color w:val="000000"/>
                <w:sz w:val="20"/>
                <w:szCs w:val="20"/>
              </w:rPr>
              <w:t>M</w:t>
            </w:r>
          </w:p>
        </w:tc>
        <w:tc>
          <w:tcPr>
            <w:tcW w:w="2400" w:type="dxa"/>
            <w:tcBorders>
              <w:top w:val="single" w:sz="1" w:space="0" w:color="BBBBBB"/>
              <w:left w:val="single" w:sz="1" w:space="0" w:color="BBBBBB"/>
              <w:bottom w:val="single" w:sz="1" w:space="0" w:color="BBBBBB"/>
              <w:right w:val="single" w:sz="1" w:space="0" w:color="BBBBBB"/>
            </w:tcBorders>
            <w:shd w:val="clear" w:color="auto" w:fill="EDE7F6"/>
            <w:tcMar>
              <w:top w:w="90" w:type="dxa"/>
              <w:left w:w="120" w:type="dxa"/>
              <w:bottom w:w="90" w:type="dxa"/>
              <w:right w:w="120" w:type="dxa"/>
            </w:tcMar>
            <w:vAlign w:val="center"/>
          </w:tcPr>
          <w:p w14:paraId="5FBA153F" w14:textId="77777777" w:rsidR="00A6415D" w:rsidRDefault="00000000">
            <w:r>
              <w:rPr>
                <w:color w:val="000000"/>
                <w:sz w:val="20"/>
                <w:szCs w:val="20"/>
              </w:rPr>
              <w:t>Maintainer</w:t>
            </w:r>
          </w:p>
        </w:tc>
        <w:tc>
          <w:tcPr>
            <w:tcW w:w="3120" w:type="dxa"/>
            <w:tcBorders>
              <w:top w:val="single" w:sz="1" w:space="0" w:color="BBBBBB"/>
              <w:left w:val="single" w:sz="1" w:space="0" w:color="BBBBBB"/>
              <w:bottom w:val="single" w:sz="1" w:space="0" w:color="BBBBBB"/>
              <w:right w:val="single" w:sz="1" w:space="0" w:color="BBBBBB"/>
            </w:tcBorders>
            <w:shd w:val="clear" w:color="auto" w:fill="EDE7F6"/>
            <w:tcMar>
              <w:top w:w="90" w:type="dxa"/>
              <w:left w:w="120" w:type="dxa"/>
              <w:bottom w:w="90" w:type="dxa"/>
              <w:right w:w="120" w:type="dxa"/>
            </w:tcMar>
            <w:vAlign w:val="center"/>
          </w:tcPr>
          <w:p w14:paraId="00CDFF49" w14:textId="77777777" w:rsidR="00A6415D" w:rsidRDefault="00000000">
            <w:r>
              <w:rPr>
                <w:color w:val="000000"/>
                <w:sz w:val="20"/>
                <w:szCs w:val="20"/>
              </w:rPr>
              <w:t>The subject actively managed and extended an inherited symbolic system, making substantial contributions while operating within its established framework.</w:t>
            </w:r>
          </w:p>
        </w:tc>
        <w:tc>
          <w:tcPr>
            <w:tcW w:w="2400" w:type="dxa"/>
            <w:tcBorders>
              <w:top w:val="single" w:sz="1" w:space="0" w:color="BBBBBB"/>
              <w:left w:val="single" w:sz="1" w:space="0" w:color="BBBBBB"/>
              <w:bottom w:val="single" w:sz="1" w:space="0" w:color="BBBBBB"/>
              <w:right w:val="single" w:sz="1" w:space="0" w:color="BBBBBB"/>
            </w:tcBorders>
            <w:shd w:val="clear" w:color="auto" w:fill="EDE7F6"/>
            <w:tcMar>
              <w:top w:w="90" w:type="dxa"/>
              <w:left w:w="120" w:type="dxa"/>
              <w:bottom w:w="90" w:type="dxa"/>
              <w:right w:w="120" w:type="dxa"/>
            </w:tcMar>
            <w:vAlign w:val="center"/>
          </w:tcPr>
          <w:p w14:paraId="79C74E7C" w14:textId="77777777" w:rsidR="00A6415D" w:rsidRDefault="00000000">
            <w:r>
              <w:rPr>
                <w:color w:val="000000"/>
                <w:sz w:val="20"/>
                <w:szCs w:val="20"/>
              </w:rPr>
              <w:t>Ramesses II (saturated an inherited system through density and simultaneity)</w:t>
            </w:r>
          </w:p>
        </w:tc>
      </w:tr>
      <w:tr w:rsidR="00A6415D" w14:paraId="249C15B3" w14:textId="77777777">
        <w:tc>
          <w:tcPr>
            <w:tcW w:w="1440" w:type="dxa"/>
            <w:tcBorders>
              <w:top w:val="single" w:sz="1" w:space="0" w:color="BBBBBB"/>
              <w:left w:val="single" w:sz="1" w:space="0" w:color="BBBBBB"/>
              <w:bottom w:val="single" w:sz="1" w:space="0" w:color="BBBBBB"/>
              <w:right w:val="single" w:sz="1" w:space="0" w:color="BBBBBB"/>
            </w:tcBorders>
            <w:shd w:val="clear" w:color="auto" w:fill="EDE7F6"/>
            <w:tcMar>
              <w:top w:w="90" w:type="dxa"/>
              <w:left w:w="120" w:type="dxa"/>
              <w:bottom w:w="90" w:type="dxa"/>
              <w:right w:w="120" w:type="dxa"/>
            </w:tcMar>
            <w:vAlign w:val="center"/>
          </w:tcPr>
          <w:p w14:paraId="1977F6B2" w14:textId="77777777" w:rsidR="00A6415D" w:rsidRDefault="00000000">
            <w:pPr>
              <w:jc w:val="center"/>
            </w:pPr>
            <w:r>
              <w:rPr>
                <w:b/>
                <w:bCs/>
                <w:color w:val="000000"/>
                <w:sz w:val="20"/>
                <w:szCs w:val="20"/>
              </w:rPr>
              <w:t>I</w:t>
            </w:r>
          </w:p>
        </w:tc>
        <w:tc>
          <w:tcPr>
            <w:tcW w:w="2400" w:type="dxa"/>
            <w:tcBorders>
              <w:top w:val="single" w:sz="1" w:space="0" w:color="BBBBBB"/>
              <w:left w:val="single" w:sz="1" w:space="0" w:color="BBBBBB"/>
              <w:bottom w:val="single" w:sz="1" w:space="0" w:color="BBBBBB"/>
              <w:right w:val="single" w:sz="1" w:space="0" w:color="BBBBBB"/>
            </w:tcBorders>
            <w:shd w:val="clear" w:color="auto" w:fill="EDE7F6"/>
            <w:tcMar>
              <w:top w:w="90" w:type="dxa"/>
              <w:left w:w="120" w:type="dxa"/>
              <w:bottom w:w="90" w:type="dxa"/>
              <w:right w:w="120" w:type="dxa"/>
            </w:tcMar>
            <w:vAlign w:val="center"/>
          </w:tcPr>
          <w:p w14:paraId="2A3FD705" w14:textId="77777777" w:rsidR="00A6415D" w:rsidRDefault="00000000">
            <w:r>
              <w:rPr>
                <w:color w:val="000000"/>
                <w:sz w:val="20"/>
                <w:szCs w:val="20"/>
              </w:rPr>
              <w:t>Inheritor</w:t>
            </w:r>
          </w:p>
        </w:tc>
        <w:tc>
          <w:tcPr>
            <w:tcW w:w="3120" w:type="dxa"/>
            <w:tcBorders>
              <w:top w:val="single" w:sz="1" w:space="0" w:color="BBBBBB"/>
              <w:left w:val="single" w:sz="1" w:space="0" w:color="BBBBBB"/>
              <w:bottom w:val="single" w:sz="1" w:space="0" w:color="BBBBBB"/>
              <w:right w:val="single" w:sz="1" w:space="0" w:color="BBBBBB"/>
            </w:tcBorders>
            <w:shd w:val="clear" w:color="auto" w:fill="EDE7F6"/>
            <w:tcMar>
              <w:top w:w="90" w:type="dxa"/>
              <w:left w:w="120" w:type="dxa"/>
              <w:bottom w:w="90" w:type="dxa"/>
              <w:right w:w="120" w:type="dxa"/>
            </w:tcMar>
            <w:vAlign w:val="center"/>
          </w:tcPr>
          <w:p w14:paraId="6E2891D0" w14:textId="77777777" w:rsidR="00A6415D" w:rsidRDefault="00000000">
            <w:r>
              <w:rPr>
                <w:color w:val="000000"/>
                <w:sz w:val="20"/>
                <w:szCs w:val="20"/>
              </w:rPr>
              <w:t>The subject operated within an inherited symbolic system without making substantial structural contributions. Symbolic capital was deployed rather than generated.</w:t>
            </w:r>
          </w:p>
        </w:tc>
        <w:tc>
          <w:tcPr>
            <w:tcW w:w="2400" w:type="dxa"/>
            <w:tcBorders>
              <w:top w:val="single" w:sz="1" w:space="0" w:color="BBBBBB"/>
              <w:left w:val="single" w:sz="1" w:space="0" w:color="BBBBBB"/>
              <w:bottom w:val="single" w:sz="1" w:space="0" w:color="BBBBBB"/>
              <w:right w:val="single" w:sz="1" w:space="0" w:color="BBBBBB"/>
            </w:tcBorders>
            <w:shd w:val="clear" w:color="auto" w:fill="EDE7F6"/>
            <w:tcMar>
              <w:top w:w="90" w:type="dxa"/>
              <w:left w:w="120" w:type="dxa"/>
              <w:bottom w:w="90" w:type="dxa"/>
              <w:right w:w="120" w:type="dxa"/>
            </w:tcMar>
            <w:vAlign w:val="center"/>
          </w:tcPr>
          <w:p w14:paraId="256EBED7" w14:textId="77777777" w:rsidR="00A6415D" w:rsidRDefault="00000000">
            <w:r>
              <w:rPr>
                <w:color w:val="000000"/>
                <w:sz w:val="20"/>
                <w:szCs w:val="20"/>
              </w:rPr>
              <w:t>Cleopatra VII (deployed 2,500-year-old Egyptian symbolic system)</w:t>
            </w:r>
          </w:p>
        </w:tc>
      </w:tr>
      <w:tr w:rsidR="00A6415D" w14:paraId="1FF400DA" w14:textId="77777777">
        <w:tc>
          <w:tcPr>
            <w:tcW w:w="1440" w:type="dxa"/>
            <w:tcBorders>
              <w:top w:val="single" w:sz="1" w:space="0" w:color="BBBBBB"/>
              <w:left w:val="single" w:sz="1" w:space="0" w:color="BBBBBB"/>
              <w:bottom w:val="single" w:sz="1" w:space="0" w:color="BBBBBB"/>
              <w:right w:val="single" w:sz="1" w:space="0" w:color="BBBBBB"/>
            </w:tcBorders>
            <w:shd w:val="clear" w:color="auto" w:fill="D5E8F0"/>
            <w:tcMar>
              <w:top w:w="90" w:type="dxa"/>
              <w:left w:w="120" w:type="dxa"/>
              <w:bottom w:w="90" w:type="dxa"/>
              <w:right w:w="120" w:type="dxa"/>
            </w:tcMar>
            <w:vAlign w:val="center"/>
          </w:tcPr>
          <w:p w14:paraId="12F93478" w14:textId="77777777" w:rsidR="00A6415D" w:rsidRDefault="00000000">
            <w:r>
              <w:rPr>
                <w:b/>
                <w:bCs/>
                <w:color w:val="000000"/>
                <w:sz w:val="20"/>
                <w:szCs w:val="20"/>
              </w:rPr>
              <w:t>How to use</w:t>
            </w:r>
          </w:p>
        </w:tc>
        <w:tc>
          <w:tcPr>
            <w:tcW w:w="7920" w:type="dxa"/>
            <w:tcBorders>
              <w:top w:val="single" w:sz="1" w:space="0" w:color="BBBBBB"/>
              <w:left w:val="single" w:sz="1" w:space="0" w:color="BBBBBB"/>
              <w:bottom w:val="single" w:sz="1" w:space="0" w:color="BBBBBB"/>
              <w:right w:val="single" w:sz="1" w:space="0" w:color="BBBBBB"/>
            </w:tcBorders>
            <w:shd w:val="clear" w:color="auto" w:fill="D5E8F0"/>
            <w:tcMar>
              <w:top w:w="90" w:type="dxa"/>
              <w:left w:w="120" w:type="dxa"/>
              <w:bottom w:w="90" w:type="dxa"/>
              <w:right w:w="120" w:type="dxa"/>
            </w:tcMar>
            <w:vAlign w:val="center"/>
          </w:tcPr>
          <w:p w14:paraId="7D5E9B29" w14:textId="77777777" w:rsidR="00A6415D" w:rsidRDefault="00000000">
            <w:r>
              <w:rPr>
                <w:color w:val="000000"/>
                <w:sz w:val="20"/>
                <w:szCs w:val="20"/>
              </w:rPr>
              <w:t>Record the flag as a supplementary field on the scoring sheet. It does not affect the FCP total score. It provides interpretive context for cases with identical scores but different structural positions.</w:t>
            </w:r>
          </w:p>
        </w:tc>
        <w:tc>
          <w:tcPr>
            <w:tcW w:w="1872" w:type="dxa"/>
            <w:tcBorders>
              <w:top w:val="single" w:sz="1" w:space="0" w:color="BBBBBB"/>
              <w:left w:val="single" w:sz="1" w:space="0" w:color="BBBBBB"/>
              <w:bottom w:val="single" w:sz="1" w:space="0" w:color="BBBBBB"/>
              <w:right w:val="single" w:sz="1" w:space="0" w:color="BBBBBB"/>
            </w:tcBorders>
            <w:shd w:val="clear" w:color="auto" w:fill="D5E8F0"/>
            <w:tcMar>
              <w:top w:w="90" w:type="dxa"/>
              <w:left w:w="120" w:type="dxa"/>
              <w:bottom w:w="90" w:type="dxa"/>
              <w:right w:w="120" w:type="dxa"/>
            </w:tcMar>
            <w:vAlign w:val="center"/>
          </w:tcPr>
          <w:p w14:paraId="31735D3F" w14:textId="77777777" w:rsidR="00A6415D" w:rsidRDefault="00A6415D"/>
        </w:tc>
        <w:tc>
          <w:tcPr>
            <w:tcW w:w="1872" w:type="dxa"/>
            <w:tcBorders>
              <w:top w:val="single" w:sz="1" w:space="0" w:color="BBBBBB"/>
              <w:left w:val="single" w:sz="1" w:space="0" w:color="BBBBBB"/>
              <w:bottom w:val="single" w:sz="1" w:space="0" w:color="BBBBBB"/>
              <w:right w:val="single" w:sz="1" w:space="0" w:color="BBBBBB"/>
            </w:tcBorders>
            <w:shd w:val="clear" w:color="auto" w:fill="D5E8F0"/>
            <w:tcMar>
              <w:top w:w="90" w:type="dxa"/>
              <w:left w:w="120" w:type="dxa"/>
              <w:bottom w:w="90" w:type="dxa"/>
              <w:right w:w="120" w:type="dxa"/>
            </w:tcMar>
            <w:vAlign w:val="center"/>
          </w:tcPr>
          <w:p w14:paraId="31CCFC33" w14:textId="77777777" w:rsidR="00A6415D" w:rsidRDefault="00A6415D"/>
        </w:tc>
      </w:tr>
    </w:tbl>
    <w:p w14:paraId="6ED17A3E" w14:textId="77777777" w:rsidR="00A6415D" w:rsidRDefault="00A6415D">
      <w:pPr>
        <w:spacing w:before="120"/>
      </w:pPr>
    </w:p>
    <w:p w14:paraId="754B8E90" w14:textId="77777777" w:rsidR="00A6415D" w:rsidRDefault="00000000">
      <w:pPr>
        <w:pBdr>
          <w:top w:val="single" w:sz="3" w:space="4" w:color="2E4057"/>
          <w:left w:val="thick" w:sz="12" w:space="4" w:color="2E4057"/>
          <w:bottom w:val="single" w:sz="3" w:space="4" w:color="2E4057"/>
          <w:right w:val="single" w:sz="3" w:space="4" w:color="2E4057"/>
        </w:pBdr>
        <w:spacing w:before="100" w:after="100"/>
        <w:ind w:left="360" w:right="360"/>
      </w:pPr>
      <w:r>
        <w:rPr>
          <w:i/>
          <w:iCs/>
          <w:color w:val="2E4057"/>
          <w:sz w:val="20"/>
          <w:szCs w:val="20"/>
        </w:rPr>
        <w:t xml:space="preserve">Example: Akhenaten and Cleopatra VII both score 7/12. Akhenaten = Builder (constructed the Aten </w:t>
      </w:r>
      <w:proofErr w:type="spellStart"/>
      <w:r>
        <w:rPr>
          <w:i/>
          <w:iCs/>
          <w:color w:val="2E4057"/>
          <w:sz w:val="20"/>
          <w:szCs w:val="20"/>
        </w:rPr>
        <w:t>programme</w:t>
      </w:r>
      <w:proofErr w:type="spellEnd"/>
      <w:r>
        <w:rPr>
          <w:i/>
          <w:iCs/>
          <w:color w:val="2E4057"/>
          <w:sz w:val="20"/>
          <w:szCs w:val="20"/>
        </w:rPr>
        <w:t xml:space="preserve"> from scratch, dismantling the prior system). Cleopatra = Inheritor (deployed the Egyptian symbolic system built over 2,500 years without making structural contributions to it). Same score, different historical meaning. The flag surfaces this distinction.</w:t>
      </w:r>
    </w:p>
    <w:p w14:paraId="6EA915AF" w14:textId="77777777" w:rsidR="00A6415D" w:rsidRDefault="00A6415D">
      <w:pPr>
        <w:spacing w:before="120"/>
      </w:pPr>
    </w:p>
    <w:p w14:paraId="67B1BFA7" w14:textId="77777777" w:rsidR="00A6415D" w:rsidRDefault="00000000">
      <w:pPr>
        <w:pStyle w:val="Heading2"/>
      </w:pPr>
      <w:r>
        <w:t>7.4 Stage Diagnostic</w:t>
      </w:r>
    </w:p>
    <w:p w14:paraId="291244DC" w14:textId="77777777" w:rsidR="00A6415D" w:rsidRDefault="00000000">
      <w:pPr>
        <w:spacing w:before="60" w:after="100"/>
        <w:jc w:val="both"/>
      </w:pPr>
      <w:r>
        <w:rPr>
          <w:color w:val="000000"/>
        </w:rPr>
        <w:t>The Stage Diagnostic converts the FCP total and Capital Source flag into a DSSM stage assignment. This is supplementary output — it should be reported alongside the numeric score, not as a replacement for it.</w:t>
      </w:r>
    </w:p>
    <w:p w14:paraId="3CE86192" w14:textId="77777777" w:rsidR="00A6415D" w:rsidRDefault="00A6415D">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80"/>
        <w:gridCol w:w="1680"/>
        <w:gridCol w:w="1680"/>
        <w:gridCol w:w="4320"/>
      </w:tblGrid>
      <w:tr w:rsidR="00A6415D" w14:paraId="5774C2B8" w14:textId="77777777">
        <w:trPr>
          <w:tblHeader/>
        </w:trPr>
        <w:tc>
          <w:tcPr>
            <w:tcW w:w="168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39F3F9FA" w14:textId="77777777" w:rsidR="00A6415D" w:rsidRDefault="00000000">
            <w:r>
              <w:rPr>
                <w:b/>
                <w:bCs/>
                <w:color w:val="FFFFFF"/>
                <w:sz w:val="20"/>
                <w:szCs w:val="20"/>
              </w:rPr>
              <w:t>FCP Total</w:t>
            </w:r>
          </w:p>
        </w:tc>
        <w:tc>
          <w:tcPr>
            <w:tcW w:w="168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5FC9C0CA" w14:textId="77777777" w:rsidR="00A6415D" w:rsidRDefault="00000000">
            <w:r>
              <w:rPr>
                <w:b/>
                <w:bCs/>
                <w:color w:val="FFFFFF"/>
                <w:sz w:val="20"/>
                <w:szCs w:val="20"/>
              </w:rPr>
              <w:t>Zeros present?</w:t>
            </w:r>
          </w:p>
        </w:tc>
        <w:tc>
          <w:tcPr>
            <w:tcW w:w="168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59F5DE79" w14:textId="77777777" w:rsidR="00A6415D" w:rsidRDefault="00000000">
            <w:r>
              <w:rPr>
                <w:b/>
                <w:bCs/>
                <w:color w:val="FFFFFF"/>
                <w:sz w:val="20"/>
                <w:szCs w:val="20"/>
              </w:rPr>
              <w:t>Capital flag</w:t>
            </w:r>
          </w:p>
        </w:tc>
        <w:tc>
          <w:tcPr>
            <w:tcW w:w="4320" w:type="dxa"/>
            <w:tcBorders>
              <w:top w:val="single" w:sz="1" w:space="0" w:color="BBBBBB"/>
              <w:left w:val="single" w:sz="1" w:space="0" w:color="BBBBBB"/>
              <w:bottom w:val="single" w:sz="1" w:space="0" w:color="BBBBBB"/>
              <w:right w:val="single" w:sz="1" w:space="0" w:color="BBBBBB"/>
            </w:tcBorders>
            <w:shd w:val="clear" w:color="auto" w:fill="2E4057"/>
            <w:tcMar>
              <w:top w:w="90" w:type="dxa"/>
              <w:left w:w="120" w:type="dxa"/>
              <w:bottom w:w="90" w:type="dxa"/>
              <w:right w:w="120" w:type="dxa"/>
            </w:tcMar>
            <w:vAlign w:val="center"/>
          </w:tcPr>
          <w:p w14:paraId="4864A0AC" w14:textId="77777777" w:rsidR="00A6415D" w:rsidRDefault="00000000">
            <w:r>
              <w:rPr>
                <w:b/>
                <w:bCs/>
                <w:color w:val="FFFFFF"/>
                <w:sz w:val="20"/>
                <w:szCs w:val="20"/>
              </w:rPr>
              <w:t>Stage Diagnostic</w:t>
            </w:r>
          </w:p>
        </w:tc>
      </w:tr>
      <w:tr w:rsidR="00A6415D" w14:paraId="69E152D9" w14:textId="77777777">
        <w:tc>
          <w:tcPr>
            <w:tcW w:w="16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355EFDB0" w14:textId="77777777" w:rsidR="00A6415D" w:rsidRDefault="00000000">
            <w:r>
              <w:rPr>
                <w:b/>
                <w:bCs/>
                <w:color w:val="000000"/>
                <w:sz w:val="20"/>
                <w:szCs w:val="20"/>
              </w:rPr>
              <w:t>12/12</w:t>
            </w:r>
          </w:p>
        </w:tc>
        <w:tc>
          <w:tcPr>
            <w:tcW w:w="16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1837118C" w14:textId="77777777" w:rsidR="00A6415D" w:rsidRDefault="00000000">
            <w:r>
              <w:rPr>
                <w:color w:val="000000"/>
                <w:sz w:val="20"/>
                <w:szCs w:val="20"/>
              </w:rPr>
              <w:t>No</w:t>
            </w:r>
          </w:p>
        </w:tc>
        <w:tc>
          <w:tcPr>
            <w:tcW w:w="16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13A8DBB6" w14:textId="77777777" w:rsidR="00A6415D" w:rsidRDefault="00000000">
            <w:r>
              <w:rPr>
                <w:color w:val="000000"/>
                <w:sz w:val="20"/>
                <w:szCs w:val="20"/>
              </w:rPr>
              <w:t>B</w:t>
            </w:r>
          </w:p>
        </w:tc>
        <w:tc>
          <w:tcPr>
            <w:tcW w:w="432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5001A344" w14:textId="77777777" w:rsidR="00A6415D" w:rsidRDefault="00000000">
            <w:r>
              <w:rPr>
                <w:color w:val="000000"/>
                <w:sz w:val="20"/>
                <w:szCs w:val="20"/>
              </w:rPr>
              <w:t>Stage 4 construction — full saturation achieved within the period by the subject</w:t>
            </w:r>
          </w:p>
        </w:tc>
      </w:tr>
      <w:tr w:rsidR="00A6415D" w14:paraId="7AC81613" w14:textId="77777777">
        <w:tc>
          <w:tcPr>
            <w:tcW w:w="16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0434454C" w14:textId="77777777" w:rsidR="00A6415D" w:rsidRDefault="00000000">
            <w:r>
              <w:rPr>
                <w:b/>
                <w:bCs/>
                <w:color w:val="000000"/>
                <w:sz w:val="20"/>
                <w:szCs w:val="20"/>
              </w:rPr>
              <w:t>12/12</w:t>
            </w:r>
          </w:p>
        </w:tc>
        <w:tc>
          <w:tcPr>
            <w:tcW w:w="16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64532EC0" w14:textId="77777777" w:rsidR="00A6415D" w:rsidRDefault="00000000">
            <w:r>
              <w:rPr>
                <w:color w:val="000000"/>
                <w:sz w:val="20"/>
                <w:szCs w:val="20"/>
              </w:rPr>
              <w:t>No</w:t>
            </w:r>
          </w:p>
        </w:tc>
        <w:tc>
          <w:tcPr>
            <w:tcW w:w="16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66357A27" w14:textId="77777777" w:rsidR="00A6415D" w:rsidRDefault="00000000">
            <w:r>
              <w:rPr>
                <w:color w:val="000000"/>
                <w:sz w:val="20"/>
                <w:szCs w:val="20"/>
              </w:rPr>
              <w:t>M</w:t>
            </w:r>
          </w:p>
        </w:tc>
        <w:tc>
          <w:tcPr>
            <w:tcW w:w="432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2C9C146B" w14:textId="77777777" w:rsidR="00A6415D" w:rsidRDefault="00000000">
            <w:r>
              <w:rPr>
                <w:color w:val="000000"/>
                <w:sz w:val="20"/>
                <w:szCs w:val="20"/>
              </w:rPr>
              <w:t>Stage 4 continuation — full saturation maintained within an inherited system</w:t>
            </w:r>
          </w:p>
        </w:tc>
      </w:tr>
      <w:tr w:rsidR="00A6415D" w14:paraId="421B6E44" w14:textId="77777777">
        <w:tc>
          <w:tcPr>
            <w:tcW w:w="16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6903C27F" w14:textId="77777777" w:rsidR="00A6415D" w:rsidRDefault="00000000">
            <w:r>
              <w:rPr>
                <w:b/>
                <w:bCs/>
                <w:color w:val="000000"/>
                <w:sz w:val="20"/>
                <w:szCs w:val="20"/>
              </w:rPr>
              <w:lastRenderedPageBreak/>
              <w:t>12/12</w:t>
            </w:r>
          </w:p>
        </w:tc>
        <w:tc>
          <w:tcPr>
            <w:tcW w:w="16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50497C0B" w14:textId="77777777" w:rsidR="00A6415D" w:rsidRDefault="00000000">
            <w:r>
              <w:rPr>
                <w:color w:val="000000"/>
                <w:sz w:val="20"/>
                <w:szCs w:val="20"/>
              </w:rPr>
              <w:t>No</w:t>
            </w:r>
          </w:p>
        </w:tc>
        <w:tc>
          <w:tcPr>
            <w:tcW w:w="16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2E28A024" w14:textId="77777777" w:rsidR="00A6415D" w:rsidRDefault="00000000">
            <w:r>
              <w:rPr>
                <w:color w:val="000000"/>
                <w:sz w:val="20"/>
                <w:szCs w:val="20"/>
              </w:rPr>
              <w:t>I</w:t>
            </w:r>
          </w:p>
        </w:tc>
        <w:tc>
          <w:tcPr>
            <w:tcW w:w="432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67945F5D" w14:textId="77777777" w:rsidR="00A6415D" w:rsidRDefault="00000000">
            <w:r>
              <w:rPr>
                <w:color w:val="000000"/>
                <w:sz w:val="20"/>
                <w:szCs w:val="20"/>
              </w:rPr>
              <w:t>Stage 4 inheritance — system is saturated; subject's contribution is deployment only</w:t>
            </w:r>
          </w:p>
        </w:tc>
      </w:tr>
      <w:tr w:rsidR="00A6415D" w14:paraId="4D02BE1F" w14:textId="77777777">
        <w:tc>
          <w:tcPr>
            <w:tcW w:w="16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31620DBB" w14:textId="77777777" w:rsidR="00A6415D" w:rsidRDefault="00000000">
            <w:r>
              <w:rPr>
                <w:b/>
                <w:bCs/>
                <w:color w:val="000000"/>
                <w:sz w:val="20"/>
                <w:szCs w:val="20"/>
              </w:rPr>
              <w:t>7–11/12</w:t>
            </w:r>
          </w:p>
        </w:tc>
        <w:tc>
          <w:tcPr>
            <w:tcW w:w="16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19B58F69" w14:textId="77777777" w:rsidR="00A6415D" w:rsidRDefault="00000000">
            <w:r>
              <w:rPr>
                <w:color w:val="000000"/>
                <w:sz w:val="20"/>
                <w:szCs w:val="20"/>
              </w:rPr>
              <w:t>No</w:t>
            </w:r>
          </w:p>
        </w:tc>
        <w:tc>
          <w:tcPr>
            <w:tcW w:w="16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654B65C4" w14:textId="77777777" w:rsidR="00A6415D" w:rsidRDefault="00000000">
            <w:r>
              <w:rPr>
                <w:color w:val="000000"/>
                <w:sz w:val="20"/>
                <w:szCs w:val="20"/>
              </w:rPr>
              <w:t>Any</w:t>
            </w:r>
          </w:p>
        </w:tc>
        <w:tc>
          <w:tcPr>
            <w:tcW w:w="432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188BFA01" w14:textId="77777777" w:rsidR="00A6415D" w:rsidRDefault="00000000">
            <w:r>
              <w:rPr>
                <w:color w:val="000000"/>
                <w:sz w:val="20"/>
                <w:szCs w:val="20"/>
              </w:rPr>
              <w:t>Stage 3–4 transition — saturation present but not across all dimensions</w:t>
            </w:r>
          </w:p>
        </w:tc>
      </w:tr>
      <w:tr w:rsidR="00A6415D" w14:paraId="71E71E1B" w14:textId="77777777">
        <w:tc>
          <w:tcPr>
            <w:tcW w:w="16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7D448938" w14:textId="77777777" w:rsidR="00A6415D" w:rsidRDefault="00000000">
            <w:r>
              <w:rPr>
                <w:b/>
                <w:bCs/>
                <w:color w:val="000000"/>
                <w:sz w:val="20"/>
                <w:szCs w:val="20"/>
              </w:rPr>
              <w:t>7–12/12</w:t>
            </w:r>
          </w:p>
        </w:tc>
        <w:tc>
          <w:tcPr>
            <w:tcW w:w="16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49512101" w14:textId="77777777" w:rsidR="00A6415D" w:rsidRDefault="00000000">
            <w:r>
              <w:rPr>
                <w:color w:val="000000"/>
                <w:sz w:val="20"/>
                <w:szCs w:val="20"/>
              </w:rPr>
              <w:t>Yes</w:t>
            </w:r>
          </w:p>
        </w:tc>
        <w:tc>
          <w:tcPr>
            <w:tcW w:w="16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486C0059" w14:textId="77777777" w:rsidR="00A6415D" w:rsidRDefault="00000000">
            <w:r>
              <w:rPr>
                <w:color w:val="000000"/>
                <w:sz w:val="20"/>
                <w:szCs w:val="20"/>
              </w:rPr>
              <w:t>Any</w:t>
            </w:r>
          </w:p>
        </w:tc>
        <w:tc>
          <w:tcPr>
            <w:tcW w:w="432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72564021" w14:textId="77777777" w:rsidR="00A6415D" w:rsidRDefault="00000000">
            <w:r>
              <w:rPr>
                <w:color w:val="000000"/>
                <w:sz w:val="20"/>
                <w:szCs w:val="20"/>
              </w:rPr>
              <w:t>Stage 3 partial — structural absence in at least one dimension despite adequate total</w:t>
            </w:r>
          </w:p>
        </w:tc>
      </w:tr>
      <w:tr w:rsidR="00A6415D" w14:paraId="666E8503" w14:textId="77777777">
        <w:tc>
          <w:tcPr>
            <w:tcW w:w="16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4A7AF635" w14:textId="77777777" w:rsidR="00A6415D" w:rsidRDefault="00000000">
            <w:r>
              <w:rPr>
                <w:b/>
                <w:bCs/>
                <w:color w:val="000000"/>
                <w:sz w:val="20"/>
                <w:szCs w:val="20"/>
              </w:rPr>
              <w:t>4–6/12</w:t>
            </w:r>
          </w:p>
        </w:tc>
        <w:tc>
          <w:tcPr>
            <w:tcW w:w="16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6A442798" w14:textId="77777777" w:rsidR="00A6415D" w:rsidRDefault="00000000">
            <w:r>
              <w:rPr>
                <w:color w:val="000000"/>
                <w:sz w:val="20"/>
                <w:szCs w:val="20"/>
              </w:rPr>
              <w:t>Any</w:t>
            </w:r>
          </w:p>
        </w:tc>
        <w:tc>
          <w:tcPr>
            <w:tcW w:w="168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53AFD1FA" w14:textId="77777777" w:rsidR="00A6415D" w:rsidRDefault="00000000">
            <w:r>
              <w:rPr>
                <w:color w:val="000000"/>
                <w:sz w:val="20"/>
                <w:szCs w:val="20"/>
              </w:rPr>
              <w:t>Any</w:t>
            </w:r>
          </w:p>
        </w:tc>
        <w:tc>
          <w:tcPr>
            <w:tcW w:w="4320" w:type="dxa"/>
            <w:tcBorders>
              <w:top w:val="single" w:sz="1" w:space="0" w:color="BBBBBB"/>
              <w:left w:val="single" w:sz="1" w:space="0" w:color="BBBBBB"/>
              <w:bottom w:val="single" w:sz="1" w:space="0" w:color="BBBBBB"/>
              <w:right w:val="single" w:sz="1" w:space="0" w:color="BBBBBB"/>
            </w:tcBorders>
            <w:shd w:val="clear" w:color="auto" w:fill="F5F8FA"/>
            <w:tcMar>
              <w:top w:w="90" w:type="dxa"/>
              <w:left w:w="120" w:type="dxa"/>
              <w:bottom w:w="90" w:type="dxa"/>
              <w:right w:w="120" w:type="dxa"/>
            </w:tcMar>
            <w:vAlign w:val="center"/>
          </w:tcPr>
          <w:p w14:paraId="1B1742E8" w14:textId="77777777" w:rsidR="00A6415D" w:rsidRDefault="00000000">
            <w:r>
              <w:rPr>
                <w:color w:val="000000"/>
                <w:sz w:val="20"/>
                <w:szCs w:val="20"/>
              </w:rPr>
              <w:t>Stage 2–3 — symbolic activity present; institutional infrastructure incomplete</w:t>
            </w:r>
          </w:p>
        </w:tc>
      </w:tr>
      <w:tr w:rsidR="00A6415D" w14:paraId="0FAAE891" w14:textId="77777777">
        <w:tc>
          <w:tcPr>
            <w:tcW w:w="16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38F1AFEA" w14:textId="77777777" w:rsidR="00A6415D" w:rsidRDefault="00000000">
            <w:r>
              <w:rPr>
                <w:b/>
                <w:bCs/>
                <w:color w:val="000000"/>
                <w:sz w:val="20"/>
                <w:szCs w:val="20"/>
              </w:rPr>
              <w:t>0–3/12</w:t>
            </w:r>
          </w:p>
        </w:tc>
        <w:tc>
          <w:tcPr>
            <w:tcW w:w="16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2AF66619" w14:textId="77777777" w:rsidR="00A6415D" w:rsidRDefault="00000000">
            <w:r>
              <w:rPr>
                <w:color w:val="000000"/>
                <w:sz w:val="20"/>
                <w:szCs w:val="20"/>
              </w:rPr>
              <w:t>Any</w:t>
            </w:r>
          </w:p>
        </w:tc>
        <w:tc>
          <w:tcPr>
            <w:tcW w:w="168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49B78880" w14:textId="77777777" w:rsidR="00A6415D" w:rsidRDefault="00000000">
            <w:r>
              <w:rPr>
                <w:color w:val="000000"/>
                <w:sz w:val="20"/>
                <w:szCs w:val="20"/>
              </w:rPr>
              <w:t>Any</w:t>
            </w:r>
          </w:p>
        </w:tc>
        <w:tc>
          <w:tcPr>
            <w:tcW w:w="4320" w:type="dxa"/>
            <w:tcBorders>
              <w:top w:val="single" w:sz="1" w:space="0" w:color="BBBBBB"/>
              <w:left w:val="single" w:sz="1" w:space="0" w:color="BBBBBB"/>
              <w:bottom w:val="single" w:sz="1" w:space="0" w:color="BBBBBB"/>
              <w:right w:val="single" w:sz="1" w:space="0" w:color="BBBBBB"/>
            </w:tcBorders>
            <w:shd w:val="clear" w:color="auto" w:fill="FFFFFF"/>
            <w:tcMar>
              <w:top w:w="90" w:type="dxa"/>
              <w:left w:w="120" w:type="dxa"/>
              <w:bottom w:w="90" w:type="dxa"/>
              <w:right w:w="120" w:type="dxa"/>
            </w:tcMar>
            <w:vAlign w:val="center"/>
          </w:tcPr>
          <w:p w14:paraId="20FC71EA" w14:textId="77777777" w:rsidR="00A6415D" w:rsidRDefault="00000000">
            <w:r>
              <w:rPr>
                <w:color w:val="000000"/>
                <w:sz w:val="20"/>
                <w:szCs w:val="20"/>
              </w:rPr>
              <w:t xml:space="preserve">Stage 1–2 — early or episodic symbolic </w:t>
            </w:r>
            <w:proofErr w:type="spellStart"/>
            <w:r>
              <w:rPr>
                <w:color w:val="000000"/>
                <w:sz w:val="20"/>
                <w:szCs w:val="20"/>
              </w:rPr>
              <w:t>behaviour</w:t>
            </w:r>
            <w:proofErr w:type="spellEnd"/>
            <w:r>
              <w:rPr>
                <w:color w:val="000000"/>
                <w:sz w:val="20"/>
                <w:szCs w:val="20"/>
              </w:rPr>
              <w:t xml:space="preserve">; no systemic </w:t>
            </w:r>
            <w:proofErr w:type="spellStart"/>
            <w:r>
              <w:rPr>
                <w:color w:val="000000"/>
                <w:sz w:val="20"/>
                <w:szCs w:val="20"/>
              </w:rPr>
              <w:t>stabilisation</w:t>
            </w:r>
            <w:proofErr w:type="spellEnd"/>
          </w:p>
        </w:tc>
      </w:tr>
    </w:tbl>
    <w:p w14:paraId="2AA8ABE3" w14:textId="77777777" w:rsidR="00A6415D" w:rsidRDefault="00A6415D">
      <w:pPr>
        <w:spacing w:before="120"/>
      </w:pPr>
    </w:p>
    <w:p w14:paraId="23D6F98F" w14:textId="77777777" w:rsidR="00A6415D" w:rsidRDefault="00000000">
      <w:pPr>
        <w:pStyle w:val="Heading2"/>
      </w:pPr>
      <w:r>
        <w:t>7.5 A Note on Negative Cases</w:t>
      </w:r>
    </w:p>
    <w:p w14:paraId="0930B17A" w14:textId="77777777" w:rsidR="00A6415D" w:rsidRDefault="00000000">
      <w:pPr>
        <w:spacing w:before="60" w:after="100"/>
        <w:jc w:val="both"/>
      </w:pPr>
      <w:r>
        <w:rPr>
          <w:color w:val="000000"/>
        </w:rPr>
        <w:t>Not every society should be expected to reach Stage 4 saturation. The FCP is a detector of a specific configuration of symbolic infrastructure — not a universal measure of cultural complexity or sophistication. Low scores on the FCP are informative, not dismissive.</w:t>
      </w:r>
    </w:p>
    <w:p w14:paraId="2C155696" w14:textId="77777777" w:rsidR="00A6415D" w:rsidRDefault="00000000">
      <w:pPr>
        <w:spacing w:before="60" w:after="100"/>
        <w:jc w:val="both"/>
      </w:pPr>
      <w:r>
        <w:rPr>
          <w:color w:val="000000"/>
        </w:rPr>
        <w:t>Three types of low-scoring cases are analytically distinct:</w:t>
      </w:r>
    </w:p>
    <w:p w14:paraId="49A773FC" w14:textId="77777777" w:rsidR="00A6415D" w:rsidRDefault="00000000">
      <w:pPr>
        <w:pStyle w:val="ListParagraph"/>
        <w:numPr>
          <w:ilvl w:val="0"/>
          <w:numId w:val="2"/>
        </w:numPr>
        <w:spacing w:before="50" w:after="50"/>
      </w:pPr>
      <w:r>
        <w:t xml:space="preserve">Structural absence: the society never developed the institutional infrastructure the FCP measures (e.g. </w:t>
      </w:r>
      <w:proofErr w:type="spellStart"/>
      <w:r>
        <w:t>Çatalhöyük</w:t>
      </w:r>
      <w:proofErr w:type="spellEnd"/>
      <w:r>
        <w:t xml:space="preserve"> — rich symbolic </w:t>
      </w:r>
      <w:proofErr w:type="spellStart"/>
      <w:r>
        <w:t>behaviour</w:t>
      </w:r>
      <w:proofErr w:type="spellEnd"/>
      <w:r>
        <w:t xml:space="preserve"> at household scale without </w:t>
      </w:r>
      <w:proofErr w:type="spellStart"/>
      <w:r>
        <w:t>suprahousehold</w:t>
      </w:r>
      <w:proofErr w:type="spellEnd"/>
      <w:r>
        <w:t xml:space="preserve"> regulation). This is a Stage 2–3 case, not a failed Stage 4.</w:t>
      </w:r>
    </w:p>
    <w:p w14:paraId="38196CEE" w14:textId="77777777" w:rsidR="00A6415D" w:rsidRDefault="00000000">
      <w:pPr>
        <w:pStyle w:val="ListParagraph"/>
        <w:numPr>
          <w:ilvl w:val="0"/>
          <w:numId w:val="2"/>
        </w:numPr>
        <w:spacing w:before="50" w:after="50"/>
      </w:pPr>
      <w:r>
        <w:t>Deliberate equilibrium: the society maintained small-group size and mobility as an adaptive strategy, actively preventing the conditions that produce FCP saturation (e.g. Australian Aboriginal societies). This is not failure — it is a different solution to the same adaptive challenges.</w:t>
      </w:r>
    </w:p>
    <w:p w14:paraId="4274ACE5" w14:textId="77777777" w:rsidR="00A6415D" w:rsidRDefault="00000000">
      <w:pPr>
        <w:pStyle w:val="ListParagraph"/>
        <w:numPr>
          <w:ilvl w:val="0"/>
          <w:numId w:val="2"/>
        </w:numPr>
        <w:spacing w:before="50" w:after="50"/>
      </w:pPr>
      <w:r>
        <w:t>Evidential gap: the evidence does not survive well enough to score reliably. Score conservatively, note the limitation, and do not infer absence from silence.</w:t>
      </w:r>
    </w:p>
    <w:p w14:paraId="11199D25" w14:textId="77777777" w:rsidR="00A6415D" w:rsidRDefault="00A6415D">
      <w:pPr>
        <w:pBdr>
          <w:bottom w:val="single" w:sz="3" w:space="1" w:color="CCCCCC"/>
        </w:pBdr>
        <w:spacing w:before="200" w:after="200"/>
      </w:pPr>
    </w:p>
    <w:p w14:paraId="1EAE40A7" w14:textId="77777777" w:rsidR="00A6415D" w:rsidRDefault="00000000">
      <w:pPr>
        <w:pStyle w:val="Heading1"/>
      </w:pPr>
      <w:r>
        <w:t>8. Field Implementation Notes</w:t>
      </w:r>
    </w:p>
    <w:p w14:paraId="1DF30097" w14:textId="77777777" w:rsidR="00A6415D" w:rsidRDefault="00000000">
      <w:pPr>
        <w:pStyle w:val="ListParagraph"/>
        <w:numPr>
          <w:ilvl w:val="0"/>
          <w:numId w:val="2"/>
        </w:numPr>
        <w:spacing w:before="50" w:after="50"/>
      </w:pPr>
      <w:r>
        <w:t>Quantify morphometric variation and replication frequency</w:t>
      </w:r>
    </w:p>
    <w:p w14:paraId="0E6A63FF" w14:textId="77777777" w:rsidR="00A6415D" w:rsidRDefault="00000000">
      <w:pPr>
        <w:pStyle w:val="ListParagraph"/>
        <w:numPr>
          <w:ilvl w:val="0"/>
          <w:numId w:val="2"/>
        </w:numPr>
        <w:spacing w:before="50" w:after="50"/>
      </w:pPr>
      <w:r>
        <w:t>Map repeated layouts using ASCII-style schematics or visual shorthand</w:t>
      </w:r>
    </w:p>
    <w:p w14:paraId="228AD786" w14:textId="77777777" w:rsidR="00A6415D" w:rsidRDefault="00000000">
      <w:pPr>
        <w:pStyle w:val="ListParagraph"/>
        <w:numPr>
          <w:ilvl w:val="0"/>
          <w:numId w:val="2"/>
        </w:numPr>
        <w:spacing w:before="50" w:after="50"/>
      </w:pPr>
      <w:r>
        <w:t>Maintain detailed logs for artifact typology, spatial layouts, and cross-site comparisons</w:t>
      </w:r>
    </w:p>
    <w:p w14:paraId="437AF7C3" w14:textId="77777777" w:rsidR="00A6415D" w:rsidRDefault="00000000">
      <w:pPr>
        <w:pStyle w:val="ListParagraph"/>
        <w:numPr>
          <w:ilvl w:val="0"/>
          <w:numId w:val="2"/>
        </w:numPr>
        <w:spacing w:before="50" w:after="50"/>
      </w:pPr>
      <w:r>
        <w:t>Apply scoring to compare sites objectively and track DSSM compliance</w:t>
      </w:r>
    </w:p>
    <w:p w14:paraId="5F7FC3A3" w14:textId="77777777" w:rsidR="00A6415D" w:rsidRDefault="00000000">
      <w:pPr>
        <w:pStyle w:val="ListParagraph"/>
        <w:numPr>
          <w:ilvl w:val="0"/>
          <w:numId w:val="2"/>
        </w:numPr>
        <w:spacing w:before="50" w:after="50"/>
      </w:pPr>
      <w:r>
        <w:t>When applying regional extensions, record them as supplementary fields — do not substitute them for core criteria</w:t>
      </w:r>
    </w:p>
    <w:p w14:paraId="43812F36" w14:textId="77777777" w:rsidR="00A6415D" w:rsidRDefault="00000000">
      <w:pPr>
        <w:pStyle w:val="ListParagraph"/>
        <w:numPr>
          <w:ilvl w:val="0"/>
          <w:numId w:val="2"/>
        </w:numPr>
        <w:spacing w:before="50" w:after="50"/>
      </w:pPr>
      <w:r>
        <w:t>Version your scoring records: note whether you scored against v1.0 or v1.1 and which extensions (if any) were applied</w:t>
      </w:r>
    </w:p>
    <w:p w14:paraId="4DFD1324" w14:textId="77777777" w:rsidR="00A6415D" w:rsidRDefault="00A6415D">
      <w:pPr>
        <w:pBdr>
          <w:bottom w:val="single" w:sz="3" w:space="1" w:color="CCCCCC"/>
        </w:pBdr>
        <w:spacing w:before="200" w:after="200"/>
      </w:pPr>
    </w:p>
    <w:p w14:paraId="00D434D5" w14:textId="77777777" w:rsidR="00A6415D" w:rsidRDefault="00000000">
      <w:pPr>
        <w:pBdr>
          <w:top w:val="single" w:sz="3" w:space="4" w:color="CCCCCC"/>
        </w:pBdr>
        <w:spacing w:before="160"/>
        <w:jc w:val="center"/>
      </w:pPr>
      <w:r>
        <w:rPr>
          <w:i/>
          <w:iCs/>
          <w:color w:val="AAAAAA"/>
          <w:sz w:val="18"/>
          <w:szCs w:val="18"/>
        </w:rPr>
        <w:lastRenderedPageBreak/>
        <w:t xml:space="preserve">Anthony </w:t>
      </w:r>
      <w:proofErr w:type="gramStart"/>
      <w:r>
        <w:rPr>
          <w:i/>
          <w:iCs/>
          <w:color w:val="AAAAAA"/>
          <w:sz w:val="18"/>
          <w:szCs w:val="18"/>
        </w:rPr>
        <w:t>Vondoom  |</w:t>
      </w:r>
      <w:proofErr w:type="gramEnd"/>
      <w:r>
        <w:rPr>
          <w:i/>
          <w:iCs/>
          <w:color w:val="AAAAAA"/>
          <w:sz w:val="18"/>
          <w:szCs w:val="18"/>
        </w:rPr>
        <w:t xml:space="preserve">  ORCID: 0009-0003-4953-</w:t>
      </w:r>
      <w:proofErr w:type="gramStart"/>
      <w:r>
        <w:rPr>
          <w:i/>
          <w:iCs/>
          <w:color w:val="AAAAAA"/>
          <w:sz w:val="18"/>
          <w:szCs w:val="18"/>
        </w:rPr>
        <w:t>1427  |</w:t>
      </w:r>
      <w:proofErr w:type="gramEnd"/>
      <w:r>
        <w:rPr>
          <w:i/>
          <w:iCs/>
          <w:color w:val="AAAAAA"/>
          <w:sz w:val="18"/>
          <w:szCs w:val="18"/>
        </w:rPr>
        <w:t xml:space="preserve">  </w:t>
      </w:r>
      <w:proofErr w:type="gramStart"/>
      <w:r>
        <w:rPr>
          <w:i/>
          <w:iCs/>
          <w:color w:val="AAAAAA"/>
          <w:sz w:val="18"/>
          <w:szCs w:val="18"/>
        </w:rPr>
        <w:t>anthony.vondoom@outlook.com  |</w:t>
      </w:r>
      <w:proofErr w:type="gramEnd"/>
      <w:r>
        <w:rPr>
          <w:i/>
          <w:iCs/>
          <w:color w:val="AAAAAA"/>
          <w:sz w:val="18"/>
          <w:szCs w:val="18"/>
        </w:rPr>
        <w:t xml:space="preserve">  https://doi.org/10.6084/m9.figshare.31113958</w:t>
      </w:r>
    </w:p>
    <w:sectPr w:rsidR="00A6415D">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716A4"/>
    <w:multiLevelType w:val="hybridMultilevel"/>
    <w:tmpl w:val="B36CB498"/>
    <w:lvl w:ilvl="0" w:tplc="C3286FD8">
      <w:start w:val="1"/>
      <w:numFmt w:val="decimal"/>
      <w:lvlText w:val="%1."/>
      <w:lvlJc w:val="left"/>
      <w:pPr>
        <w:ind w:left="720" w:hanging="360"/>
      </w:pPr>
      <w:rPr>
        <w:rFonts w:ascii="Arial" w:eastAsia="Arial" w:hAnsi="Arial" w:cs="Arial"/>
        <w:b/>
        <w:bCs/>
        <w:sz w:val="22"/>
        <w:szCs w:val="22"/>
      </w:rPr>
    </w:lvl>
    <w:lvl w:ilvl="1" w:tplc="0B900990">
      <w:numFmt w:val="decimal"/>
      <w:lvlText w:val=""/>
      <w:lvlJc w:val="left"/>
    </w:lvl>
    <w:lvl w:ilvl="2" w:tplc="5CD841A8">
      <w:numFmt w:val="decimal"/>
      <w:lvlText w:val=""/>
      <w:lvlJc w:val="left"/>
    </w:lvl>
    <w:lvl w:ilvl="3" w:tplc="516270DC">
      <w:numFmt w:val="decimal"/>
      <w:lvlText w:val=""/>
      <w:lvlJc w:val="left"/>
    </w:lvl>
    <w:lvl w:ilvl="4" w:tplc="0AC22ED2">
      <w:numFmt w:val="decimal"/>
      <w:lvlText w:val=""/>
      <w:lvlJc w:val="left"/>
    </w:lvl>
    <w:lvl w:ilvl="5" w:tplc="A01CDAC2">
      <w:numFmt w:val="decimal"/>
      <w:lvlText w:val=""/>
      <w:lvlJc w:val="left"/>
    </w:lvl>
    <w:lvl w:ilvl="6" w:tplc="00C27B46">
      <w:numFmt w:val="decimal"/>
      <w:lvlText w:val=""/>
      <w:lvlJc w:val="left"/>
    </w:lvl>
    <w:lvl w:ilvl="7" w:tplc="9C4EE540">
      <w:numFmt w:val="decimal"/>
      <w:lvlText w:val=""/>
      <w:lvlJc w:val="left"/>
    </w:lvl>
    <w:lvl w:ilvl="8" w:tplc="6D4204FA">
      <w:numFmt w:val="decimal"/>
      <w:lvlText w:val=""/>
      <w:lvlJc w:val="left"/>
    </w:lvl>
  </w:abstractNum>
  <w:abstractNum w:abstractNumId="1" w15:restartNumberingAfterBreak="0">
    <w:nsid w:val="75C607FB"/>
    <w:multiLevelType w:val="hybridMultilevel"/>
    <w:tmpl w:val="D5FE06A0"/>
    <w:lvl w:ilvl="0" w:tplc="9CA8488E">
      <w:start w:val="1"/>
      <w:numFmt w:val="bullet"/>
      <w:lvlText w:val="●"/>
      <w:lvlJc w:val="left"/>
      <w:pPr>
        <w:ind w:left="720" w:hanging="360"/>
      </w:pPr>
    </w:lvl>
    <w:lvl w:ilvl="1" w:tplc="EA266E02">
      <w:start w:val="1"/>
      <w:numFmt w:val="bullet"/>
      <w:lvlText w:val="○"/>
      <w:lvlJc w:val="left"/>
      <w:pPr>
        <w:ind w:left="1440" w:hanging="360"/>
      </w:pPr>
    </w:lvl>
    <w:lvl w:ilvl="2" w:tplc="CEAE851C">
      <w:start w:val="1"/>
      <w:numFmt w:val="bullet"/>
      <w:lvlText w:val="■"/>
      <w:lvlJc w:val="left"/>
      <w:pPr>
        <w:ind w:left="2160" w:hanging="360"/>
      </w:pPr>
    </w:lvl>
    <w:lvl w:ilvl="3" w:tplc="21A28716">
      <w:start w:val="1"/>
      <w:numFmt w:val="bullet"/>
      <w:lvlText w:val="●"/>
      <w:lvlJc w:val="left"/>
      <w:pPr>
        <w:ind w:left="2880" w:hanging="360"/>
      </w:pPr>
    </w:lvl>
    <w:lvl w:ilvl="4" w:tplc="EAD46EBC">
      <w:start w:val="1"/>
      <w:numFmt w:val="bullet"/>
      <w:lvlText w:val="○"/>
      <w:lvlJc w:val="left"/>
      <w:pPr>
        <w:ind w:left="3600" w:hanging="360"/>
      </w:pPr>
    </w:lvl>
    <w:lvl w:ilvl="5" w:tplc="AA1C63CA">
      <w:start w:val="1"/>
      <w:numFmt w:val="bullet"/>
      <w:lvlText w:val="■"/>
      <w:lvlJc w:val="left"/>
      <w:pPr>
        <w:ind w:left="4320" w:hanging="360"/>
      </w:pPr>
    </w:lvl>
    <w:lvl w:ilvl="6" w:tplc="DCA667D4">
      <w:start w:val="1"/>
      <w:numFmt w:val="bullet"/>
      <w:lvlText w:val="●"/>
      <w:lvlJc w:val="left"/>
      <w:pPr>
        <w:ind w:left="5040" w:hanging="360"/>
      </w:pPr>
    </w:lvl>
    <w:lvl w:ilvl="7" w:tplc="A2064474">
      <w:start w:val="1"/>
      <w:numFmt w:val="bullet"/>
      <w:lvlText w:val="●"/>
      <w:lvlJc w:val="left"/>
      <w:pPr>
        <w:ind w:left="5760" w:hanging="360"/>
      </w:pPr>
    </w:lvl>
    <w:lvl w:ilvl="8" w:tplc="7FD0AC72">
      <w:start w:val="1"/>
      <w:numFmt w:val="bullet"/>
      <w:lvlText w:val="●"/>
      <w:lvlJc w:val="left"/>
      <w:pPr>
        <w:ind w:left="6480" w:hanging="360"/>
      </w:pPr>
    </w:lvl>
  </w:abstractNum>
  <w:abstractNum w:abstractNumId="2" w15:restartNumberingAfterBreak="0">
    <w:nsid w:val="77B5375A"/>
    <w:multiLevelType w:val="hybridMultilevel"/>
    <w:tmpl w:val="627A4B66"/>
    <w:lvl w:ilvl="0" w:tplc="1248D520">
      <w:start w:val="1"/>
      <w:numFmt w:val="bullet"/>
      <w:lvlText w:val="•"/>
      <w:lvlJc w:val="left"/>
      <w:pPr>
        <w:ind w:left="720" w:hanging="360"/>
      </w:pPr>
      <w:rPr>
        <w:rFonts w:ascii="Arial" w:eastAsia="Arial" w:hAnsi="Arial" w:cs="Arial"/>
        <w:sz w:val="22"/>
        <w:szCs w:val="22"/>
      </w:rPr>
    </w:lvl>
    <w:lvl w:ilvl="1" w:tplc="A89E3492">
      <w:numFmt w:val="decimal"/>
      <w:lvlText w:val=""/>
      <w:lvlJc w:val="left"/>
    </w:lvl>
    <w:lvl w:ilvl="2" w:tplc="1ED06A46">
      <w:numFmt w:val="decimal"/>
      <w:lvlText w:val=""/>
      <w:lvlJc w:val="left"/>
    </w:lvl>
    <w:lvl w:ilvl="3" w:tplc="7D9C6F8E">
      <w:numFmt w:val="decimal"/>
      <w:lvlText w:val=""/>
      <w:lvlJc w:val="left"/>
    </w:lvl>
    <w:lvl w:ilvl="4" w:tplc="0F3E4362">
      <w:numFmt w:val="decimal"/>
      <w:lvlText w:val=""/>
      <w:lvlJc w:val="left"/>
    </w:lvl>
    <w:lvl w:ilvl="5" w:tplc="51BCFBC6">
      <w:numFmt w:val="decimal"/>
      <w:lvlText w:val=""/>
      <w:lvlJc w:val="left"/>
    </w:lvl>
    <w:lvl w:ilvl="6" w:tplc="82F6AF02">
      <w:numFmt w:val="decimal"/>
      <w:lvlText w:val=""/>
      <w:lvlJc w:val="left"/>
    </w:lvl>
    <w:lvl w:ilvl="7" w:tplc="74206DD6">
      <w:numFmt w:val="decimal"/>
      <w:lvlText w:val=""/>
      <w:lvlJc w:val="left"/>
    </w:lvl>
    <w:lvl w:ilvl="8" w:tplc="4894B950">
      <w:numFmt w:val="decimal"/>
      <w:lvlText w:val=""/>
      <w:lvlJc w:val="left"/>
    </w:lvl>
  </w:abstractNum>
  <w:num w:numId="1" w16cid:durableId="1155335172">
    <w:abstractNumId w:val="1"/>
    <w:lvlOverride w:ilvl="0">
      <w:startOverride w:val="1"/>
    </w:lvlOverride>
  </w:num>
  <w:num w:numId="2" w16cid:durableId="197401632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15D"/>
    <w:rsid w:val="003E53A8"/>
    <w:rsid w:val="004E3B54"/>
    <w:rsid w:val="006833CA"/>
    <w:rsid w:val="00A6415D"/>
    <w:rsid w:val="00D57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680733"/>
  <w15:docId w15:val="{84217201-A2DE-DF41-ABAB-D74DEA5A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40"/>
      <w:outlineLvl w:val="0"/>
    </w:pPr>
    <w:rPr>
      <w:b/>
      <w:bCs/>
      <w:color w:val="2E4057"/>
      <w:sz w:val="36"/>
      <w:szCs w:val="36"/>
    </w:rPr>
  </w:style>
  <w:style w:type="paragraph" w:styleId="Heading2">
    <w:name w:val="heading 2"/>
    <w:uiPriority w:val="9"/>
    <w:unhideWhenUsed/>
    <w:qFormat/>
    <w:pPr>
      <w:spacing w:before="240" w:after="100"/>
      <w:outlineLvl w:val="1"/>
    </w:pPr>
    <w:rPr>
      <w:b/>
      <w:bCs/>
      <w:color w:val="2E4057"/>
      <w:sz w:val="26"/>
      <w:szCs w:val="26"/>
    </w:rPr>
  </w:style>
  <w:style w:type="paragraph" w:styleId="Heading3">
    <w:name w:val="heading 3"/>
    <w:uiPriority w:val="9"/>
    <w:unhideWhenUsed/>
    <w:qFormat/>
    <w:pPr>
      <w:spacing w:before="180" w:after="60"/>
      <w:outlineLvl w:val="2"/>
    </w:pPr>
    <w:rPr>
      <w:b/>
      <w:bCs/>
      <w:color w:val="44444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4E3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3335</Words>
  <Characters>20211</Characters>
  <Application>Microsoft Office Word</Application>
  <DocSecurity>0</DocSecurity>
  <Lines>962</Lines>
  <Paragraphs>523</Paragraphs>
  <ScaleCrop>false</ScaleCrop>
  <Company/>
  <LinksUpToDate>false</LinksUpToDate>
  <CharactersWithSpaces>23023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anthony vondoom</cp:lastModifiedBy>
  <cp:revision>2</cp:revision>
  <dcterms:created xsi:type="dcterms:W3CDTF">2026-05-09T21:29:00Z</dcterms:created>
  <dcterms:modified xsi:type="dcterms:W3CDTF">2026-05-09T21:29:00Z</dcterms:modified>
</cp:coreProperties>
</file>